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A4" w:rsidRPr="00DF356E" w:rsidRDefault="008448A4" w:rsidP="008448A4">
      <w:pPr>
        <w:pStyle w:val="Pamatteksts"/>
        <w:spacing w:after="0"/>
        <w:jc w:val="center"/>
        <w:rPr>
          <w:b/>
          <w:sz w:val="28"/>
          <w:szCs w:val="28"/>
        </w:rPr>
      </w:pPr>
      <w:bookmarkStart w:id="0" w:name="OLE_LINK3"/>
      <w:bookmarkStart w:id="1" w:name="OLE_LINK4"/>
      <w:r w:rsidRPr="00DF356E">
        <w:rPr>
          <w:b/>
          <w:sz w:val="28"/>
          <w:szCs w:val="28"/>
        </w:rPr>
        <w:t>Informatīvais ziņojums</w:t>
      </w:r>
    </w:p>
    <w:p w:rsidR="008448A4" w:rsidRPr="00DF356E" w:rsidRDefault="00A73293" w:rsidP="008448A4">
      <w:pPr>
        <w:pStyle w:val="Pamatteksts"/>
        <w:spacing w:after="0"/>
        <w:jc w:val="center"/>
        <w:rPr>
          <w:i/>
          <w:sz w:val="28"/>
          <w:szCs w:val="28"/>
        </w:rPr>
      </w:pPr>
      <w:r w:rsidRPr="00DF356E">
        <w:rPr>
          <w:sz w:val="28"/>
          <w:szCs w:val="28"/>
        </w:rPr>
        <w:t>„P</w:t>
      </w:r>
      <w:r w:rsidR="008448A4" w:rsidRPr="00DF356E">
        <w:rPr>
          <w:sz w:val="28"/>
          <w:szCs w:val="28"/>
        </w:rPr>
        <w:t>ar tiesu praksi attiecībā uz termiņiem, kādos tiek izskatītas lietas</w:t>
      </w:r>
      <w:r w:rsidRPr="00DF356E">
        <w:rPr>
          <w:sz w:val="28"/>
          <w:szCs w:val="28"/>
        </w:rPr>
        <w:t>”</w:t>
      </w:r>
    </w:p>
    <w:bookmarkEnd w:id="0"/>
    <w:bookmarkEnd w:id="1"/>
    <w:p w:rsidR="008448A4" w:rsidRPr="00DF356E" w:rsidRDefault="008448A4" w:rsidP="008448A4">
      <w:pPr>
        <w:pStyle w:val="Pamatteksts"/>
        <w:rPr>
          <w:i/>
          <w:sz w:val="28"/>
          <w:szCs w:val="28"/>
        </w:rPr>
      </w:pPr>
    </w:p>
    <w:p w:rsidR="00A73293" w:rsidRPr="00DF356E" w:rsidRDefault="00B45902" w:rsidP="008448A4">
      <w:pPr>
        <w:ind w:firstLine="720"/>
        <w:jc w:val="both"/>
        <w:rPr>
          <w:sz w:val="28"/>
          <w:szCs w:val="28"/>
          <w:lang w:val="lv-LV"/>
        </w:rPr>
      </w:pPr>
      <w:r w:rsidRPr="00DF356E">
        <w:rPr>
          <w:sz w:val="28"/>
          <w:szCs w:val="28"/>
          <w:lang w:val="lv-LV"/>
        </w:rPr>
        <w:t xml:space="preserve">Informatīvais </w:t>
      </w:r>
      <w:r w:rsidR="00A73293" w:rsidRPr="00DF356E">
        <w:rPr>
          <w:sz w:val="28"/>
          <w:szCs w:val="28"/>
          <w:lang w:val="lv-LV"/>
        </w:rPr>
        <w:t>ziņojums sagatavots</w:t>
      </w:r>
      <w:r w:rsidR="006F4DC9" w:rsidRPr="00DF356E">
        <w:rPr>
          <w:sz w:val="28"/>
          <w:szCs w:val="28"/>
          <w:lang w:val="lv-LV"/>
        </w:rPr>
        <w:t>, lai izpildītu</w:t>
      </w:r>
      <w:r w:rsidR="00A73293" w:rsidRPr="00DF356E">
        <w:rPr>
          <w:sz w:val="28"/>
          <w:szCs w:val="28"/>
          <w:lang w:val="lv-LV"/>
        </w:rPr>
        <w:t xml:space="preserve"> Ministru kabineta 2011. gada 30. augusta</w:t>
      </w:r>
      <w:r w:rsidR="006F4DC9" w:rsidRPr="00DF356E">
        <w:rPr>
          <w:sz w:val="28"/>
          <w:szCs w:val="28"/>
          <w:lang w:val="lv-LV"/>
        </w:rPr>
        <w:t xml:space="preserve"> sēdes</w:t>
      </w:r>
      <w:r w:rsidR="00A73293" w:rsidRPr="00DF356E">
        <w:rPr>
          <w:sz w:val="28"/>
          <w:szCs w:val="28"/>
          <w:lang w:val="lv-LV"/>
        </w:rPr>
        <w:t xml:space="preserve"> prot</w:t>
      </w:r>
      <w:r w:rsidR="006F4DC9" w:rsidRPr="00DF356E">
        <w:rPr>
          <w:sz w:val="28"/>
          <w:szCs w:val="28"/>
          <w:lang w:val="lv-LV"/>
        </w:rPr>
        <w:t>okollēmuma</w:t>
      </w:r>
      <w:r w:rsidR="00A73293" w:rsidRPr="00DF356E">
        <w:rPr>
          <w:sz w:val="28"/>
          <w:szCs w:val="28"/>
          <w:lang w:val="lv-LV"/>
        </w:rPr>
        <w:t xml:space="preserve"> </w:t>
      </w:r>
      <w:r w:rsidR="006F4DC9" w:rsidRPr="00DF356E">
        <w:rPr>
          <w:sz w:val="28"/>
          <w:szCs w:val="28"/>
          <w:lang w:val="lv-LV"/>
        </w:rPr>
        <w:t>(prot. </w:t>
      </w:r>
      <w:r w:rsidR="00A73293" w:rsidRPr="00DF356E">
        <w:rPr>
          <w:sz w:val="28"/>
          <w:szCs w:val="28"/>
          <w:lang w:val="lv-LV"/>
        </w:rPr>
        <w:t>Nr. 50, 75.§</w:t>
      </w:r>
      <w:r w:rsidR="006F4DC9" w:rsidRPr="00DF356E">
        <w:rPr>
          <w:sz w:val="28"/>
          <w:szCs w:val="28"/>
          <w:lang w:val="lv-LV"/>
        </w:rPr>
        <w:t>)</w:t>
      </w:r>
      <w:r w:rsidR="00A73293" w:rsidRPr="00DF356E">
        <w:rPr>
          <w:sz w:val="28"/>
          <w:szCs w:val="28"/>
          <w:lang w:val="lv-LV"/>
        </w:rPr>
        <w:t xml:space="preserve"> 3. punktu: „Tieslietu ministrijai sagatavot un tieslietu ministram mēneša laikā iesniegt izskatīšanai </w:t>
      </w:r>
      <w:r w:rsidR="006F4DC9" w:rsidRPr="00DF356E">
        <w:rPr>
          <w:sz w:val="28"/>
          <w:szCs w:val="28"/>
          <w:lang w:val="lv-LV"/>
        </w:rPr>
        <w:t>M</w:t>
      </w:r>
      <w:r w:rsidR="00A73293" w:rsidRPr="00DF356E">
        <w:rPr>
          <w:sz w:val="28"/>
          <w:szCs w:val="28"/>
          <w:lang w:val="lv-LV"/>
        </w:rPr>
        <w:t>inistru kabinetā informatīvo ziņojumu par tiesu praksi attiecībā uz termiņiem, kādos tiek izskatītas lietas, kā arī priekšlikumus šo termiņu saīsināšanai, tai skaitā gadījumos, kad lietu izskatīšana tiek vairākkārtīgi atlikta.”</w:t>
      </w:r>
    </w:p>
    <w:p w:rsidR="008448A4" w:rsidRDefault="008448A4" w:rsidP="008448A4">
      <w:pPr>
        <w:ind w:firstLine="720"/>
        <w:jc w:val="both"/>
        <w:rPr>
          <w:sz w:val="28"/>
          <w:szCs w:val="28"/>
          <w:lang w:val="lv-LV"/>
        </w:rPr>
      </w:pPr>
      <w:r w:rsidRPr="00DF356E">
        <w:rPr>
          <w:sz w:val="28"/>
          <w:szCs w:val="28"/>
          <w:lang w:val="lv-LV"/>
        </w:rPr>
        <w:t xml:space="preserve">Saskaņā ar Tiesu informatīvās sistēmas datiem, vidējais svērtais </w:t>
      </w:r>
      <w:r w:rsidRPr="00DF356E">
        <w:rPr>
          <w:b/>
          <w:sz w:val="28"/>
          <w:szCs w:val="28"/>
          <w:lang w:val="lv-LV"/>
        </w:rPr>
        <w:t>civillietu izskatīšanas ilgums mēnešos</w:t>
      </w:r>
      <w:r w:rsidRPr="00DF356E">
        <w:rPr>
          <w:sz w:val="28"/>
          <w:szCs w:val="28"/>
          <w:lang w:val="lv-LV"/>
        </w:rPr>
        <w:t xml:space="preserve">, atskaitot ātri izskatāmās lietas (sūdzības par tiesu izpildītāja rīcību; nekustamā īpašuma izsoles akta apstiprināšana un nekustamā īpašuma nostiprināšana uz piedzinēja vārda; </w:t>
      </w:r>
      <w:r w:rsidR="00692735" w:rsidRPr="00DF356E">
        <w:rPr>
          <w:sz w:val="28"/>
          <w:szCs w:val="28"/>
          <w:lang w:val="lv-LV"/>
        </w:rPr>
        <w:t xml:space="preserve">kā arī </w:t>
      </w:r>
      <w:r w:rsidRPr="00DF356E">
        <w:rPr>
          <w:sz w:val="28"/>
          <w:szCs w:val="28"/>
          <w:lang w:val="lv-LV"/>
        </w:rPr>
        <w:t>ārpustiesas sēdes izskatāmās lietas</w:t>
      </w:r>
      <w:r w:rsidR="00692735" w:rsidRPr="00DF356E">
        <w:rPr>
          <w:sz w:val="28"/>
          <w:szCs w:val="28"/>
          <w:lang w:val="lv-LV"/>
        </w:rPr>
        <w:t xml:space="preserve"> (lietu kategorija Nr. 50-55)</w:t>
      </w:r>
      <w:r w:rsidRPr="00DF356E">
        <w:rPr>
          <w:sz w:val="28"/>
          <w:szCs w:val="28"/>
          <w:lang w:val="lv-LV"/>
        </w:rPr>
        <w:t xml:space="preserve"> </w:t>
      </w:r>
      <w:r w:rsidR="00692735" w:rsidRPr="00DF356E">
        <w:rPr>
          <w:sz w:val="28"/>
          <w:szCs w:val="28"/>
          <w:lang w:val="lv-LV"/>
        </w:rPr>
        <w:t>- pieteikumi par prasības nodrošinājumu pirms prasības celšanas tiesā un pierādījumu nodrošinājumu; pieteikumi par saistību izpildi tiesas ceļā</w:t>
      </w:r>
      <w:r w:rsidR="00B45902" w:rsidRPr="00DF356E">
        <w:rPr>
          <w:sz w:val="28"/>
          <w:szCs w:val="28"/>
          <w:lang w:val="lv-LV"/>
        </w:rPr>
        <w:t>;</w:t>
      </w:r>
      <w:r w:rsidR="00692735" w:rsidRPr="00DF356E">
        <w:rPr>
          <w:sz w:val="28"/>
          <w:szCs w:val="28"/>
          <w:lang w:val="lv-LV"/>
        </w:rPr>
        <w:t xml:space="preserve"> pieteikumi par saimnieciskās tiesas nolēmumu izpildes kārtību</w:t>
      </w:r>
      <w:r w:rsidR="00B45902" w:rsidRPr="00DF356E">
        <w:rPr>
          <w:sz w:val="28"/>
          <w:szCs w:val="28"/>
          <w:lang w:val="lv-LV"/>
        </w:rPr>
        <w:t>;</w:t>
      </w:r>
      <w:r w:rsidR="00692735" w:rsidRPr="00DF356E">
        <w:rPr>
          <w:sz w:val="28"/>
          <w:szCs w:val="28"/>
          <w:lang w:val="lv-LV"/>
        </w:rPr>
        <w:t xml:space="preserve"> pieteikumi par šķīrējtiesu nolēmumu piespiedu izpildi; pieteikumi par mantas aizsardzību, ja nav mantojuma lietas; pieteikumi, kas saistīti ar tiesas nolēmumu izpildi),</w:t>
      </w:r>
      <w:r w:rsidRPr="00DF356E">
        <w:rPr>
          <w:sz w:val="28"/>
          <w:szCs w:val="28"/>
          <w:lang w:val="lv-LV"/>
        </w:rPr>
        <w:t xml:space="preserve"> 2010. gadā un 2011. gada pirmajā pusgadā:</w:t>
      </w:r>
    </w:p>
    <w:p w:rsidR="00DF356E" w:rsidRPr="00DF356E" w:rsidRDefault="00DF356E" w:rsidP="008448A4">
      <w:pPr>
        <w:ind w:firstLine="720"/>
        <w:jc w:val="both"/>
        <w:rPr>
          <w:sz w:val="28"/>
          <w:szCs w:val="28"/>
          <w:lang w:val="lv-LV"/>
        </w:rPr>
      </w:pPr>
    </w:p>
    <w:tbl>
      <w:tblPr>
        <w:tblW w:w="4935" w:type="pct"/>
        <w:tblLook w:val="04A0"/>
      </w:tblPr>
      <w:tblGrid>
        <w:gridCol w:w="3363"/>
        <w:gridCol w:w="1412"/>
        <w:gridCol w:w="1550"/>
        <w:gridCol w:w="1412"/>
        <w:gridCol w:w="1550"/>
      </w:tblGrid>
      <w:tr w:rsidR="008448A4" w:rsidRPr="00DF356E" w:rsidTr="00DF356E">
        <w:trPr>
          <w:trHeight w:val="343"/>
        </w:trPr>
        <w:tc>
          <w:tcPr>
            <w:tcW w:w="1765" w:type="pct"/>
            <w:vMerge w:val="restart"/>
            <w:tcBorders>
              <w:top w:val="single" w:sz="4" w:space="0" w:color="000000"/>
              <w:left w:val="single" w:sz="4" w:space="0" w:color="000000"/>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Tiesa</w:t>
            </w:r>
          </w:p>
        </w:tc>
        <w:tc>
          <w:tcPr>
            <w:tcW w:w="1618" w:type="pct"/>
            <w:gridSpan w:val="2"/>
            <w:tcBorders>
              <w:top w:val="single" w:sz="4" w:space="0" w:color="auto"/>
              <w:left w:val="nil"/>
              <w:bottom w:val="single" w:sz="4" w:space="0" w:color="auto"/>
              <w:right w:val="single" w:sz="4" w:space="0" w:color="auto"/>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2010. gadā</w:t>
            </w:r>
          </w:p>
        </w:tc>
        <w:tc>
          <w:tcPr>
            <w:tcW w:w="1616" w:type="pct"/>
            <w:gridSpan w:val="2"/>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2011. gada 1. pusgadā</w:t>
            </w:r>
          </w:p>
        </w:tc>
      </w:tr>
      <w:tr w:rsidR="008448A4" w:rsidRPr="00DF356E" w:rsidTr="00DF356E">
        <w:trPr>
          <w:trHeight w:val="1497"/>
        </w:trPr>
        <w:tc>
          <w:tcPr>
            <w:tcW w:w="1765" w:type="pct"/>
            <w:vMerge/>
            <w:tcBorders>
              <w:top w:val="single" w:sz="4" w:space="0" w:color="000000"/>
              <w:left w:val="single" w:sz="4" w:space="0" w:color="000000"/>
              <w:bottom w:val="nil"/>
              <w:right w:val="single" w:sz="4" w:space="0" w:color="000000"/>
            </w:tcBorders>
            <w:vAlign w:val="center"/>
            <w:hideMark/>
          </w:tcPr>
          <w:p w:rsidR="008448A4" w:rsidRPr="00DF356E" w:rsidRDefault="008448A4" w:rsidP="00A73293">
            <w:pPr>
              <w:rPr>
                <w:sz w:val="28"/>
                <w:szCs w:val="28"/>
                <w:lang w:val="lv-LV"/>
              </w:rPr>
            </w:pPr>
          </w:p>
        </w:tc>
        <w:tc>
          <w:tcPr>
            <w:tcW w:w="744"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pirmajā instancē</w:t>
            </w:r>
          </w:p>
        </w:tc>
        <w:tc>
          <w:tcPr>
            <w:tcW w:w="875"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apelācijas instancē apgabaltiesās</w:t>
            </w:r>
          </w:p>
        </w:tc>
        <w:tc>
          <w:tcPr>
            <w:tcW w:w="770"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pirmajā instancē</w:t>
            </w:r>
          </w:p>
        </w:tc>
        <w:tc>
          <w:tcPr>
            <w:tcW w:w="846"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apelācijas instancē apgabaltiesās</w:t>
            </w:r>
          </w:p>
        </w:tc>
      </w:tr>
      <w:tr w:rsidR="008448A4" w:rsidRPr="00DF356E" w:rsidTr="00DF356E">
        <w:trPr>
          <w:trHeight w:val="408"/>
        </w:trPr>
        <w:tc>
          <w:tcPr>
            <w:tcW w:w="1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Aizkraukles rajona </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3,6</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4,4</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Alūksnes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4,3</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3,8</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Balvu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4,1</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4,3</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Bauskas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5,6</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6,6</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Cēsu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5,6</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Daugavpils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6,7</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6,2</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Dobeles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5,9</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6,5</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Gulbenes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5,5</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6,6</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Jelgavas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8,4</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8,4</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Jēkabpils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4,5</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4,8</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lastRenderedPageBreak/>
              <w:t xml:space="preserve">Jūrmalas pilsētas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7,5</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8,2</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Krāslavas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7,0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3,5</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Kuldīgas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4,8</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6,1</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Liepājas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8,4</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9,9</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Limbažu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4,3</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4,1</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Ludzas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6,8</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6,8</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Madonas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4,1</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4,4</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Ogres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5,6</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6,4</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Preiļu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5,1</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5,7</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Rēzeknes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6,2</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pilsētas Centra rajona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8,0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10,2</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pilsētas Kurzemes rajona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10,4</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10,8</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pilsētas Latgales pr.</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11,8</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12,5</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pilsētas Vidzemes pr.</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11,7</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13,2</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pilsētas Zemgales pr.</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12,5</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11,6</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pilsētas Ziemeļu rajona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11,2</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11,6</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Rīgas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8,9</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10,0</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Saldus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5,5</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6,3</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Siguldas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6,2</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7,4</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Talsu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4,9</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5,3</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Tukuma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4,5</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4,8</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Valkas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4,8</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4,3</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Valmieras rajona </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4,8</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4,7</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29"/>
        </w:trPr>
        <w:tc>
          <w:tcPr>
            <w:tcW w:w="1765" w:type="pct"/>
            <w:tcBorders>
              <w:top w:val="nil"/>
              <w:left w:val="single" w:sz="4" w:space="0" w:color="auto"/>
              <w:bottom w:val="single" w:sz="8"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 xml:space="preserve">Ventspils </w:t>
            </w:r>
          </w:p>
        </w:tc>
        <w:tc>
          <w:tcPr>
            <w:tcW w:w="744"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5,5</w:t>
            </w:r>
          </w:p>
        </w:tc>
        <w:tc>
          <w:tcPr>
            <w:tcW w:w="875" w:type="pct"/>
            <w:tcBorders>
              <w:top w:val="nil"/>
              <w:left w:val="nil"/>
              <w:bottom w:val="single" w:sz="8"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770"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6,0</w:t>
            </w:r>
          </w:p>
        </w:tc>
        <w:tc>
          <w:tcPr>
            <w:tcW w:w="846"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Kurzemes apgabaltiesa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12,0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3,9</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14,1</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3,6</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Latgales apgabaltiesa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10,1</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3,4</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10,6</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3,3</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apgabaltiesa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19,0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9,2</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17,9</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9,8</w:t>
            </w:r>
          </w:p>
        </w:tc>
      </w:tr>
      <w:tr w:rsidR="008448A4" w:rsidRPr="00DF356E" w:rsidTr="00DF356E">
        <w:trPr>
          <w:trHeight w:val="40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Vidzemes apgabaltiesa</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12,0</w:t>
            </w:r>
          </w:p>
        </w:tc>
        <w:tc>
          <w:tcPr>
            <w:tcW w:w="875"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4,9</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15,0</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4,3</w:t>
            </w:r>
          </w:p>
        </w:tc>
      </w:tr>
      <w:tr w:rsidR="008448A4" w:rsidRPr="00DF356E" w:rsidTr="00DF356E">
        <w:trPr>
          <w:trHeight w:val="429"/>
        </w:trPr>
        <w:tc>
          <w:tcPr>
            <w:tcW w:w="1765" w:type="pct"/>
            <w:tcBorders>
              <w:top w:val="nil"/>
              <w:left w:val="single" w:sz="4" w:space="0" w:color="auto"/>
              <w:bottom w:val="single" w:sz="8"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Zemgales apgabaltiesa</w:t>
            </w:r>
          </w:p>
        </w:tc>
        <w:tc>
          <w:tcPr>
            <w:tcW w:w="744"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16,3</w:t>
            </w:r>
          </w:p>
        </w:tc>
        <w:tc>
          <w:tcPr>
            <w:tcW w:w="875" w:type="pct"/>
            <w:tcBorders>
              <w:top w:val="nil"/>
              <w:left w:val="nil"/>
              <w:bottom w:val="single" w:sz="8"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5,1</w:t>
            </w:r>
          </w:p>
        </w:tc>
        <w:tc>
          <w:tcPr>
            <w:tcW w:w="770"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14,5</w:t>
            </w:r>
          </w:p>
        </w:tc>
        <w:tc>
          <w:tcPr>
            <w:tcW w:w="846"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6,7</w:t>
            </w:r>
          </w:p>
        </w:tc>
      </w:tr>
      <w:tr w:rsidR="008448A4" w:rsidRPr="00DF356E" w:rsidTr="00DF356E">
        <w:trPr>
          <w:trHeight w:val="348"/>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Kopā</w:t>
            </w:r>
          </w:p>
        </w:tc>
        <w:tc>
          <w:tcPr>
            <w:tcW w:w="744"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8,5</w:t>
            </w:r>
          </w:p>
        </w:tc>
        <w:tc>
          <w:tcPr>
            <w:tcW w:w="875"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7,7</w:t>
            </w:r>
          </w:p>
        </w:tc>
        <w:tc>
          <w:tcPr>
            <w:tcW w:w="770"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9,1</w:t>
            </w:r>
          </w:p>
        </w:tc>
        <w:tc>
          <w:tcPr>
            <w:tcW w:w="846"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8,4</w:t>
            </w:r>
          </w:p>
        </w:tc>
      </w:tr>
    </w:tbl>
    <w:p w:rsidR="008448A4" w:rsidRPr="00DF356E" w:rsidRDefault="008448A4" w:rsidP="008448A4">
      <w:pPr>
        <w:ind w:firstLine="720"/>
        <w:jc w:val="both"/>
        <w:rPr>
          <w:sz w:val="28"/>
          <w:szCs w:val="28"/>
          <w:lang w:val="lv-LV"/>
        </w:rPr>
      </w:pPr>
    </w:p>
    <w:p w:rsidR="008448A4" w:rsidRDefault="008448A4" w:rsidP="008448A4">
      <w:pPr>
        <w:ind w:firstLine="720"/>
        <w:jc w:val="both"/>
        <w:rPr>
          <w:sz w:val="28"/>
          <w:szCs w:val="28"/>
          <w:lang w:val="lv-LV"/>
        </w:rPr>
      </w:pPr>
      <w:r w:rsidRPr="00DF356E">
        <w:rPr>
          <w:sz w:val="28"/>
          <w:szCs w:val="28"/>
          <w:lang w:val="lv-LV"/>
        </w:rPr>
        <w:lastRenderedPageBreak/>
        <w:t xml:space="preserve">Savukārt, vidējais svērtais </w:t>
      </w:r>
      <w:r w:rsidRPr="00DF356E">
        <w:rPr>
          <w:b/>
          <w:sz w:val="28"/>
          <w:szCs w:val="28"/>
          <w:lang w:val="lv-LV"/>
        </w:rPr>
        <w:t>krimināllietu izskatīšanas ilgums mēnešos</w:t>
      </w:r>
      <w:r w:rsidRPr="00DF356E">
        <w:rPr>
          <w:sz w:val="28"/>
          <w:szCs w:val="28"/>
          <w:lang w:val="lv-LV"/>
        </w:rPr>
        <w:t>, atskaitot vienošanās procesa kārtībā izskatītās lietas, 2010. gadā un 2011. gada pirmajā pusgadā:</w:t>
      </w:r>
    </w:p>
    <w:p w:rsidR="00DF356E" w:rsidRPr="00DF356E" w:rsidRDefault="00DF356E" w:rsidP="008448A4">
      <w:pPr>
        <w:ind w:firstLine="720"/>
        <w:jc w:val="both"/>
        <w:rPr>
          <w:sz w:val="28"/>
          <w:szCs w:val="28"/>
          <w:lang w:val="lv-LV"/>
        </w:rPr>
      </w:pPr>
    </w:p>
    <w:tbl>
      <w:tblPr>
        <w:tblW w:w="5000" w:type="pct"/>
        <w:tblLayout w:type="fixed"/>
        <w:tblLook w:val="04A0"/>
      </w:tblPr>
      <w:tblGrid>
        <w:gridCol w:w="2519"/>
        <w:gridCol w:w="1558"/>
        <w:gridCol w:w="1843"/>
        <w:gridCol w:w="1558"/>
        <w:gridCol w:w="1809"/>
      </w:tblGrid>
      <w:tr w:rsidR="00DF356E" w:rsidRPr="00DF356E" w:rsidTr="00DF356E">
        <w:trPr>
          <w:trHeight w:val="253"/>
        </w:trPr>
        <w:tc>
          <w:tcPr>
            <w:tcW w:w="1356" w:type="pct"/>
            <w:vMerge w:val="restart"/>
            <w:tcBorders>
              <w:top w:val="single" w:sz="4" w:space="0" w:color="000000"/>
              <w:left w:val="single" w:sz="4" w:space="0" w:color="000000"/>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Tiesa</w:t>
            </w:r>
          </w:p>
        </w:tc>
        <w:tc>
          <w:tcPr>
            <w:tcW w:w="1831" w:type="pct"/>
            <w:gridSpan w:val="2"/>
            <w:tcBorders>
              <w:top w:val="single" w:sz="4" w:space="0" w:color="auto"/>
              <w:left w:val="nil"/>
              <w:bottom w:val="single" w:sz="4" w:space="0" w:color="auto"/>
              <w:right w:val="single" w:sz="4" w:space="0" w:color="auto"/>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2010. gadā</w:t>
            </w:r>
          </w:p>
        </w:tc>
        <w:tc>
          <w:tcPr>
            <w:tcW w:w="1813" w:type="pct"/>
            <w:gridSpan w:val="2"/>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2011. gada 1. pusgadā</w:t>
            </w:r>
          </w:p>
        </w:tc>
      </w:tr>
      <w:tr w:rsidR="00DF356E" w:rsidRPr="00DF356E" w:rsidTr="00DF356E">
        <w:trPr>
          <w:trHeight w:val="1104"/>
        </w:trPr>
        <w:tc>
          <w:tcPr>
            <w:tcW w:w="1356" w:type="pct"/>
            <w:vMerge/>
            <w:tcBorders>
              <w:top w:val="single" w:sz="4" w:space="0" w:color="000000"/>
              <w:left w:val="single" w:sz="4" w:space="0" w:color="000000"/>
              <w:bottom w:val="nil"/>
              <w:right w:val="single" w:sz="4" w:space="0" w:color="000000"/>
            </w:tcBorders>
            <w:vAlign w:val="center"/>
            <w:hideMark/>
          </w:tcPr>
          <w:p w:rsidR="008448A4" w:rsidRPr="00DF356E" w:rsidRDefault="008448A4" w:rsidP="00A73293">
            <w:pPr>
              <w:rPr>
                <w:sz w:val="28"/>
                <w:szCs w:val="28"/>
                <w:lang w:val="lv-LV"/>
              </w:rPr>
            </w:pPr>
          </w:p>
        </w:tc>
        <w:tc>
          <w:tcPr>
            <w:tcW w:w="839"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pirmajā instancē</w:t>
            </w:r>
          </w:p>
        </w:tc>
        <w:tc>
          <w:tcPr>
            <w:tcW w:w="992"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apelācijas instancē apgabaltiesās</w:t>
            </w:r>
          </w:p>
        </w:tc>
        <w:tc>
          <w:tcPr>
            <w:tcW w:w="839"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pirmajā instancē</w:t>
            </w:r>
          </w:p>
        </w:tc>
        <w:tc>
          <w:tcPr>
            <w:tcW w:w="973" w:type="pct"/>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apelācijas instancē apgabaltiesās</w:t>
            </w:r>
          </w:p>
        </w:tc>
      </w:tr>
      <w:tr w:rsidR="00DF356E" w:rsidRPr="00DF356E" w:rsidTr="00DF356E">
        <w:trPr>
          <w:trHeight w:val="301"/>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Aizkraukles rajona </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4,2</w:t>
            </w:r>
          </w:p>
        </w:tc>
        <w:tc>
          <w:tcPr>
            <w:tcW w:w="992" w:type="pct"/>
            <w:tcBorders>
              <w:top w:val="single" w:sz="4" w:space="0" w:color="auto"/>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4,9</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Alūksnes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4,1</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5,4</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Balvu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4,0</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3,5</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Bauskas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4,3</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4,7</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Cēsu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3,5</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4,7</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Daugavpils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7,8</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8,9</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Dobeles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7,4</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7,5</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Gulbenes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4,6</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5,9</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Jelgavas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5,4</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6,1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Jēkabpils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3,8</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5,5</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Jūrmalas pilsētas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5,2</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6,1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Krāslavas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3,2</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3,2</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Kuldīgas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8,4</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8,1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Liepājas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4,8</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5,3</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Limbažu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3,2</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3,5</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Ludzas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8,8</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9,1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Madonas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3,4</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3,3</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Ogres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9,8</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10,4</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Preiļu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5,4</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4,2</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Rēzeknes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5,6</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Rīgas pilsētas Centra rajona</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5,2</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5,3</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Rīgas pilsētas Kurzemes rajona</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6,0</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7,6</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Rīgas pilsētas Latgales </w:t>
            </w:r>
            <w:proofErr w:type="spellStart"/>
            <w:r w:rsidRPr="00DF356E">
              <w:rPr>
                <w:sz w:val="28"/>
                <w:szCs w:val="28"/>
                <w:lang w:val="lv-LV"/>
              </w:rPr>
              <w:t>pr</w:t>
            </w:r>
            <w:proofErr w:type="spellEnd"/>
            <w:r w:rsidRPr="00DF356E">
              <w:rPr>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6,8</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7,1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Rīgas pilsētas Vidzemes </w:t>
            </w:r>
            <w:proofErr w:type="spellStart"/>
            <w:r w:rsidRPr="00DF356E">
              <w:rPr>
                <w:sz w:val="28"/>
                <w:szCs w:val="28"/>
                <w:lang w:val="lv-LV"/>
              </w:rPr>
              <w:t>pr</w:t>
            </w:r>
            <w:proofErr w:type="spellEnd"/>
            <w:r w:rsidRPr="00DF356E">
              <w:rPr>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9,0</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9,6</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Rīgas pilsētas Zemgales </w:t>
            </w:r>
            <w:proofErr w:type="spellStart"/>
            <w:r w:rsidRPr="00DF356E">
              <w:rPr>
                <w:sz w:val="28"/>
                <w:szCs w:val="28"/>
                <w:lang w:val="lv-LV"/>
              </w:rPr>
              <w:t>pr</w:t>
            </w:r>
            <w:proofErr w:type="spellEnd"/>
            <w:r w:rsidRPr="00DF356E">
              <w:rPr>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5,6</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5,9</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Rīgas pilsētas </w:t>
            </w:r>
            <w:r w:rsidRPr="00DF356E">
              <w:rPr>
                <w:sz w:val="28"/>
                <w:szCs w:val="28"/>
                <w:lang w:val="lv-LV"/>
              </w:rPr>
              <w:lastRenderedPageBreak/>
              <w:t>Ziemeļu rajona</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lastRenderedPageBreak/>
              <w:t>7,3</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9,4</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lastRenderedPageBreak/>
              <w:t xml:space="preserve">Rīgas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7,3</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7,1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Saldus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4,6</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3,9</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Siguldas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6,2</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6,0</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Talsu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3,6</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3,8</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Tukuma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3,7</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4,0</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Valkas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3,6</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3,7</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Valmieras rajona </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6,2</w:t>
            </w:r>
          </w:p>
        </w:tc>
        <w:tc>
          <w:tcPr>
            <w:tcW w:w="992" w:type="pct"/>
            <w:tcBorders>
              <w:top w:val="nil"/>
              <w:left w:val="nil"/>
              <w:bottom w:val="single" w:sz="4"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5,1</w:t>
            </w:r>
          </w:p>
        </w:tc>
        <w:tc>
          <w:tcPr>
            <w:tcW w:w="973" w:type="pct"/>
            <w:tcBorders>
              <w:top w:val="nil"/>
              <w:left w:val="nil"/>
              <w:bottom w:val="single" w:sz="4"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16"/>
        </w:trPr>
        <w:tc>
          <w:tcPr>
            <w:tcW w:w="1356" w:type="pct"/>
            <w:tcBorders>
              <w:top w:val="nil"/>
              <w:left w:val="single" w:sz="4" w:space="0" w:color="auto"/>
              <w:bottom w:val="single" w:sz="8" w:space="0" w:color="auto"/>
              <w:right w:val="single" w:sz="4" w:space="0" w:color="auto"/>
            </w:tcBorders>
            <w:shd w:val="clear" w:color="auto" w:fill="auto"/>
            <w:noWrap/>
            <w:vAlign w:val="center"/>
            <w:hideMark/>
          </w:tcPr>
          <w:p w:rsidR="00F5524B" w:rsidRPr="00DF356E" w:rsidRDefault="00F5524B" w:rsidP="00A73293">
            <w:pPr>
              <w:rPr>
                <w:sz w:val="28"/>
                <w:szCs w:val="28"/>
                <w:lang w:val="lv-LV"/>
              </w:rPr>
            </w:pPr>
            <w:r w:rsidRPr="00DF356E">
              <w:rPr>
                <w:sz w:val="28"/>
                <w:szCs w:val="28"/>
                <w:lang w:val="lv-LV"/>
              </w:rPr>
              <w:t xml:space="preserve">Ventspils </w:t>
            </w:r>
          </w:p>
        </w:tc>
        <w:tc>
          <w:tcPr>
            <w:tcW w:w="839" w:type="pct"/>
            <w:tcBorders>
              <w:top w:val="nil"/>
              <w:left w:val="nil"/>
              <w:bottom w:val="single" w:sz="8"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5,3</w:t>
            </w:r>
          </w:p>
        </w:tc>
        <w:tc>
          <w:tcPr>
            <w:tcW w:w="992" w:type="pct"/>
            <w:tcBorders>
              <w:top w:val="nil"/>
              <w:left w:val="nil"/>
              <w:bottom w:val="single" w:sz="8" w:space="0" w:color="auto"/>
              <w:right w:val="single" w:sz="4" w:space="0" w:color="auto"/>
            </w:tcBorders>
            <w:shd w:val="clear" w:color="auto" w:fill="auto"/>
            <w:vAlign w:val="center"/>
            <w:hideMark/>
          </w:tcPr>
          <w:p w:rsidR="00F5524B" w:rsidRPr="00DF356E" w:rsidRDefault="00F5524B" w:rsidP="00A73293">
            <w:pPr>
              <w:jc w:val="center"/>
              <w:rPr>
                <w:color w:val="000000"/>
                <w:sz w:val="28"/>
                <w:szCs w:val="28"/>
                <w:lang w:val="lv-LV"/>
              </w:rPr>
            </w:pPr>
            <w:r w:rsidRPr="00DF356E">
              <w:rPr>
                <w:color w:val="000000"/>
                <w:sz w:val="28"/>
                <w:szCs w:val="28"/>
                <w:lang w:val="lv-LV"/>
              </w:rPr>
              <w:t>-</w:t>
            </w:r>
          </w:p>
        </w:tc>
        <w:tc>
          <w:tcPr>
            <w:tcW w:w="839" w:type="pct"/>
            <w:tcBorders>
              <w:top w:val="nil"/>
              <w:left w:val="nil"/>
              <w:bottom w:val="single" w:sz="8"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rPr>
              <w:t>5,5</w:t>
            </w:r>
          </w:p>
        </w:tc>
        <w:tc>
          <w:tcPr>
            <w:tcW w:w="973" w:type="pct"/>
            <w:tcBorders>
              <w:top w:val="nil"/>
              <w:left w:val="nil"/>
              <w:bottom w:val="single" w:sz="8" w:space="0" w:color="auto"/>
              <w:right w:val="single" w:sz="4" w:space="0" w:color="auto"/>
            </w:tcBorders>
            <w:shd w:val="clear" w:color="auto" w:fill="auto"/>
            <w:noWrap/>
            <w:vAlign w:val="center"/>
            <w:hideMark/>
          </w:tcPr>
          <w:p w:rsidR="00F5524B" w:rsidRPr="00DF356E" w:rsidRDefault="00F5524B" w:rsidP="00A73293">
            <w:pPr>
              <w:jc w:val="center"/>
              <w:rPr>
                <w:sz w:val="28"/>
                <w:szCs w:val="28"/>
                <w:lang w:val="lv-LV"/>
              </w:rPr>
            </w:pPr>
            <w:r w:rsidRPr="00DF356E">
              <w:rPr>
                <w:sz w:val="28"/>
                <w:szCs w:val="28"/>
                <w:lang w:val="lv-LV"/>
              </w:rPr>
              <w:t>-</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Kurzemes apgabaltiesa</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5,2</w:t>
            </w:r>
          </w:p>
        </w:tc>
        <w:tc>
          <w:tcPr>
            <w:tcW w:w="992"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3,3</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B45902" w:rsidP="00A73293">
            <w:pPr>
              <w:jc w:val="center"/>
              <w:rPr>
                <w:sz w:val="28"/>
                <w:szCs w:val="28"/>
                <w:lang w:val="lv-LV"/>
              </w:rPr>
            </w:pPr>
            <w:r w:rsidRPr="00DF356E">
              <w:rPr>
                <w:sz w:val="28"/>
                <w:szCs w:val="28"/>
                <w:lang w:val="lv-LV"/>
              </w:rPr>
              <w:t>4</w:t>
            </w:r>
            <w:r w:rsidR="008448A4" w:rsidRPr="00DF356E">
              <w:rPr>
                <w:sz w:val="28"/>
                <w:szCs w:val="28"/>
                <w:lang w:val="lv-LV"/>
              </w:rPr>
              <w:t>,0</w:t>
            </w:r>
          </w:p>
        </w:tc>
        <w:tc>
          <w:tcPr>
            <w:tcW w:w="973"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3,3</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Latgales apgabaltiesa</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5,0</w:t>
            </w:r>
          </w:p>
        </w:tc>
        <w:tc>
          <w:tcPr>
            <w:tcW w:w="992"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3,4</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B45902" w:rsidP="00B45902">
            <w:pPr>
              <w:jc w:val="center"/>
              <w:rPr>
                <w:sz w:val="28"/>
                <w:szCs w:val="28"/>
                <w:lang w:val="lv-LV"/>
              </w:rPr>
            </w:pPr>
            <w:r w:rsidRPr="00DF356E">
              <w:rPr>
                <w:sz w:val="28"/>
                <w:szCs w:val="28"/>
                <w:lang w:val="lv-LV"/>
              </w:rPr>
              <w:t>11</w:t>
            </w:r>
            <w:r w:rsidR="008448A4" w:rsidRPr="00DF356E">
              <w:rPr>
                <w:sz w:val="28"/>
                <w:szCs w:val="28"/>
                <w:lang w:val="lv-LV"/>
              </w:rPr>
              <w:t>,</w:t>
            </w:r>
            <w:r w:rsidRPr="00DF356E">
              <w:rPr>
                <w:sz w:val="28"/>
                <w:szCs w:val="28"/>
                <w:lang w:val="lv-LV"/>
              </w:rPr>
              <w:t>0</w:t>
            </w:r>
          </w:p>
        </w:tc>
        <w:tc>
          <w:tcPr>
            <w:tcW w:w="973"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3,7</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Rīgas apgabaltiesa</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7,1</w:t>
            </w:r>
          </w:p>
        </w:tc>
        <w:tc>
          <w:tcPr>
            <w:tcW w:w="992"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4,1</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B45902" w:rsidP="00B45902">
            <w:pPr>
              <w:jc w:val="center"/>
              <w:rPr>
                <w:sz w:val="28"/>
                <w:szCs w:val="28"/>
                <w:lang w:val="lv-LV"/>
              </w:rPr>
            </w:pPr>
            <w:r w:rsidRPr="00DF356E">
              <w:rPr>
                <w:sz w:val="28"/>
                <w:szCs w:val="28"/>
                <w:lang w:val="lv-LV"/>
              </w:rPr>
              <w:t>7</w:t>
            </w:r>
            <w:r w:rsidR="008448A4" w:rsidRPr="00DF356E">
              <w:rPr>
                <w:sz w:val="28"/>
                <w:szCs w:val="28"/>
                <w:lang w:val="lv-LV"/>
              </w:rPr>
              <w:t>,</w:t>
            </w:r>
            <w:r w:rsidRPr="00DF356E">
              <w:rPr>
                <w:sz w:val="28"/>
                <w:szCs w:val="28"/>
                <w:lang w:val="lv-LV"/>
              </w:rPr>
              <w:t>8</w:t>
            </w:r>
          </w:p>
        </w:tc>
        <w:tc>
          <w:tcPr>
            <w:tcW w:w="973"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4,2</w:t>
            </w:r>
          </w:p>
        </w:tc>
      </w:tr>
      <w:tr w:rsidR="00DF356E" w:rsidRPr="00DF356E" w:rsidTr="00DF356E">
        <w:trPr>
          <w:trHeight w:val="301"/>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Vidzemes apgabaltiesa</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5,0</w:t>
            </w:r>
          </w:p>
        </w:tc>
        <w:tc>
          <w:tcPr>
            <w:tcW w:w="992" w:type="pct"/>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4,1</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B45902" w:rsidP="00A73293">
            <w:pPr>
              <w:jc w:val="center"/>
              <w:rPr>
                <w:sz w:val="28"/>
                <w:szCs w:val="28"/>
                <w:lang w:val="lv-LV"/>
              </w:rPr>
            </w:pPr>
            <w:r w:rsidRPr="00DF356E">
              <w:rPr>
                <w:sz w:val="28"/>
                <w:szCs w:val="28"/>
                <w:lang w:val="lv-LV"/>
              </w:rPr>
              <w:t>5,5</w:t>
            </w:r>
          </w:p>
        </w:tc>
        <w:tc>
          <w:tcPr>
            <w:tcW w:w="973"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4,0</w:t>
            </w:r>
          </w:p>
        </w:tc>
      </w:tr>
      <w:tr w:rsidR="00DF356E" w:rsidRPr="00DF356E" w:rsidTr="00DF356E">
        <w:trPr>
          <w:trHeight w:val="316"/>
        </w:trPr>
        <w:tc>
          <w:tcPr>
            <w:tcW w:w="1356" w:type="pct"/>
            <w:tcBorders>
              <w:top w:val="nil"/>
              <w:left w:val="single" w:sz="4" w:space="0" w:color="auto"/>
              <w:bottom w:val="single" w:sz="8"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Zemgales apgabaltiesa</w:t>
            </w:r>
          </w:p>
        </w:tc>
        <w:tc>
          <w:tcPr>
            <w:tcW w:w="839"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5,4</w:t>
            </w:r>
          </w:p>
        </w:tc>
        <w:tc>
          <w:tcPr>
            <w:tcW w:w="992" w:type="pct"/>
            <w:tcBorders>
              <w:top w:val="nil"/>
              <w:left w:val="nil"/>
              <w:bottom w:val="single" w:sz="8"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3,5</w:t>
            </w:r>
          </w:p>
        </w:tc>
        <w:tc>
          <w:tcPr>
            <w:tcW w:w="839" w:type="pct"/>
            <w:tcBorders>
              <w:top w:val="nil"/>
              <w:left w:val="nil"/>
              <w:bottom w:val="single" w:sz="8" w:space="0" w:color="auto"/>
              <w:right w:val="single" w:sz="4" w:space="0" w:color="auto"/>
            </w:tcBorders>
            <w:shd w:val="clear" w:color="auto" w:fill="auto"/>
            <w:noWrap/>
            <w:vAlign w:val="center"/>
            <w:hideMark/>
          </w:tcPr>
          <w:p w:rsidR="008448A4" w:rsidRPr="00DF356E" w:rsidRDefault="00B45902" w:rsidP="00A73293">
            <w:pPr>
              <w:jc w:val="center"/>
              <w:rPr>
                <w:sz w:val="28"/>
                <w:szCs w:val="28"/>
                <w:lang w:val="lv-LV"/>
              </w:rPr>
            </w:pPr>
            <w:r w:rsidRPr="00DF356E">
              <w:rPr>
                <w:sz w:val="28"/>
                <w:szCs w:val="28"/>
                <w:lang w:val="lv-LV"/>
              </w:rPr>
              <w:t>7,2</w:t>
            </w:r>
          </w:p>
        </w:tc>
        <w:tc>
          <w:tcPr>
            <w:tcW w:w="973" w:type="pct"/>
            <w:tcBorders>
              <w:top w:val="nil"/>
              <w:left w:val="nil"/>
              <w:bottom w:val="single" w:sz="8"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3,5</w:t>
            </w:r>
          </w:p>
        </w:tc>
      </w:tr>
      <w:tr w:rsidR="00DF356E" w:rsidRPr="00DF356E" w:rsidTr="00DF356E">
        <w:trPr>
          <w:trHeight w:val="256"/>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Kopā</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5,8</w:t>
            </w:r>
          </w:p>
        </w:tc>
        <w:tc>
          <w:tcPr>
            <w:tcW w:w="992"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3,8</w:t>
            </w:r>
          </w:p>
        </w:tc>
        <w:tc>
          <w:tcPr>
            <w:tcW w:w="839"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8,5</w:t>
            </w:r>
          </w:p>
        </w:tc>
        <w:tc>
          <w:tcPr>
            <w:tcW w:w="973" w:type="pct"/>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3,9</w:t>
            </w:r>
          </w:p>
        </w:tc>
      </w:tr>
    </w:tbl>
    <w:p w:rsidR="00DF356E" w:rsidRDefault="00DF356E" w:rsidP="00447338">
      <w:pPr>
        <w:ind w:firstLine="720"/>
        <w:jc w:val="both"/>
        <w:rPr>
          <w:sz w:val="28"/>
          <w:szCs w:val="28"/>
          <w:lang w:val="lv-LV"/>
        </w:rPr>
      </w:pPr>
    </w:p>
    <w:p w:rsidR="008448A4" w:rsidRDefault="008448A4" w:rsidP="008448A4">
      <w:pPr>
        <w:ind w:firstLine="720"/>
        <w:jc w:val="both"/>
        <w:rPr>
          <w:sz w:val="28"/>
          <w:szCs w:val="28"/>
          <w:lang w:val="lv-LV"/>
        </w:rPr>
      </w:pPr>
      <w:r w:rsidRPr="00DF356E">
        <w:rPr>
          <w:sz w:val="28"/>
          <w:szCs w:val="28"/>
          <w:lang w:val="lv-LV"/>
        </w:rPr>
        <w:t xml:space="preserve">Vidējais svērtais </w:t>
      </w:r>
      <w:r w:rsidRPr="00DF356E">
        <w:rPr>
          <w:b/>
          <w:sz w:val="28"/>
          <w:szCs w:val="28"/>
          <w:lang w:val="lv-LV"/>
        </w:rPr>
        <w:t>administratīvo lietu izskatīšanas ilgums mēnešos</w:t>
      </w:r>
      <w:r w:rsidRPr="00DF356E">
        <w:rPr>
          <w:sz w:val="28"/>
          <w:szCs w:val="28"/>
          <w:lang w:val="lv-LV"/>
        </w:rPr>
        <w:t>, 2010. gadā un 2011. gada pirmajā pusgadā:</w:t>
      </w:r>
    </w:p>
    <w:p w:rsidR="00DF356E" w:rsidRPr="00DF356E" w:rsidRDefault="00DF356E" w:rsidP="008448A4">
      <w:pPr>
        <w:ind w:firstLine="720"/>
        <w:jc w:val="both"/>
        <w:rPr>
          <w:sz w:val="28"/>
          <w:szCs w:val="28"/>
          <w:lang w:val="lv-LV"/>
        </w:rPr>
      </w:pPr>
    </w:p>
    <w:tbl>
      <w:tblPr>
        <w:tblW w:w="9167" w:type="dxa"/>
        <w:tblLayout w:type="fixed"/>
        <w:tblLook w:val="04A0"/>
      </w:tblPr>
      <w:tblGrid>
        <w:gridCol w:w="2376"/>
        <w:gridCol w:w="1560"/>
        <w:gridCol w:w="1842"/>
        <w:gridCol w:w="1560"/>
        <w:gridCol w:w="1829"/>
      </w:tblGrid>
      <w:tr w:rsidR="00DF356E" w:rsidRPr="00DF356E" w:rsidTr="00DF356E">
        <w:trPr>
          <w:trHeight w:val="256"/>
        </w:trPr>
        <w:tc>
          <w:tcPr>
            <w:tcW w:w="23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Tiesa</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2010. gadā</w:t>
            </w:r>
          </w:p>
        </w:tc>
        <w:tc>
          <w:tcPr>
            <w:tcW w:w="3389" w:type="dxa"/>
            <w:gridSpan w:val="2"/>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2011. gada 1. pusgadā</w:t>
            </w:r>
          </w:p>
        </w:tc>
      </w:tr>
      <w:tr w:rsidR="00DF356E" w:rsidRPr="00DF356E" w:rsidTr="00DF356E">
        <w:trPr>
          <w:trHeight w:val="1117"/>
        </w:trPr>
        <w:tc>
          <w:tcPr>
            <w:tcW w:w="2376" w:type="dxa"/>
            <w:vMerge/>
            <w:tcBorders>
              <w:top w:val="single" w:sz="4" w:space="0" w:color="000000"/>
              <w:left w:val="single" w:sz="4" w:space="0" w:color="000000"/>
              <w:bottom w:val="nil"/>
              <w:right w:val="single" w:sz="4" w:space="0" w:color="000000"/>
            </w:tcBorders>
            <w:vAlign w:val="center"/>
            <w:hideMark/>
          </w:tcPr>
          <w:p w:rsidR="008448A4" w:rsidRPr="00DF356E" w:rsidRDefault="008448A4" w:rsidP="00A73293">
            <w:pPr>
              <w:rPr>
                <w:sz w:val="28"/>
                <w:szCs w:val="28"/>
                <w:lang w:val="lv-LV"/>
              </w:rPr>
            </w:pPr>
          </w:p>
        </w:tc>
        <w:tc>
          <w:tcPr>
            <w:tcW w:w="1560" w:type="dxa"/>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pirmajā instancē</w:t>
            </w:r>
          </w:p>
        </w:tc>
        <w:tc>
          <w:tcPr>
            <w:tcW w:w="1842" w:type="dxa"/>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apelācijas instancē apgabaltiesās</w:t>
            </w:r>
          </w:p>
        </w:tc>
        <w:tc>
          <w:tcPr>
            <w:tcW w:w="1560" w:type="dxa"/>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pirmajā instancē</w:t>
            </w:r>
          </w:p>
        </w:tc>
        <w:tc>
          <w:tcPr>
            <w:tcW w:w="1829" w:type="dxa"/>
            <w:tcBorders>
              <w:top w:val="nil"/>
              <w:left w:val="nil"/>
              <w:bottom w:val="nil"/>
              <w:right w:val="single" w:sz="4" w:space="0" w:color="000000"/>
            </w:tcBorders>
            <w:shd w:val="clear" w:color="000000" w:fill="FFFFFF"/>
            <w:vAlign w:val="center"/>
            <w:hideMark/>
          </w:tcPr>
          <w:p w:rsidR="008448A4" w:rsidRPr="00DF356E" w:rsidRDefault="008448A4" w:rsidP="00A73293">
            <w:pPr>
              <w:jc w:val="center"/>
              <w:rPr>
                <w:sz w:val="28"/>
                <w:szCs w:val="28"/>
                <w:lang w:val="lv-LV"/>
              </w:rPr>
            </w:pPr>
            <w:r w:rsidRPr="00DF356E">
              <w:rPr>
                <w:sz w:val="28"/>
                <w:szCs w:val="28"/>
                <w:lang w:val="lv-LV"/>
              </w:rPr>
              <w:t>Vidējais svērtais izskatīšanas ilgums apelācijas instancē apgabaltiesās</w:t>
            </w:r>
          </w:p>
        </w:tc>
      </w:tr>
      <w:tr w:rsidR="00DF356E" w:rsidRPr="00DF356E" w:rsidTr="00DF356E">
        <w:trPr>
          <w:trHeight w:val="30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Administratīvā rajona tiesa Jelgavas tiesu nams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12.8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10.7</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DF356E" w:rsidRPr="00DF356E" w:rsidTr="00DF356E">
        <w:trPr>
          <w:trHeight w:val="30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Administratīvā rajona tiesa Liepājas tiesu nams</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15.3</w:t>
            </w:r>
          </w:p>
        </w:tc>
        <w:tc>
          <w:tcPr>
            <w:tcW w:w="1842" w:type="dxa"/>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13.7</w:t>
            </w:r>
          </w:p>
        </w:tc>
        <w:tc>
          <w:tcPr>
            <w:tcW w:w="1829"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DF356E" w:rsidRPr="00DF356E" w:rsidTr="00DF356E">
        <w:trPr>
          <w:trHeight w:val="30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Administratīvā rajona tiesa Rēzeknes tiesu nams</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12.1</w:t>
            </w:r>
          </w:p>
        </w:tc>
        <w:tc>
          <w:tcPr>
            <w:tcW w:w="1842" w:type="dxa"/>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13.3</w:t>
            </w:r>
          </w:p>
        </w:tc>
        <w:tc>
          <w:tcPr>
            <w:tcW w:w="1829"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DF356E" w:rsidRPr="00DF356E" w:rsidTr="00DF356E">
        <w:trPr>
          <w:trHeight w:val="30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lastRenderedPageBreak/>
              <w:t>Administratīvā rajona tiesa Rīgas tiesu nams</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19.8</w:t>
            </w:r>
          </w:p>
        </w:tc>
        <w:tc>
          <w:tcPr>
            <w:tcW w:w="1842" w:type="dxa"/>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19.8</w:t>
            </w:r>
          </w:p>
        </w:tc>
        <w:tc>
          <w:tcPr>
            <w:tcW w:w="1829"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DF356E" w:rsidRPr="00DF356E" w:rsidTr="00DF356E">
        <w:trPr>
          <w:trHeight w:val="30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Administratīvā rajona tiesa Valmieras tiesu nams</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6.7</w:t>
            </w:r>
          </w:p>
        </w:tc>
        <w:tc>
          <w:tcPr>
            <w:tcW w:w="1842" w:type="dxa"/>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color w:val="000000"/>
                <w:sz w:val="28"/>
                <w:szCs w:val="28"/>
                <w:lang w:val="lv-LV"/>
              </w:rPr>
              <w:t>-</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7.5</w:t>
            </w:r>
          </w:p>
        </w:tc>
        <w:tc>
          <w:tcPr>
            <w:tcW w:w="1829"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w:t>
            </w:r>
          </w:p>
        </w:tc>
      </w:tr>
      <w:tr w:rsidR="00DF356E" w:rsidRPr="00DF356E" w:rsidTr="00DF356E">
        <w:trPr>
          <w:trHeight w:val="30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rPr>
                <w:sz w:val="28"/>
                <w:szCs w:val="28"/>
                <w:lang w:val="lv-LV"/>
              </w:rPr>
            </w:pPr>
            <w:r w:rsidRPr="00DF356E">
              <w:rPr>
                <w:sz w:val="28"/>
                <w:szCs w:val="28"/>
                <w:lang w:val="lv-LV"/>
              </w:rPr>
              <w:t>Administratīvā apgabaltiesa</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10.3</w:t>
            </w:r>
          </w:p>
        </w:tc>
        <w:tc>
          <w:tcPr>
            <w:tcW w:w="1842" w:type="dxa"/>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color w:val="000000"/>
                <w:sz w:val="28"/>
                <w:szCs w:val="28"/>
                <w:lang w:val="lv-LV"/>
              </w:rPr>
            </w:pPr>
            <w:r w:rsidRPr="00DF356E">
              <w:rPr>
                <w:sz w:val="28"/>
                <w:szCs w:val="28"/>
                <w:lang w:val="lv-LV"/>
              </w:rPr>
              <w:t>4.9</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7.6</w:t>
            </w:r>
          </w:p>
        </w:tc>
        <w:tc>
          <w:tcPr>
            <w:tcW w:w="1829"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sz w:val="28"/>
                <w:szCs w:val="28"/>
                <w:lang w:val="lv-LV"/>
              </w:rPr>
            </w:pPr>
            <w:r w:rsidRPr="00DF356E">
              <w:rPr>
                <w:sz w:val="28"/>
                <w:szCs w:val="28"/>
                <w:lang w:val="lv-LV"/>
              </w:rPr>
              <w:t>3.9</w:t>
            </w:r>
          </w:p>
        </w:tc>
      </w:tr>
      <w:tr w:rsidR="00DF356E" w:rsidRPr="00DF356E" w:rsidTr="00DF356E">
        <w:trPr>
          <w:trHeight w:val="30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bCs/>
                <w:sz w:val="28"/>
                <w:szCs w:val="28"/>
                <w:lang w:val="lv-LV"/>
              </w:rPr>
              <w:t>Kopā</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sz w:val="28"/>
                <w:szCs w:val="28"/>
                <w:lang w:val="lv-LV"/>
              </w:rPr>
              <w:t>16.8</w:t>
            </w:r>
          </w:p>
        </w:tc>
        <w:tc>
          <w:tcPr>
            <w:tcW w:w="1842" w:type="dxa"/>
            <w:tcBorders>
              <w:top w:val="nil"/>
              <w:left w:val="nil"/>
              <w:bottom w:val="single" w:sz="4" w:space="0" w:color="auto"/>
              <w:right w:val="single" w:sz="4" w:space="0" w:color="auto"/>
            </w:tcBorders>
            <w:shd w:val="clear" w:color="auto" w:fill="auto"/>
            <w:vAlign w:val="center"/>
            <w:hideMark/>
          </w:tcPr>
          <w:p w:rsidR="008448A4" w:rsidRPr="00DF356E" w:rsidRDefault="008448A4" w:rsidP="00A73293">
            <w:pPr>
              <w:jc w:val="center"/>
              <w:rPr>
                <w:b/>
                <w:bCs/>
                <w:sz w:val="28"/>
                <w:szCs w:val="28"/>
                <w:lang w:val="lv-LV"/>
              </w:rPr>
            </w:pPr>
            <w:r w:rsidRPr="00DF356E">
              <w:rPr>
                <w:b/>
                <w:sz w:val="28"/>
                <w:szCs w:val="28"/>
                <w:lang w:val="lv-LV"/>
              </w:rPr>
              <w:t>4.9</w:t>
            </w:r>
          </w:p>
        </w:tc>
        <w:tc>
          <w:tcPr>
            <w:tcW w:w="1560"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sz w:val="28"/>
                <w:szCs w:val="28"/>
                <w:lang w:val="lv-LV"/>
              </w:rPr>
              <w:t>16.2</w:t>
            </w:r>
          </w:p>
        </w:tc>
        <w:tc>
          <w:tcPr>
            <w:tcW w:w="1829" w:type="dxa"/>
            <w:tcBorders>
              <w:top w:val="nil"/>
              <w:left w:val="nil"/>
              <w:bottom w:val="single" w:sz="4" w:space="0" w:color="auto"/>
              <w:right w:val="single" w:sz="4" w:space="0" w:color="auto"/>
            </w:tcBorders>
            <w:shd w:val="clear" w:color="auto" w:fill="auto"/>
            <w:noWrap/>
            <w:vAlign w:val="center"/>
            <w:hideMark/>
          </w:tcPr>
          <w:p w:rsidR="008448A4" w:rsidRPr="00DF356E" w:rsidRDefault="008448A4" w:rsidP="00A73293">
            <w:pPr>
              <w:jc w:val="center"/>
              <w:rPr>
                <w:b/>
                <w:bCs/>
                <w:sz w:val="28"/>
                <w:szCs w:val="28"/>
                <w:lang w:val="lv-LV"/>
              </w:rPr>
            </w:pPr>
            <w:r w:rsidRPr="00DF356E">
              <w:rPr>
                <w:b/>
                <w:sz w:val="28"/>
                <w:szCs w:val="28"/>
                <w:lang w:val="lv-LV"/>
              </w:rPr>
              <w:t>3.9</w:t>
            </w:r>
          </w:p>
        </w:tc>
      </w:tr>
    </w:tbl>
    <w:p w:rsidR="008448A4" w:rsidRPr="00DF356E" w:rsidRDefault="008448A4" w:rsidP="008448A4">
      <w:pPr>
        <w:ind w:firstLine="720"/>
        <w:jc w:val="both"/>
        <w:rPr>
          <w:sz w:val="28"/>
          <w:szCs w:val="28"/>
          <w:lang w:val="lv-LV"/>
        </w:rPr>
      </w:pPr>
    </w:p>
    <w:p w:rsidR="008448A4" w:rsidRPr="00DF356E" w:rsidRDefault="008448A4" w:rsidP="008448A4">
      <w:pPr>
        <w:ind w:firstLine="567"/>
        <w:jc w:val="both"/>
        <w:rPr>
          <w:sz w:val="28"/>
          <w:szCs w:val="28"/>
          <w:lang w:val="lv-LV"/>
        </w:rPr>
      </w:pPr>
      <w:r w:rsidRPr="00DF356E">
        <w:rPr>
          <w:sz w:val="28"/>
          <w:szCs w:val="28"/>
          <w:lang w:val="lv-LV"/>
        </w:rPr>
        <w:t xml:space="preserve">Attiecībā uz lietu izskatīšanas termiņiem tiesās </w:t>
      </w:r>
      <w:r w:rsidR="00B45902" w:rsidRPr="00DF356E">
        <w:rPr>
          <w:sz w:val="28"/>
          <w:szCs w:val="28"/>
          <w:lang w:val="lv-LV"/>
        </w:rPr>
        <w:t>norādāms</w:t>
      </w:r>
      <w:r w:rsidRPr="00DF356E">
        <w:rPr>
          <w:sz w:val="28"/>
          <w:szCs w:val="28"/>
          <w:lang w:val="lv-LV"/>
        </w:rPr>
        <w:t xml:space="preserve">, ka, lai gan normatīvajos aktos nav noteikts konkrēts termiņš lietas vispusīgai un objektīvai izskatīšanai, tomēr tiesnesim lietas izskatīšanā jāvadās no likuma „Par tiesu varu” 28. pantā nostiprinātā procesuālā ekonomijas principa, kurš noteic, ka tiesnesim lieta jāizspriež tik ātri, cik vien iespējams. To, kas būtu atzīstams par saprātīgu, iespējami īsu lietas izskatīšanas termiņu, ir tiesības izvērtēt tiesai (tiesnesim), ņemot vērā katras konkrētās lietas apjomu, juridisko sarežģītību, procesuālo darbību daudzumu, procesā iesaistīto personu attieksmi pret tām noteikto pienākumu izpildīšanu un citus objektīvus apstākļus, kuru izvērtēšanu var nodrošināt vienīgi tiesnesis, kura lietvedībā atrodas konkrētā lieta. </w:t>
      </w:r>
    </w:p>
    <w:p w:rsidR="008448A4" w:rsidRPr="00DF356E" w:rsidRDefault="008448A4" w:rsidP="008448A4">
      <w:pPr>
        <w:ind w:firstLine="567"/>
        <w:jc w:val="both"/>
        <w:rPr>
          <w:sz w:val="28"/>
          <w:szCs w:val="28"/>
          <w:lang w:val="lv-LV"/>
        </w:rPr>
      </w:pPr>
      <w:r w:rsidRPr="00DF356E">
        <w:rPr>
          <w:sz w:val="28"/>
          <w:szCs w:val="28"/>
          <w:lang w:val="lv-LV"/>
        </w:rPr>
        <w:t>Atsevišķi izņēmumi no minētā ir paredzēti procesuālajās tiesību normās attiecībā uz noteiktu kategoriju lietu izskatīšanu, kā arī speciālajos likumos ir nostiprinātas normas, kas noteic, kādas lietas tiesā izskatām</w:t>
      </w:r>
      <w:r w:rsidR="00EA68CC">
        <w:rPr>
          <w:sz w:val="28"/>
          <w:szCs w:val="28"/>
          <w:lang w:val="lv-LV"/>
        </w:rPr>
        <w:t>a</w:t>
      </w:r>
      <w:r w:rsidRPr="00DF356E">
        <w:rPr>
          <w:sz w:val="28"/>
          <w:szCs w:val="28"/>
          <w:lang w:val="lv-LV"/>
        </w:rPr>
        <w:t xml:space="preserve">s ārpus kārtas. Savukārt lietas, kas neatbilst nevienai no normatīvajos aktos noteiktajām prioritāro lietu kategorijām, izskatīšanai tiesas sēdē pamatā tiek nozīmētas to ienākšanas secībā. </w:t>
      </w:r>
    </w:p>
    <w:p w:rsidR="008448A4" w:rsidRPr="00DF356E" w:rsidRDefault="008448A4" w:rsidP="008448A4">
      <w:pPr>
        <w:ind w:firstLine="567"/>
        <w:jc w:val="both"/>
        <w:rPr>
          <w:sz w:val="28"/>
          <w:szCs w:val="28"/>
          <w:lang w:val="lv-LV"/>
        </w:rPr>
      </w:pPr>
      <w:r w:rsidRPr="00DF356E">
        <w:rPr>
          <w:sz w:val="28"/>
          <w:szCs w:val="28"/>
          <w:lang w:val="lv-LV"/>
        </w:rPr>
        <w:t xml:space="preserve">Tai pat laikā, lai nodrošinātu konkrētas lietas izskatīšanu paātrinātos termiņos, procesuālajās tiesību normās jau šobrīd ir nostiprināta iespēja ikvienai personai, kas ir tiesas lietvedībā esošas lietas dalībnieks, vērsties tiesā ar lūgumu rast iespēju nozīmēt tiesas sēdi lietas izskatīšanai ātrāk, norādot tos īpašos apstākļus, kas pamato lietas ātrākas izskatīšanas nepieciešamību. Tāpat, pamatojoties uz likuma „Par tiesu varu” 33. panta pirmo daļu un 40. panta pirmo daļu, kas noteic, ka tiesas iestādes darbu līdztekus tiesneša pienākumu pildīšanai vada attiecīgi rajona (pilsētas) tiesas vai apgabaltiesas priekšsēdētājs, ar šādu lūgumu persona var vērsties arī pie tiesas priekšsēdētāja. </w:t>
      </w:r>
      <w:r w:rsidR="00B45902" w:rsidRPr="00DF356E">
        <w:rPr>
          <w:sz w:val="28"/>
          <w:szCs w:val="28"/>
          <w:lang w:val="lv-LV"/>
        </w:rPr>
        <w:t>Līdz ar to</w:t>
      </w:r>
      <w:r w:rsidRPr="00DF356E">
        <w:rPr>
          <w:sz w:val="28"/>
          <w:szCs w:val="28"/>
          <w:lang w:val="lv-LV"/>
        </w:rPr>
        <w:t xml:space="preserve"> lieta var tikt atzīta par prioritāru arī </w:t>
      </w:r>
      <w:r w:rsidR="00EA68CC">
        <w:rPr>
          <w:sz w:val="28"/>
          <w:szCs w:val="28"/>
          <w:lang w:val="lv-LV"/>
        </w:rPr>
        <w:t>tad, ja tā neatbilst nevienai</w:t>
      </w:r>
      <w:r w:rsidRPr="00DF356E">
        <w:rPr>
          <w:sz w:val="28"/>
          <w:szCs w:val="28"/>
          <w:lang w:val="lv-LV"/>
        </w:rPr>
        <w:t xml:space="preserve"> no normatīvajos aktos noteiktajām prioritāro lietu kategorijām.</w:t>
      </w:r>
    </w:p>
    <w:p w:rsidR="008448A4" w:rsidRPr="00DF356E" w:rsidRDefault="008448A4" w:rsidP="008448A4">
      <w:pPr>
        <w:ind w:firstLine="720"/>
        <w:jc w:val="both"/>
        <w:rPr>
          <w:sz w:val="28"/>
          <w:szCs w:val="28"/>
          <w:lang w:val="lv-LV"/>
        </w:rPr>
      </w:pPr>
      <w:r w:rsidRPr="00DF356E">
        <w:rPr>
          <w:sz w:val="28"/>
          <w:szCs w:val="28"/>
          <w:lang w:val="lv-LV"/>
        </w:rPr>
        <w:t>Vienlaikus Tieslietu ministrija apzinās pašlaik tiesās pastāvošo problēmu – lietu ilgstošu izskatīšanu – kas lielā mērā ir saistīta ar tiesā saņemto prasību un pieteikumu lielo skaitu. Saskaņā</w:t>
      </w:r>
      <w:r w:rsidR="00EA68CC">
        <w:rPr>
          <w:sz w:val="28"/>
          <w:szCs w:val="28"/>
          <w:lang w:val="lv-LV"/>
        </w:rPr>
        <w:t xml:space="preserve"> ar</w:t>
      </w:r>
      <w:r w:rsidRPr="00DF356E">
        <w:rPr>
          <w:sz w:val="28"/>
          <w:szCs w:val="28"/>
          <w:lang w:val="lv-LV"/>
        </w:rPr>
        <w:t xml:space="preserve"> likuma „Par tiesu varu” 28. pantu tiesnesis izspriež lietu tik ātri, cik vien iespējams, taču tiesu noslogotības dēļ civillietas izskatīšana vienā tiesu instancē var ieilgt. Tiesu noslodzes samazināšana un izlīdzināšana ir viena no Tieslietu ministrijas darbības </w:t>
      </w:r>
      <w:r w:rsidRPr="00DF356E">
        <w:rPr>
          <w:sz w:val="28"/>
          <w:szCs w:val="28"/>
          <w:lang w:val="lv-LV"/>
        </w:rPr>
        <w:lastRenderedPageBreak/>
        <w:t xml:space="preserve">prioritātēm tiesu politikas jomā. Taču vienlaikus </w:t>
      </w:r>
      <w:r w:rsidRPr="00DF356E">
        <w:rPr>
          <w:b/>
          <w:sz w:val="28"/>
          <w:szCs w:val="28"/>
          <w:lang w:val="lv-LV"/>
        </w:rPr>
        <w:t>vēršam uzmanību uz apstākli, ka nav iespējama minētā mērķa īstenošana ar tūlītēju rezultātu. Lietu izskatīšanas termiņu samazināšana nodrošināma ar vairāku savstarpēji saistītu pasākumu palīdzību, gan veicot strukturāla rakstura izmaiņas, gan pilnveidojot procesuāli tiesisko regulējumu</w:t>
      </w:r>
      <w:r w:rsidRPr="00DF356E">
        <w:rPr>
          <w:sz w:val="28"/>
          <w:szCs w:val="28"/>
          <w:lang w:val="lv-LV"/>
        </w:rPr>
        <w:t xml:space="preserve">. </w:t>
      </w:r>
    </w:p>
    <w:p w:rsidR="008448A4" w:rsidRPr="00DF356E" w:rsidRDefault="008448A4" w:rsidP="008448A4">
      <w:pPr>
        <w:ind w:firstLine="567"/>
        <w:jc w:val="both"/>
        <w:rPr>
          <w:sz w:val="28"/>
          <w:szCs w:val="28"/>
          <w:lang w:val="lv-LV"/>
        </w:rPr>
      </w:pPr>
      <w:r w:rsidRPr="00DF356E">
        <w:rPr>
          <w:sz w:val="28"/>
          <w:szCs w:val="28"/>
          <w:lang w:val="lv-LV"/>
        </w:rPr>
        <w:t xml:space="preserve">Šobrīd Tieslietu ministrija intensīvi veic darbu pie politikas plānošanas dokumenta „Tiesu iekārtas attīstības pamatnostādnes 2009. – 2015. gadam”  (apstiprinātas ar Ministru kabineta 2009. gada 7. oktobra rīkojumu Nr. 685) īstenošanas, kuras mērķis ir nodrošināt tiesisku, efektīvu, kvalitatīvu un sabiedrības vajadzībām atbilstošu tiesu iekārtas darbību, sekmējot tādu tiesu varas pamatvērtību realizāciju kā neatkarīga, pieejama tiesa un efektīva tiesas procesa norise sapratīgā termiņā. Ir atzīts, ka tiesai neraksturīgas funkcijas veido papildu noslodzi un ierobežo tiesu resursu izmantošanu tiesas spriešanas funkcijas realizācijai. </w:t>
      </w:r>
      <w:r w:rsidRPr="00DF356E">
        <w:rPr>
          <w:sz w:val="28"/>
          <w:szCs w:val="28"/>
          <w:u w:val="single"/>
          <w:lang w:val="lv-LV"/>
        </w:rPr>
        <w:t>Atbrīvojot tiesas no tādu lietu skatīšanas, kurās nav strīda, un no tiesām neraksturīgiem pienākumiem</w:t>
      </w:r>
      <w:r w:rsidRPr="00DF356E">
        <w:rPr>
          <w:sz w:val="28"/>
          <w:szCs w:val="28"/>
          <w:lang w:val="lv-LV"/>
        </w:rPr>
        <w:t>, saīsinātos lietu izskatīšanas termiņi un palielinātos tiesu efektivitāte. Līdz ar to tiesas varētu pievērsties tās galvenajai funkcijai – strīda izšķiršanai.</w:t>
      </w:r>
    </w:p>
    <w:p w:rsidR="008448A4" w:rsidRPr="00DF356E" w:rsidRDefault="008448A4" w:rsidP="008448A4">
      <w:pPr>
        <w:ind w:firstLine="567"/>
        <w:jc w:val="both"/>
        <w:rPr>
          <w:sz w:val="28"/>
          <w:szCs w:val="28"/>
          <w:lang w:val="lv-LV"/>
        </w:rPr>
      </w:pPr>
      <w:r w:rsidRPr="00DF356E">
        <w:rPr>
          <w:sz w:val="28"/>
          <w:szCs w:val="28"/>
          <w:lang w:val="lv-LV"/>
        </w:rPr>
        <w:t xml:space="preserve">Tā ietvaros </w:t>
      </w:r>
      <w:r w:rsidR="00B45902" w:rsidRPr="00DF356E">
        <w:rPr>
          <w:sz w:val="28"/>
          <w:szCs w:val="28"/>
          <w:lang w:val="lv-LV"/>
        </w:rPr>
        <w:t xml:space="preserve">tika </w:t>
      </w:r>
      <w:r w:rsidRPr="00DF356E">
        <w:rPr>
          <w:sz w:val="28"/>
          <w:szCs w:val="28"/>
          <w:lang w:val="lv-LV"/>
        </w:rPr>
        <w:t xml:space="preserve">izstrādāti grozījumi virknē normatīvo aktu, kas paredz atsevišķu tiesu funkciju deleģēšana zvērinātiem notāriem. Tā, piemēram, no 2011. gada 1. februāra, lai mazinātu tiesu noslogotību un samazinātu tiesu lietu izskatīšanas termiņu, stājās spēkā jaunā kārtība, saskaņā ar kuru bezstrīdus kārtībā laulību var šķirt zvērināts notārs, nevis tiesa (2010. gada 28. oktobra grozījumi Notariāta likumā, Civilstāvokļa aktu likumā, Civillikumā, Civilprocesa likumā un Vārda, uzvārda un tautības ieraksta maiņas likumā u.c.). Proti, zvērinātam notāram ir tiesības šķirt laulību, pamatojoties uz abu laulāto iesniegumu, ja starp laulātiem nav strīdu par mantas sadali, bērnu aizgādību, saskarsmes tiesībām un uzturlīdzekļiem. Ja laulātie savstarpēji nav vienojušies par laulības šķiršanu vai attiecībā uz kādu no jautājumiem, kas skar kopīgu nepilngadīgu bērnu vai kopīgu mantu, laulību var šķirt tikai tiesa. </w:t>
      </w:r>
    </w:p>
    <w:p w:rsidR="008448A4" w:rsidRPr="00DF356E" w:rsidRDefault="008448A4" w:rsidP="008448A4">
      <w:pPr>
        <w:pStyle w:val="ParastaisWeb"/>
        <w:spacing w:before="0" w:beforeAutospacing="0" w:after="0" w:afterAutospacing="0"/>
        <w:jc w:val="both"/>
        <w:rPr>
          <w:rFonts w:ascii="Times New Roman" w:hAnsi="Times New Roman"/>
          <w:sz w:val="28"/>
          <w:szCs w:val="28"/>
        </w:rPr>
      </w:pPr>
      <w:r w:rsidRPr="00DF356E">
        <w:rPr>
          <w:rFonts w:ascii="Times New Roman" w:hAnsi="Times New Roman"/>
          <w:sz w:val="28"/>
          <w:szCs w:val="28"/>
        </w:rPr>
        <w:tab/>
        <w:t>Tāpat ar 2011. gada 21. jūlija likumu „Grozījumi likumā „Par tiesu varu”</w:t>
      </w:r>
      <w:r w:rsidR="00692735" w:rsidRPr="00DF356E">
        <w:rPr>
          <w:rFonts w:ascii="Times New Roman" w:hAnsi="Times New Roman"/>
          <w:sz w:val="28"/>
          <w:szCs w:val="28"/>
        </w:rPr>
        <w:t>”</w:t>
      </w:r>
      <w:r w:rsidRPr="00DF356E">
        <w:rPr>
          <w:rFonts w:ascii="Times New Roman" w:hAnsi="Times New Roman"/>
          <w:sz w:val="28"/>
          <w:szCs w:val="28"/>
        </w:rPr>
        <w:t xml:space="preserve"> zemesgrāmatu nodaļas iekļautas rajonu (pilsētu) tiesu sastāvā, papildus līdzšinējai funkcijai nododot zemesgrāmatu nodaļu tiesnešu kompetencē vairāku ārpus tiesas sēdes skatāmo lietu kategoriju izskatīšanu. Minētie grozījumi stāsies spēkā 2012. gada 1. janvārī un turpmāk atbilstoši likuma „Par tiesu varu” 30. panta 1.</w:t>
      </w:r>
      <w:r w:rsidRPr="00DF356E">
        <w:rPr>
          <w:rFonts w:ascii="Times New Roman" w:hAnsi="Times New Roman"/>
          <w:sz w:val="28"/>
          <w:szCs w:val="28"/>
          <w:vertAlign w:val="superscript"/>
        </w:rPr>
        <w:t>1</w:t>
      </w:r>
      <w:r w:rsidRPr="00DF356E">
        <w:rPr>
          <w:rFonts w:ascii="Times New Roman" w:hAnsi="Times New Roman"/>
          <w:sz w:val="28"/>
          <w:szCs w:val="28"/>
        </w:rPr>
        <w:t> daļai zemesgrāmatu nodaļa pārzinās ne tikai zemesgrāmatas, bet arī izskatīs pieteikumus par:</w:t>
      </w:r>
    </w:p>
    <w:p w:rsidR="008448A4" w:rsidRPr="00DF356E" w:rsidRDefault="008448A4" w:rsidP="008448A4">
      <w:pPr>
        <w:ind w:firstLine="709"/>
        <w:rPr>
          <w:sz w:val="28"/>
          <w:szCs w:val="28"/>
          <w:lang w:val="lv-LV"/>
        </w:rPr>
      </w:pPr>
      <w:r w:rsidRPr="00DF356E">
        <w:rPr>
          <w:sz w:val="28"/>
          <w:szCs w:val="28"/>
          <w:lang w:val="lv-LV"/>
        </w:rPr>
        <w:t>1) saistību bezstrīdus piespiedu izpildi;</w:t>
      </w:r>
    </w:p>
    <w:p w:rsidR="008448A4" w:rsidRPr="00DF356E" w:rsidRDefault="008448A4" w:rsidP="008448A4">
      <w:pPr>
        <w:ind w:firstLine="709"/>
        <w:rPr>
          <w:sz w:val="28"/>
          <w:szCs w:val="28"/>
          <w:lang w:val="lv-LV"/>
        </w:rPr>
      </w:pPr>
      <w:r w:rsidRPr="00DF356E">
        <w:rPr>
          <w:sz w:val="28"/>
          <w:szCs w:val="28"/>
          <w:lang w:val="lv-LV"/>
        </w:rPr>
        <w:t>2) saistību piespiedu izpildi brīdinājuma kārtībā;</w:t>
      </w:r>
    </w:p>
    <w:p w:rsidR="008448A4" w:rsidRPr="00DF356E" w:rsidRDefault="008448A4" w:rsidP="008448A4">
      <w:pPr>
        <w:ind w:firstLine="709"/>
        <w:jc w:val="both"/>
        <w:rPr>
          <w:sz w:val="28"/>
          <w:szCs w:val="28"/>
          <w:lang w:val="lv-LV"/>
        </w:rPr>
      </w:pPr>
      <w:r w:rsidRPr="00DF356E">
        <w:rPr>
          <w:sz w:val="28"/>
          <w:szCs w:val="28"/>
          <w:lang w:val="lv-LV"/>
        </w:rPr>
        <w:t>3) izsoles aktu apstiprināšanu (šo pieteikumu izskatīšana zemesgrāmatu nodaļu tiesnešiem tiks nodota pēc attiecīgo grozījumu veikšanas Civilprocesa likumā).</w:t>
      </w:r>
    </w:p>
    <w:p w:rsidR="008448A4" w:rsidRPr="00DF356E" w:rsidRDefault="008448A4" w:rsidP="008448A4">
      <w:pPr>
        <w:ind w:firstLine="709"/>
        <w:jc w:val="both"/>
        <w:rPr>
          <w:sz w:val="28"/>
          <w:szCs w:val="28"/>
          <w:highlight w:val="yellow"/>
          <w:lang w:val="lv-LV"/>
        </w:rPr>
      </w:pPr>
      <w:r w:rsidRPr="00DF356E">
        <w:rPr>
          <w:sz w:val="28"/>
          <w:szCs w:val="28"/>
          <w:lang w:val="lv-LV"/>
        </w:rPr>
        <w:t xml:space="preserve">Izmaiņas tiesu sistēmā, pārskatot zemesgrāmatu nodaļu tiesnešu institucionālo piederību un paplašinot to kompetenci, veiktas, lai efektīvāk izmantotu esošos tiesnešu resursus gan zemesgrāmatu nodaļās, gan vispārējās </w:t>
      </w:r>
      <w:r w:rsidRPr="00DF356E">
        <w:rPr>
          <w:sz w:val="28"/>
          <w:szCs w:val="28"/>
          <w:lang w:val="lv-LV"/>
        </w:rPr>
        <w:lastRenderedPageBreak/>
        <w:t xml:space="preserve">jurisdikcijas pirmās instances tiesās, izlīdzinot tiesu noslodzi un paātrinot lietu izskatīšanas termiņus. Pieteikumu par saistību izpildi bezstrīdus kārtībā un par saistību izpildi brīdinājuma kārtībā izskatīšana sevišķās tiesāšanās kārtībā veido lielu daļu no rajonu (pilsētu) tiesu tiesnešu noslogotības. Tā, piemēram, 2010. gadā rajonu (pilsētu) tiesās kopumā tika saņemtas 119 357 civillietas, to skaitā arī 4 780 pieteikumi par saistību bezstrīdus piespiedu izpildi un 67 758 pieteikumi par saistību piespiedu izpildi brīdinājuma kārtībā, kas kopā veido 60,7 % no visām tiesvedībā saņemtajām civillietām. Savukārt 2010. gada laikā tika izskatīti 4 982 pieteikumi par saistību bezstrīdus piespiedu izpildi un 69 415 pieteikumi par saistību piespiedu izpildi brīdinājuma kārtībā. Līdz ar to minēto lietu nodošana zemesgrāmatu nodaļu tiesnešiem ievērojami paātrinās pārējo lietu kategoriju izskatīšanu vispārējās jurisdikcijas tiesās. </w:t>
      </w:r>
    </w:p>
    <w:p w:rsidR="008448A4" w:rsidRPr="00DF356E" w:rsidRDefault="008448A4" w:rsidP="008448A4">
      <w:pPr>
        <w:ind w:firstLine="567"/>
        <w:jc w:val="both"/>
        <w:rPr>
          <w:sz w:val="28"/>
          <w:szCs w:val="28"/>
          <w:lang w:val="lv-LV"/>
        </w:rPr>
      </w:pPr>
      <w:r w:rsidRPr="00DF356E">
        <w:rPr>
          <w:sz w:val="28"/>
          <w:szCs w:val="28"/>
          <w:lang w:val="lv-LV"/>
        </w:rPr>
        <w:t>Vienlaikus, lai paātrinātu un uzlabotu tiesas procesu gaitu</w:t>
      </w:r>
      <w:r w:rsidR="00B45902" w:rsidRPr="00DF356E">
        <w:rPr>
          <w:sz w:val="28"/>
          <w:szCs w:val="28"/>
          <w:lang w:val="lv-LV"/>
        </w:rPr>
        <w:t>,</w:t>
      </w:r>
      <w:r w:rsidRPr="00DF356E">
        <w:rPr>
          <w:sz w:val="28"/>
          <w:szCs w:val="28"/>
          <w:lang w:val="lv-LV"/>
        </w:rPr>
        <w:t xml:space="preserve"> Tieslietu ministrija jau ir nodrošinājusi virkni būtisku grozījumu izstrādi Civilprocesa likumā. Piemēram, paredzot ieviest jaunu regulējumu maza apmēra prasībām par naudas vai uzturlīdzekļu piedziņu, kas ievērojami paātrinās izskatīšanas termiņus būtiskai daļai no visām tiesas lietvedībā esošajām lietām. Tāpat grozījumi paredz atvieglot tiesas saziņu ar  lietas dalībniekiem, veicot darbu pie civillietu sagatavošanas iztiesāšanai, kā arī paplašināt rakstveida procesa izmantošanu civillietu izskatīšanā, piemēram, ar grozījumiem Civilprocesa likuma 447. pantā blakus sūdzību izskatīšana var notikt tikai rakstveida procesā (likumprojekts „Grozījumi Civilprocesa likumā” Nr. 11/Lp10)</w:t>
      </w:r>
      <w:r w:rsidR="00A73293" w:rsidRPr="00DF356E">
        <w:rPr>
          <w:sz w:val="28"/>
          <w:szCs w:val="28"/>
          <w:lang w:val="lv-LV"/>
        </w:rPr>
        <w:t xml:space="preserve">, tomēr saskaņā ar </w:t>
      </w:r>
      <w:r w:rsidR="00692735" w:rsidRPr="00DF356E">
        <w:rPr>
          <w:sz w:val="28"/>
          <w:szCs w:val="28"/>
          <w:lang w:val="lv-LV"/>
        </w:rPr>
        <w:t xml:space="preserve">grozījumiem </w:t>
      </w:r>
      <w:r w:rsidR="00A73293" w:rsidRPr="00DF356E">
        <w:rPr>
          <w:sz w:val="28"/>
          <w:szCs w:val="28"/>
          <w:lang w:val="lv-LV"/>
        </w:rPr>
        <w:t>Civilprocesa likuma 15. p</w:t>
      </w:r>
      <w:r w:rsidR="00692735" w:rsidRPr="00DF356E">
        <w:rPr>
          <w:sz w:val="28"/>
          <w:szCs w:val="28"/>
          <w:lang w:val="lv-LV"/>
        </w:rPr>
        <w:t>antā</w:t>
      </w:r>
      <w:r w:rsidR="00A73293" w:rsidRPr="00DF356E">
        <w:rPr>
          <w:sz w:val="28"/>
          <w:szCs w:val="28"/>
          <w:lang w:val="lv-LV"/>
        </w:rPr>
        <w:t xml:space="preserve"> </w:t>
      </w:r>
      <w:r w:rsidR="00692735" w:rsidRPr="00DF356E">
        <w:rPr>
          <w:sz w:val="28"/>
          <w:szCs w:val="28"/>
          <w:lang w:val="lv-LV"/>
        </w:rPr>
        <w:t xml:space="preserve">tiesai nepieciešamības gadījumā joprojām </w:t>
      </w:r>
      <w:r w:rsidR="00A73293" w:rsidRPr="00DF356E">
        <w:rPr>
          <w:sz w:val="28"/>
          <w:szCs w:val="28"/>
          <w:lang w:val="lv-LV"/>
        </w:rPr>
        <w:t>saglabājas iespēja rīkot tiesas sēdi (likumprojekts „Grozījumi Civilprocesa likumā” Nr. 15/Lp10)</w:t>
      </w:r>
      <w:r w:rsidRPr="00DF356E">
        <w:rPr>
          <w:sz w:val="28"/>
          <w:szCs w:val="28"/>
          <w:lang w:val="lv-LV"/>
        </w:rPr>
        <w:t>.</w:t>
      </w:r>
    </w:p>
    <w:p w:rsidR="008448A4" w:rsidRPr="00DF356E" w:rsidRDefault="008448A4" w:rsidP="008448A4">
      <w:pPr>
        <w:ind w:firstLine="709"/>
        <w:jc w:val="both"/>
        <w:rPr>
          <w:sz w:val="28"/>
          <w:szCs w:val="28"/>
          <w:lang w:val="lv-LV"/>
        </w:rPr>
      </w:pPr>
      <w:r w:rsidRPr="00DF356E">
        <w:rPr>
          <w:sz w:val="28"/>
          <w:szCs w:val="28"/>
          <w:lang w:val="lv-LV"/>
        </w:rPr>
        <w:t>Līdz ar to tiesās netiek patērēti administratīvie un citi izdevumi šo lietu skatīšanai, un tādējādi šī tiesām piešķirtā finanšu resursu daļa tiek tērēta tiesām raksturīgo pienākumu pildīšanai – strīdus lietu skatīšanai u.c.</w:t>
      </w:r>
    </w:p>
    <w:p w:rsidR="008448A4" w:rsidRPr="00DF356E" w:rsidRDefault="008448A4" w:rsidP="008448A4">
      <w:pPr>
        <w:ind w:firstLine="720"/>
        <w:jc w:val="both"/>
        <w:rPr>
          <w:sz w:val="28"/>
          <w:szCs w:val="28"/>
          <w:lang w:val="lv-LV"/>
        </w:rPr>
      </w:pPr>
      <w:r w:rsidRPr="00DF356E">
        <w:rPr>
          <w:sz w:val="28"/>
          <w:szCs w:val="28"/>
          <w:lang w:val="lv-LV"/>
        </w:rPr>
        <w:t>Vi</w:t>
      </w:r>
      <w:r w:rsidR="00EA68CC">
        <w:rPr>
          <w:sz w:val="28"/>
          <w:szCs w:val="28"/>
          <w:lang w:val="lv-LV"/>
        </w:rPr>
        <w:t>enlaikus saskaņā ar Deklarāciju</w:t>
      </w:r>
      <w:r w:rsidRPr="00DF356E">
        <w:rPr>
          <w:sz w:val="28"/>
          <w:szCs w:val="28"/>
          <w:lang w:val="lv-LV"/>
        </w:rPr>
        <w:t xml:space="preserve"> par Valda Dombrovska vadītā Ministru kabineta iecerēto darbību Tieslietu ministrija turpina darbu, lai </w:t>
      </w:r>
      <w:r w:rsidRPr="00DF356E">
        <w:rPr>
          <w:sz w:val="28"/>
          <w:szCs w:val="28"/>
          <w:u w:val="single"/>
          <w:lang w:val="lv-LV"/>
        </w:rPr>
        <w:t>sekmētu ārpustiesas strīdu izskatīšanas iespēju izmantošanu</w:t>
      </w:r>
      <w:r w:rsidRPr="00DF356E">
        <w:rPr>
          <w:sz w:val="28"/>
          <w:szCs w:val="28"/>
          <w:lang w:val="lv-LV"/>
        </w:rPr>
        <w:t xml:space="preserve">. Ministru kabinetā </w:t>
      </w:r>
      <w:r w:rsidR="00A73293" w:rsidRPr="00DF356E">
        <w:rPr>
          <w:sz w:val="28"/>
          <w:szCs w:val="28"/>
          <w:lang w:val="lv-LV"/>
        </w:rPr>
        <w:t xml:space="preserve">2009. gada 17. februārī </w:t>
      </w:r>
      <w:r w:rsidRPr="00DF356E">
        <w:rPr>
          <w:sz w:val="28"/>
          <w:szCs w:val="28"/>
          <w:lang w:val="lv-LV"/>
        </w:rPr>
        <w:t xml:space="preserve">tika atbalstīta koncepcija „Mediācijas ieviešana civiltiesisku strīdu risināšanā”, savukārt 2010. gada 5. maijā Ministru kabinets atbalstīja pasākumu plānu koncepcijas „Mediācijas ieviešana civiltiesisku strīdu risināšanā” īstenošanai 2010. – 2012. gadam. Viens no minētajā plānā iekļautajiem rīcības virzieniem ir </w:t>
      </w:r>
      <w:r w:rsidR="00692735" w:rsidRPr="00DF356E">
        <w:rPr>
          <w:sz w:val="28"/>
          <w:szCs w:val="28"/>
          <w:lang w:val="lv-LV"/>
        </w:rPr>
        <w:t>m</w:t>
      </w:r>
      <w:r w:rsidRPr="00DF356E">
        <w:rPr>
          <w:iCs/>
          <w:sz w:val="28"/>
          <w:szCs w:val="28"/>
          <w:lang w:val="lv-LV"/>
        </w:rPr>
        <w:t>ediācija kā pastāvīga institūta ieviešana</w:t>
      </w:r>
      <w:r w:rsidRPr="00DF356E">
        <w:rPr>
          <w:sz w:val="28"/>
          <w:szCs w:val="28"/>
          <w:lang w:val="lv-LV"/>
        </w:rPr>
        <w:t xml:space="preserve">, kura sasniegšanai izvirzīts uzdevums – </w:t>
      </w:r>
      <w:r w:rsidRPr="00DF356E">
        <w:rPr>
          <w:iCs/>
          <w:sz w:val="28"/>
          <w:szCs w:val="28"/>
          <w:lang w:val="lv-LV"/>
        </w:rPr>
        <w:t>likumprojekta „Mediācijas likums” iesniegšana Ministru kabinetā</w:t>
      </w:r>
      <w:r w:rsidRPr="00DF356E">
        <w:rPr>
          <w:sz w:val="28"/>
          <w:szCs w:val="28"/>
          <w:lang w:val="lv-LV"/>
        </w:rPr>
        <w:t xml:space="preserve">. </w:t>
      </w:r>
    </w:p>
    <w:p w:rsidR="008448A4" w:rsidRPr="00DF356E" w:rsidRDefault="008448A4" w:rsidP="008448A4">
      <w:pPr>
        <w:ind w:firstLine="720"/>
        <w:jc w:val="both"/>
        <w:rPr>
          <w:sz w:val="28"/>
          <w:szCs w:val="28"/>
          <w:lang w:val="lv-LV"/>
        </w:rPr>
      </w:pPr>
      <w:r w:rsidRPr="00DF356E">
        <w:rPr>
          <w:sz w:val="28"/>
          <w:szCs w:val="28"/>
          <w:lang w:val="lv-LV"/>
        </w:rPr>
        <w:t>Pašreiz Latvijā jau ir attīstījies tīrās mediācijas modelis – mediācijas jomā aktīvi darbojas vairākas nevalstiskās organizācijas. Tomēr vienlaikus tiek veikts darbs pie vienotu mediācijas procesa pamatprincipu un pamatnoteikumu noteikšanas, ko ir plānots īstenot, izstrādājot likumprojektu „Mediācijas likums”.</w:t>
      </w:r>
    </w:p>
    <w:p w:rsidR="008448A4" w:rsidRPr="00DF356E" w:rsidRDefault="008448A4" w:rsidP="008448A4">
      <w:pPr>
        <w:ind w:firstLine="720"/>
        <w:jc w:val="both"/>
        <w:rPr>
          <w:sz w:val="28"/>
          <w:szCs w:val="28"/>
          <w:lang w:val="lv-LV"/>
        </w:rPr>
      </w:pPr>
      <w:r w:rsidRPr="00DF356E">
        <w:rPr>
          <w:sz w:val="28"/>
          <w:szCs w:val="28"/>
          <w:lang w:val="lv-LV"/>
        </w:rPr>
        <w:lastRenderedPageBreak/>
        <w:t>Nākamā ieviešamā mediācijas attīstības stadija ir tiesas atvasinātā mediācija, kad mediāciju veic sertificēts mediators pēc tiesas (tiesneša) ierosinājuma, un tiesvedība uz mediācijas procesa laiku tiek apturēta. Tiesas atvasinātā mediācija ir atzīstama par sākotnējo un primāro modeli efektīvas tiesvedības un mediācijas procesa sasaistes (mijiedarbības) nodrošināšanā. Veiksmīgas tiesas atvasinātās mediācijas rezultātā, daļa konfliktu tiks atrisināti jau pirms strīds tiesā tiks uzsākts skatīt pēc būtības, tādējādi ievērojami atslogojot tiesas.</w:t>
      </w:r>
    </w:p>
    <w:p w:rsidR="008448A4" w:rsidRPr="00DF356E" w:rsidRDefault="008448A4" w:rsidP="008448A4">
      <w:pPr>
        <w:ind w:firstLine="720"/>
        <w:jc w:val="both"/>
        <w:rPr>
          <w:sz w:val="28"/>
          <w:szCs w:val="28"/>
          <w:lang w:val="lv-LV"/>
        </w:rPr>
      </w:pPr>
      <w:r w:rsidRPr="00DF356E">
        <w:rPr>
          <w:sz w:val="28"/>
          <w:szCs w:val="28"/>
          <w:lang w:val="lv-LV"/>
        </w:rPr>
        <w:t xml:space="preserve">Tāpat Tieslietu ministrija plāno izvērtēt veicamos pasākumus šķīrējtiesu darba un to nolēmuma kvalitātes uzlabošanai, pārskatot šķīrējtiesu darbību regulējošos normatīvos aktus, tādējādi veicinot uzticību šķīrējtiesu institūtam kā alternatīvai valsts tiesām strīdu izšķiršanā. </w:t>
      </w:r>
    </w:p>
    <w:p w:rsidR="008448A4" w:rsidRPr="00DF356E" w:rsidRDefault="008448A4" w:rsidP="008448A4">
      <w:pPr>
        <w:ind w:firstLine="720"/>
        <w:jc w:val="both"/>
        <w:rPr>
          <w:sz w:val="28"/>
          <w:szCs w:val="28"/>
          <w:lang w:val="lv-LV"/>
        </w:rPr>
      </w:pPr>
      <w:r w:rsidRPr="00DF356E">
        <w:rPr>
          <w:sz w:val="28"/>
          <w:szCs w:val="28"/>
          <w:lang w:val="lv-LV"/>
        </w:rPr>
        <w:t>Attiecībā uz krimināllietu iztiesāšanas termiņu paātrināšanu ir veikti vairāki nozīmīgi grozījumi Kriminālprocesa likumā. Kopš 2009. gada 1. jūlija Kriminālprocesa likumā ieviesta iespēja apelācijas sūdzības un protestus noteiktas kategorijas lietās izskatīt rakstveida procesā. Iepriekš lietas tika izskatītas tikai mutvārdu procesā. Līdz ar to, ieviešot rakstveida procesu apelācijas instances tiesā, tiek nodrošināts, ka lietas tiek izskatītas ātrāk, vienlaikus ietaupot valsts budžeta līdzekļus. Balstoties uz šo sekmīgo praksi, 2011. gada 1. janvārī spēkā stājās grozījumi Kriminālprocesa likumā, kas paplašināja to lietu kategoriju skaitu, kuras apelācijas instances tiesā izskatāmas rakstveida procesā.</w:t>
      </w:r>
    </w:p>
    <w:p w:rsidR="00447338" w:rsidRPr="00DF356E" w:rsidRDefault="008448A4" w:rsidP="008448A4">
      <w:pPr>
        <w:ind w:firstLine="720"/>
        <w:jc w:val="both"/>
        <w:rPr>
          <w:sz w:val="28"/>
          <w:szCs w:val="28"/>
          <w:lang w:val="lv-LV"/>
        </w:rPr>
      </w:pPr>
      <w:r w:rsidRPr="00DF356E">
        <w:rPr>
          <w:sz w:val="28"/>
          <w:szCs w:val="28"/>
          <w:lang w:val="lv-LV"/>
        </w:rPr>
        <w:t xml:space="preserve">Problēmas saglabājušās attiecībā uz lietu izskatīšanas termiņiem Augstākās tiesas Krimināllietu tiesu palātā, jo Krimināllietu tiesu palātā kā apelācijas instances tiesā lieta tika izskatīta vidēji ilgākā laika posmā nekā apgabaltiesās kā apelācijas instances tiesā. Pēc Tieslietu ministrijas iniciatīvas stājušies spēkā grozījumi Kriminālprocesa likumā, lai virzītos uz vienotu lietu izskatīšanas kārtību trijās tiesu instancēs, proti, pakāpeniski paredzot to, ka visas lietu kategorijas tiek izskatītas rajona (pilsētas) tiesās kā pirmās instances tiesā, apgabaltiesās kā apelācijas instances tiesā, savukārt Augstākajā tiesā kā kasācijas instances tiesā. Šāda sistēma nodrošinātu to, ka lietu izskatīšanas termiņi izlīdzinātos visā Latvijā un perspektīvā arī samazinātos. </w:t>
      </w:r>
    </w:p>
    <w:p w:rsidR="008448A4" w:rsidRPr="00DF356E" w:rsidRDefault="008448A4" w:rsidP="008448A4">
      <w:pPr>
        <w:ind w:firstLine="720"/>
        <w:jc w:val="both"/>
        <w:rPr>
          <w:sz w:val="28"/>
          <w:szCs w:val="28"/>
          <w:lang w:val="lv-LV"/>
        </w:rPr>
      </w:pPr>
      <w:r w:rsidRPr="00DF356E">
        <w:rPr>
          <w:sz w:val="28"/>
          <w:szCs w:val="28"/>
          <w:lang w:val="lv-LV"/>
        </w:rPr>
        <w:t xml:space="preserve">Tāpat spēkā stājušies citi grozījumi </w:t>
      </w:r>
      <w:r w:rsidR="00B45902" w:rsidRPr="00DF356E">
        <w:rPr>
          <w:sz w:val="28"/>
          <w:szCs w:val="28"/>
          <w:lang w:val="lv-LV"/>
        </w:rPr>
        <w:t>K</w:t>
      </w:r>
      <w:r w:rsidRPr="00DF356E">
        <w:rPr>
          <w:sz w:val="28"/>
          <w:szCs w:val="28"/>
          <w:lang w:val="lv-LV"/>
        </w:rPr>
        <w:t>riminālprocesa likumā, kas vērsti uz skaidra, efektīva un moderna tiesiskā regulējuma paredzēšanu, lai nodrošinātu pēc iespējas ātrāku lietu izskatīšanu tiesās, piemēram, pilnveidojot iespējas tiesvedības laikā piemērot tehniskos līdzekļus (videokonferences u.tml.) u.c. Papildus jau esošajam regulēju</w:t>
      </w:r>
      <w:r w:rsidRPr="00A32045">
        <w:rPr>
          <w:sz w:val="28"/>
          <w:szCs w:val="28"/>
          <w:lang w:val="lv-LV"/>
        </w:rPr>
        <w:t xml:space="preserve">mam Tieslietu ministrijā </w:t>
      </w:r>
      <w:r w:rsidR="00A32045" w:rsidRPr="00A32045">
        <w:rPr>
          <w:sz w:val="28"/>
          <w:szCs w:val="28"/>
          <w:lang w:val="lv-LV"/>
        </w:rPr>
        <w:t>ir</w:t>
      </w:r>
      <w:r w:rsidRPr="00A32045">
        <w:rPr>
          <w:sz w:val="28"/>
          <w:szCs w:val="28"/>
          <w:lang w:val="lv-LV"/>
        </w:rPr>
        <w:t xml:space="preserve"> izstrādāti </w:t>
      </w:r>
      <w:r w:rsidR="00A32045" w:rsidRPr="00A32045">
        <w:rPr>
          <w:sz w:val="28"/>
          <w:szCs w:val="28"/>
          <w:lang w:val="lv-LV"/>
        </w:rPr>
        <w:t>priekšlikumi grozījumiem</w:t>
      </w:r>
      <w:r w:rsidRPr="00A32045">
        <w:rPr>
          <w:sz w:val="28"/>
          <w:szCs w:val="28"/>
          <w:lang w:val="lv-LV"/>
        </w:rPr>
        <w:t xml:space="preserve"> Kriminālprocesa likumā</w:t>
      </w:r>
      <w:r w:rsidR="00A32045" w:rsidRPr="00A32045">
        <w:rPr>
          <w:sz w:val="28"/>
          <w:szCs w:val="28"/>
          <w:lang w:val="lv-LV"/>
        </w:rPr>
        <w:t xml:space="preserve"> (likumprojekts „Grozījumi Kriminālprocesa likumā” izsludināts 2011. gada 29. septembra Valsts sekretāru sanāksmē, VSS-1053)</w:t>
      </w:r>
      <w:r w:rsidRPr="00A32045">
        <w:rPr>
          <w:sz w:val="28"/>
          <w:szCs w:val="28"/>
          <w:lang w:val="lv-LV"/>
        </w:rPr>
        <w:t>, lai:</w:t>
      </w:r>
    </w:p>
    <w:p w:rsidR="008448A4" w:rsidRPr="00DF356E" w:rsidRDefault="008448A4" w:rsidP="008448A4">
      <w:pPr>
        <w:ind w:firstLine="720"/>
        <w:jc w:val="both"/>
        <w:rPr>
          <w:sz w:val="28"/>
          <w:szCs w:val="28"/>
          <w:lang w:val="lv-LV"/>
        </w:rPr>
      </w:pPr>
      <w:r w:rsidRPr="00DF356E">
        <w:rPr>
          <w:sz w:val="28"/>
          <w:szCs w:val="28"/>
          <w:lang w:val="lv-LV"/>
        </w:rPr>
        <w:t xml:space="preserve">1) krimināllietu izskatīšanā ieviestu tā saucamās „tīrās instances”, kad visas lietu kategorijas tiek izskatītas rajona (pilsētas) tiesā kā pirmās instances tiesā, apgabaltiesā kā apelācijas instances tiesā, savukārt Augstākajā tiesā kā kasācijas instances tiesā. Ar minēto priekšlikumu nākotnē tiks risinātas </w:t>
      </w:r>
      <w:r w:rsidRPr="00DF356E">
        <w:rPr>
          <w:sz w:val="28"/>
          <w:szCs w:val="28"/>
          <w:lang w:val="lv-LV"/>
        </w:rPr>
        <w:lastRenderedPageBreak/>
        <w:t>problēmas ar gauso lietu izskatīšanu Augstākās tiesas Krimināllietu palātā, kurā ir visgarākie lietu izskatīšanas termiņi, kā arī atslogojot apgabaltiesas, kuras nākotnē izskatīs lietas tikai apelācijas kārtībā;</w:t>
      </w:r>
    </w:p>
    <w:p w:rsidR="008448A4" w:rsidRPr="00DF356E" w:rsidRDefault="008448A4" w:rsidP="008448A4">
      <w:pPr>
        <w:ind w:firstLine="720"/>
        <w:jc w:val="both"/>
        <w:rPr>
          <w:sz w:val="28"/>
          <w:szCs w:val="28"/>
          <w:lang w:val="lv-LV"/>
        </w:rPr>
      </w:pPr>
      <w:r w:rsidRPr="00DF356E">
        <w:rPr>
          <w:sz w:val="28"/>
          <w:szCs w:val="28"/>
          <w:lang w:val="lv-LV"/>
        </w:rPr>
        <w:t>2) pilnveidotu regulējumu attiecībā uz procesuālajām sankcijām, proti, lai tās būtu efektīvi, vienkārši piemērojamas, tai skaitā paredzot iespējas piedzīt no personām, kuru dēļ tika atliktas tiesas sēdes, procesuālos izdevumus, kas saistīti ar tiesas sēžu atlikšanu. Plānots, ka šim regulējumam vajadzētu disciplinēt procesa dalībniekus;</w:t>
      </w:r>
    </w:p>
    <w:p w:rsidR="008448A4" w:rsidRPr="00DF356E" w:rsidRDefault="008448A4" w:rsidP="008448A4">
      <w:pPr>
        <w:ind w:firstLine="720"/>
        <w:jc w:val="both"/>
        <w:rPr>
          <w:sz w:val="28"/>
          <w:szCs w:val="28"/>
          <w:lang w:val="lv-LV"/>
        </w:rPr>
      </w:pPr>
      <w:r w:rsidRPr="00DF356E">
        <w:rPr>
          <w:sz w:val="28"/>
          <w:szCs w:val="28"/>
          <w:lang w:val="lv-LV"/>
        </w:rPr>
        <w:t>3) pilnveidotu sūdzību izskatīšanas mehānismu, proti, striktāk ierobežojot procesa dalībnieku iespējas ļaunprātīgi izmantot sūdzību mehānismu, jo praksē par vienu un to pašu jautājumu, kas ticis noraidīts, tiek iesniegtas atkārtotas sūdzības, kuras ir jāizskata, tādējādi vilcinot lietas izskatīšanu pēc būtības;</w:t>
      </w:r>
    </w:p>
    <w:p w:rsidR="008448A4" w:rsidRPr="00DF356E" w:rsidRDefault="008448A4" w:rsidP="008448A4">
      <w:pPr>
        <w:ind w:firstLine="720"/>
        <w:jc w:val="both"/>
        <w:rPr>
          <w:sz w:val="28"/>
          <w:szCs w:val="28"/>
          <w:lang w:val="lv-LV"/>
        </w:rPr>
      </w:pPr>
      <w:r w:rsidRPr="00DF356E">
        <w:rPr>
          <w:sz w:val="28"/>
          <w:szCs w:val="28"/>
          <w:lang w:val="lv-LV"/>
        </w:rPr>
        <w:t>4) pilnveidotu regulējumu, lai praksē biežāk piemērotu vienošanās procesu starp prokuroru un apsūdzēto par piemērojamo sodu, jo praksē šis institūts tiek piemērots salīdzinoši reti, nekā bija iecerēts, to ieviešot;</w:t>
      </w:r>
    </w:p>
    <w:p w:rsidR="008448A4" w:rsidRPr="00DF356E" w:rsidRDefault="008448A4" w:rsidP="008448A4">
      <w:pPr>
        <w:ind w:firstLine="720"/>
        <w:jc w:val="both"/>
        <w:rPr>
          <w:sz w:val="28"/>
          <w:szCs w:val="28"/>
          <w:lang w:val="lv-LV"/>
        </w:rPr>
      </w:pPr>
      <w:r w:rsidRPr="00DF356E">
        <w:rPr>
          <w:sz w:val="28"/>
          <w:szCs w:val="28"/>
          <w:lang w:val="lv-LV"/>
        </w:rPr>
        <w:t>5) paplašinātu iespējas apelācijas instances tiesai lietas skatīt rakstveida procesā;</w:t>
      </w:r>
    </w:p>
    <w:p w:rsidR="008448A4" w:rsidRPr="00DF356E" w:rsidRDefault="008448A4" w:rsidP="008448A4">
      <w:pPr>
        <w:ind w:firstLine="720"/>
        <w:jc w:val="both"/>
        <w:rPr>
          <w:sz w:val="28"/>
          <w:szCs w:val="28"/>
          <w:lang w:val="lv-LV"/>
        </w:rPr>
      </w:pPr>
      <w:r w:rsidRPr="00DF356E">
        <w:rPr>
          <w:sz w:val="28"/>
          <w:szCs w:val="28"/>
          <w:lang w:val="lv-LV"/>
        </w:rPr>
        <w:t>6) ierobežotu gadījumus, kad lietas izskatīšana obligāti jāatliek, ja uz tiesas sēdi nav ieradies viens no vairākiem advokātiem vai prokuroriem.</w:t>
      </w:r>
    </w:p>
    <w:p w:rsidR="008448A4" w:rsidRPr="00DF356E" w:rsidRDefault="008448A4" w:rsidP="008448A4">
      <w:pPr>
        <w:ind w:firstLine="720"/>
        <w:jc w:val="both"/>
        <w:rPr>
          <w:sz w:val="28"/>
          <w:szCs w:val="28"/>
          <w:lang w:val="lv-LV"/>
        </w:rPr>
      </w:pPr>
      <w:r w:rsidRPr="00DF356E">
        <w:rPr>
          <w:sz w:val="28"/>
          <w:szCs w:val="28"/>
          <w:lang w:val="lv-LV"/>
        </w:rPr>
        <w:t>Attiecībā uz lietas izskatīšanas vairākkārtīgu atlikšanu Tieslietu ministrija informē, ka procentuāli vidējais atlikto tiesas sēžu skaits no nozīmēto tiesas sēžu skaita visās tiesu instancēs 2010. gadā un 2011. gada pirmajā pusgadā attiecīgi ir 27,3 % un 27,2 %. Tieslietu ministrija identificēja, ka tiesu praksē būtisku apjomu lietu izskatīšanas atlikšanai veido lietas dalībnieku neierašanās, t. sk. slimības dēļ. Ar tieslietu ministra 2010. gada 30. decembra rīkojumu Nr. 1-1/468 „Par darba grupas izveidošanu Civilprocesa likuma grozījumu izstrādei” izveidotās darba grupas sēdē 2011. gada 16. jūnijā kopā ar Veselības ministrijas pārstāvjiem tika diskutēts par nepieciešamību u</w:t>
      </w:r>
      <w:r w:rsidR="00EA68CC">
        <w:rPr>
          <w:sz w:val="28"/>
          <w:szCs w:val="28"/>
          <w:lang w:val="lv-LV"/>
        </w:rPr>
        <w:t>zlabot kārtību saistībā ar darb</w:t>
      </w:r>
      <w:r w:rsidRPr="00DF356E">
        <w:rPr>
          <w:sz w:val="28"/>
          <w:szCs w:val="28"/>
          <w:lang w:val="lv-LV"/>
        </w:rPr>
        <w:t>nespējas lapu iesniegšanu tiesā, lai pamatotu neierašanos uz tiesas sēdi kā attaisnojošu. Minētajā darba grupā tika izvirzīts arī p</w:t>
      </w:r>
      <w:r w:rsidR="00EA68CC">
        <w:rPr>
          <w:sz w:val="28"/>
          <w:szCs w:val="28"/>
          <w:lang w:val="lv-LV"/>
        </w:rPr>
        <w:t>riekšlikums turpmāk tiesās darb</w:t>
      </w:r>
      <w:r w:rsidRPr="00DF356E">
        <w:rPr>
          <w:sz w:val="28"/>
          <w:szCs w:val="28"/>
          <w:lang w:val="lv-LV"/>
        </w:rPr>
        <w:t xml:space="preserve">nespējas lapas vietā iesniegt </w:t>
      </w:r>
      <w:r w:rsidR="00B45902" w:rsidRPr="00DF356E">
        <w:rPr>
          <w:sz w:val="28"/>
          <w:szCs w:val="28"/>
          <w:lang w:val="lv-LV"/>
        </w:rPr>
        <w:t xml:space="preserve">veidlapu </w:t>
      </w:r>
      <w:r w:rsidRPr="00DF356E">
        <w:rPr>
          <w:sz w:val="28"/>
          <w:szCs w:val="28"/>
          <w:lang w:val="lv-LV"/>
        </w:rPr>
        <w:t xml:space="preserve">Nr. 027/u „Izraksts no stacionārā/ambulatorā pacienta medicīniskās kartes” (Ministru kabineta 2006. gada 4. aprīļa noteikumi Nr. 265 „Ārstniecības iestāžu medicīniskās un uzskaites dokumentācijas lietvedības kārtība” 12. pielikums), papildinot ar nepieciešamo informāciju, piemēram, slimības režīmu. Turklāt, pamatojoties uz minētajā darba grupā pieņemtajiem lēmumiem, Civilprocesa likuma 74. panta otrās daļas 2. punkts tika papildināts ar vārdiem </w:t>
      </w:r>
      <w:r w:rsidR="00B45902" w:rsidRPr="00DF356E">
        <w:rPr>
          <w:sz w:val="28"/>
          <w:szCs w:val="28"/>
          <w:lang w:val="lv-LV"/>
        </w:rPr>
        <w:t>„</w:t>
      </w:r>
      <w:r w:rsidRPr="00DF356E">
        <w:rPr>
          <w:sz w:val="28"/>
          <w:szCs w:val="28"/>
          <w:lang w:val="lv-LV"/>
        </w:rPr>
        <w:t xml:space="preserve">iesniedzot par to pierādījumus” (likumprojekts “Grozījumi Civilprocesa likumā” Nr. 11/Lp10). </w:t>
      </w:r>
      <w:r w:rsidR="00A73293" w:rsidRPr="00DF356E">
        <w:rPr>
          <w:sz w:val="28"/>
          <w:szCs w:val="28"/>
          <w:lang w:val="lv-LV"/>
        </w:rPr>
        <w:t xml:space="preserve">Savukārt Veselības ministrija šā jautājuma kontekstā izstrādā grozījumus Ministru kabineta 2001. gada 3. aprīļa noteikumos Nr. 152 „Darbnespējas lapu izsniegšanas kārtība”, kas izsludināti Valsts sekretāru sanāksmē 2011. gada 22. septembrī (VSS-1035). </w:t>
      </w:r>
      <w:r w:rsidRPr="00DF356E">
        <w:rPr>
          <w:sz w:val="28"/>
          <w:szCs w:val="28"/>
          <w:lang w:val="lv-LV"/>
        </w:rPr>
        <w:t xml:space="preserve">Līdz ar to lietas dalībniekiem ir skaidri noteikts pienākums pierādīt attaisnojoša iemesla esamību, lai neierastos uz tiesas sēdi, savukārt tiesām ir dots </w:t>
      </w:r>
      <w:r w:rsidR="00B45902" w:rsidRPr="00DF356E">
        <w:rPr>
          <w:sz w:val="28"/>
          <w:szCs w:val="28"/>
          <w:lang w:val="lv-LV"/>
        </w:rPr>
        <w:t>„</w:t>
      </w:r>
      <w:r w:rsidRPr="00DF356E">
        <w:rPr>
          <w:sz w:val="28"/>
          <w:szCs w:val="28"/>
          <w:lang w:val="lv-LV"/>
        </w:rPr>
        <w:t>signāls” striktāk vērtēt attaisnojoša ie</w:t>
      </w:r>
      <w:r w:rsidR="00EA68CC">
        <w:rPr>
          <w:sz w:val="28"/>
          <w:szCs w:val="28"/>
          <w:lang w:val="lv-LV"/>
        </w:rPr>
        <w:t xml:space="preserve">mesla esamību, </w:t>
      </w:r>
      <w:r w:rsidR="00EA68CC">
        <w:rPr>
          <w:sz w:val="28"/>
          <w:szCs w:val="28"/>
          <w:lang w:val="lv-LV"/>
        </w:rPr>
        <w:lastRenderedPageBreak/>
        <w:t>t. sk. darb</w:t>
      </w:r>
      <w:r w:rsidRPr="00DF356E">
        <w:rPr>
          <w:sz w:val="28"/>
          <w:szCs w:val="28"/>
          <w:lang w:val="lv-LV"/>
        </w:rPr>
        <w:t>nespējas lapa nav automātisks attaisnojums. Ņemot vērā minēto, t. sk. priekšlikumus grozījumiem Kriminālprocesa likumā (2. un 6. priekšlikums), Tieslietu ministrijā tiek aktīvi strādāts pie problēmjautājumiem saistībā ar vairākkārtīgām lietu atlikšanām.</w:t>
      </w:r>
    </w:p>
    <w:p w:rsidR="008448A4" w:rsidRPr="00DF356E" w:rsidRDefault="008448A4" w:rsidP="008448A4">
      <w:pPr>
        <w:ind w:firstLine="720"/>
        <w:jc w:val="both"/>
        <w:rPr>
          <w:sz w:val="28"/>
          <w:szCs w:val="28"/>
          <w:lang w:val="lv-LV"/>
        </w:rPr>
      </w:pPr>
      <w:r w:rsidRPr="00DF356E">
        <w:rPr>
          <w:sz w:val="28"/>
          <w:szCs w:val="28"/>
          <w:lang w:val="lv-LV"/>
        </w:rPr>
        <w:t xml:space="preserve">Papildus minētajam norādām, ka 2009. gada 25. jūnijā tika parakstīts pirmais Latvijas un Šveices sadarbības programmas projekta līgums par finansējuma piešķiršanu projekta „Tiesu modernizācija Latvijā” īstenošanai, kura viena no aktivitātēm paredz </w:t>
      </w:r>
      <w:r w:rsidRPr="00DF356E">
        <w:rPr>
          <w:b/>
          <w:sz w:val="28"/>
          <w:szCs w:val="28"/>
          <w:lang w:val="lv-LV"/>
        </w:rPr>
        <w:t>tiesu un ieslodzījuma vietu aprīkošanu ar videokonferenču aparatūru</w:t>
      </w:r>
      <w:r w:rsidRPr="00DF356E">
        <w:rPr>
          <w:sz w:val="28"/>
          <w:szCs w:val="28"/>
          <w:lang w:val="lv-LV"/>
        </w:rPr>
        <w:t>, lai ar video un skaņu iekārtu starpniecību varētu attālināti veikt tiesvedības procesus, tādējādi padarot tiesvedības procesu ātrāku, ērtāku un pieejamāku. Šveices projekta noslēguma termiņš ir 2012. gada jūnijs.</w:t>
      </w:r>
    </w:p>
    <w:p w:rsidR="008448A4" w:rsidRPr="00DF356E" w:rsidRDefault="008448A4" w:rsidP="008448A4">
      <w:pPr>
        <w:jc w:val="both"/>
        <w:rPr>
          <w:sz w:val="28"/>
          <w:szCs w:val="28"/>
          <w:lang w:val="lv-LV"/>
        </w:rPr>
      </w:pPr>
      <w:r w:rsidRPr="00DF356E">
        <w:rPr>
          <w:sz w:val="28"/>
          <w:szCs w:val="28"/>
          <w:lang w:val="lv-LV"/>
        </w:rPr>
        <w:tab/>
        <w:t>Vienlaikus, minētā projekta ietvaros, tiks izveidota un ieviesta Datu izplatīšanas sistēma, kas nodrošinās fiziskām, juridiskām personām un valsts iestādēm elektronisku piekļuvi tiesu nolēmumiem, dokumentu elektronisku iesniegšanu tiesā, tādējādi uzlabojot tiesvedības procesa efektivitāti, kā arī automātisku tiesas nolēmumu anonimizāciju.</w:t>
      </w:r>
    </w:p>
    <w:p w:rsidR="00A73293" w:rsidRPr="00DF356E" w:rsidRDefault="00A73293" w:rsidP="008448A4">
      <w:pPr>
        <w:jc w:val="both"/>
        <w:rPr>
          <w:sz w:val="28"/>
          <w:szCs w:val="28"/>
          <w:lang w:val="lv-LV"/>
        </w:rPr>
      </w:pPr>
      <w:r w:rsidRPr="00DF356E">
        <w:rPr>
          <w:sz w:val="28"/>
          <w:szCs w:val="28"/>
          <w:lang w:val="lv-LV"/>
        </w:rPr>
        <w:tab/>
        <w:t xml:space="preserve">Ņemot vērā minēto, Tieslietu ministrija ir apzinājusi iespējamos problēmjautājumus saistībā ar termiņiem, kādos tiek izskatītas lietas tiesā, pie šiem jautājumiem tiek aktīvi strādāts un jau ir veikti vairāki grozījumi likumos, kā arī tiek izpētīti citi </w:t>
      </w:r>
      <w:r w:rsidR="00692735" w:rsidRPr="00DF356E">
        <w:rPr>
          <w:sz w:val="28"/>
          <w:szCs w:val="28"/>
          <w:lang w:val="lv-LV"/>
        </w:rPr>
        <w:t>iespējamie risinājumi</w:t>
      </w:r>
      <w:r w:rsidRPr="00DF356E">
        <w:rPr>
          <w:sz w:val="28"/>
          <w:szCs w:val="28"/>
          <w:lang w:val="lv-LV"/>
        </w:rPr>
        <w:t xml:space="preserve"> situācijas uzlabošanai.</w:t>
      </w:r>
    </w:p>
    <w:p w:rsidR="008448A4" w:rsidRPr="00DF356E" w:rsidRDefault="008448A4" w:rsidP="008448A4">
      <w:pPr>
        <w:pStyle w:val="Pamatteksts"/>
        <w:rPr>
          <w:i/>
          <w:sz w:val="28"/>
          <w:szCs w:val="28"/>
        </w:rPr>
      </w:pPr>
    </w:p>
    <w:p w:rsidR="008448A4" w:rsidRPr="00DF356E" w:rsidRDefault="00692735" w:rsidP="008448A4">
      <w:pPr>
        <w:pStyle w:val="Pamatteksts"/>
        <w:spacing w:after="0"/>
        <w:ind w:firstLine="720"/>
        <w:rPr>
          <w:color w:val="FF0000"/>
          <w:sz w:val="28"/>
          <w:szCs w:val="28"/>
        </w:rPr>
      </w:pPr>
      <w:r w:rsidRPr="00DF356E">
        <w:rPr>
          <w:sz w:val="28"/>
          <w:szCs w:val="28"/>
        </w:rPr>
        <w:t>Tieslietu m</w:t>
      </w:r>
      <w:r w:rsidR="008448A4" w:rsidRPr="00DF356E">
        <w:rPr>
          <w:sz w:val="28"/>
          <w:szCs w:val="28"/>
        </w:rPr>
        <w:t>inistrs</w:t>
      </w:r>
      <w:r w:rsidR="008448A4" w:rsidRPr="00DF356E">
        <w:rPr>
          <w:color w:val="FF0000"/>
          <w:sz w:val="28"/>
          <w:szCs w:val="28"/>
        </w:rPr>
        <w:tab/>
      </w:r>
      <w:r w:rsidR="008448A4" w:rsidRPr="00DF356E">
        <w:rPr>
          <w:color w:val="FF0000"/>
          <w:sz w:val="28"/>
          <w:szCs w:val="28"/>
        </w:rPr>
        <w:tab/>
      </w:r>
      <w:r w:rsidR="008448A4" w:rsidRPr="00DF356E">
        <w:rPr>
          <w:color w:val="FF0000"/>
          <w:sz w:val="28"/>
          <w:szCs w:val="28"/>
        </w:rPr>
        <w:tab/>
      </w:r>
      <w:r w:rsidR="008448A4" w:rsidRPr="00DF356E">
        <w:rPr>
          <w:color w:val="FF0000"/>
          <w:sz w:val="28"/>
          <w:szCs w:val="28"/>
        </w:rPr>
        <w:tab/>
      </w:r>
      <w:r w:rsidR="008448A4" w:rsidRPr="00DF356E">
        <w:rPr>
          <w:color w:val="FF0000"/>
          <w:sz w:val="28"/>
          <w:szCs w:val="28"/>
        </w:rPr>
        <w:tab/>
      </w:r>
      <w:r w:rsidR="008448A4" w:rsidRPr="00DF356E">
        <w:rPr>
          <w:color w:val="FF0000"/>
          <w:sz w:val="28"/>
          <w:szCs w:val="28"/>
        </w:rPr>
        <w:tab/>
      </w:r>
      <w:r w:rsidR="008448A4" w:rsidRPr="00DF356E">
        <w:rPr>
          <w:color w:val="FF0000"/>
          <w:sz w:val="28"/>
          <w:szCs w:val="28"/>
        </w:rPr>
        <w:tab/>
      </w:r>
      <w:r w:rsidR="008448A4" w:rsidRPr="00DF356E">
        <w:rPr>
          <w:sz w:val="28"/>
          <w:szCs w:val="28"/>
        </w:rPr>
        <w:t>A. Štokenbergs</w:t>
      </w:r>
    </w:p>
    <w:p w:rsidR="008448A4" w:rsidRDefault="008448A4" w:rsidP="008448A4">
      <w:pPr>
        <w:pStyle w:val="Pamatteksts"/>
        <w:rPr>
          <w:i/>
          <w:sz w:val="28"/>
          <w:szCs w:val="28"/>
        </w:rPr>
      </w:pPr>
    </w:p>
    <w:p w:rsidR="00DF356E" w:rsidRDefault="00DF356E" w:rsidP="00DF356E">
      <w:pPr>
        <w:jc w:val="both"/>
        <w:rPr>
          <w:color w:val="FF0000"/>
          <w:sz w:val="20"/>
          <w:szCs w:val="20"/>
        </w:rPr>
      </w:pPr>
    </w:p>
    <w:p w:rsidR="00DF356E" w:rsidRPr="00A32045" w:rsidRDefault="001600E0" w:rsidP="00DF356E">
      <w:pPr>
        <w:jc w:val="both"/>
        <w:rPr>
          <w:sz w:val="20"/>
          <w:szCs w:val="20"/>
        </w:rPr>
      </w:pPr>
      <w:r>
        <w:rPr>
          <w:sz w:val="20"/>
          <w:szCs w:val="20"/>
        </w:rPr>
        <w:t>03.10</w:t>
      </w:r>
      <w:r w:rsidR="00DF356E" w:rsidRPr="00A32045">
        <w:rPr>
          <w:sz w:val="20"/>
          <w:szCs w:val="20"/>
        </w:rPr>
        <w:t xml:space="preserve">.2011 </w:t>
      </w:r>
      <w:r>
        <w:rPr>
          <w:sz w:val="20"/>
          <w:szCs w:val="20"/>
        </w:rPr>
        <w:t>09:30</w:t>
      </w:r>
    </w:p>
    <w:p w:rsidR="00DF356E" w:rsidRPr="00A32045" w:rsidRDefault="001600E0" w:rsidP="00DF356E">
      <w:pPr>
        <w:jc w:val="both"/>
        <w:rPr>
          <w:sz w:val="20"/>
          <w:szCs w:val="20"/>
        </w:rPr>
      </w:pPr>
      <w:r>
        <w:rPr>
          <w:sz w:val="20"/>
          <w:szCs w:val="20"/>
        </w:rPr>
        <w:t>2941</w:t>
      </w:r>
    </w:p>
    <w:p w:rsidR="00DF356E" w:rsidRDefault="002E1D17" w:rsidP="00DF356E">
      <w:pPr>
        <w:pStyle w:val="Pamatteksts"/>
        <w:spacing w:after="0"/>
        <w:rPr>
          <w:i/>
          <w:sz w:val="20"/>
          <w:szCs w:val="20"/>
        </w:rPr>
      </w:pPr>
      <w:r>
        <w:rPr>
          <w:i/>
          <w:sz w:val="20"/>
          <w:szCs w:val="20"/>
        </w:rPr>
        <w:t>A. </w:t>
      </w:r>
      <w:r w:rsidR="00DF356E" w:rsidRPr="00DF356E">
        <w:rPr>
          <w:i/>
          <w:sz w:val="20"/>
          <w:szCs w:val="20"/>
        </w:rPr>
        <w:t xml:space="preserve">Latkovskis </w:t>
      </w:r>
    </w:p>
    <w:p w:rsidR="00DF356E" w:rsidRDefault="00DF356E" w:rsidP="00DF356E">
      <w:pPr>
        <w:tabs>
          <w:tab w:val="left" w:pos="7560"/>
        </w:tabs>
        <w:ind w:right="-483"/>
      </w:pPr>
      <w:r w:rsidRPr="000E23C0">
        <w:rPr>
          <w:sz w:val="20"/>
          <w:szCs w:val="20"/>
        </w:rPr>
        <w:t xml:space="preserve">67036953, </w:t>
      </w:r>
      <w:hyperlink r:id="rId7" w:history="1">
        <w:r w:rsidRPr="000E23C0">
          <w:rPr>
            <w:rStyle w:val="Hipersaite"/>
            <w:sz w:val="20"/>
            <w:szCs w:val="20"/>
          </w:rPr>
          <w:t>aivars.latkovskis@tm.gov.lv</w:t>
        </w:r>
      </w:hyperlink>
    </w:p>
    <w:p w:rsidR="00DF356E" w:rsidRDefault="00DF356E" w:rsidP="00A73293">
      <w:pPr>
        <w:jc w:val="both"/>
        <w:rPr>
          <w:i/>
          <w:sz w:val="20"/>
          <w:szCs w:val="20"/>
          <w:lang w:val="lv-LV"/>
        </w:rPr>
      </w:pPr>
    </w:p>
    <w:p w:rsidR="00DF356E" w:rsidRDefault="002E1D17" w:rsidP="00A73293">
      <w:pPr>
        <w:jc w:val="both"/>
        <w:rPr>
          <w:i/>
          <w:sz w:val="20"/>
          <w:szCs w:val="20"/>
          <w:lang w:val="lv-LV"/>
        </w:rPr>
      </w:pPr>
      <w:r>
        <w:rPr>
          <w:i/>
          <w:sz w:val="20"/>
          <w:szCs w:val="20"/>
          <w:lang w:val="lv-LV"/>
        </w:rPr>
        <w:t>I. </w:t>
      </w:r>
      <w:proofErr w:type="spellStart"/>
      <w:r w:rsidR="00A73293" w:rsidRPr="00DF356E">
        <w:rPr>
          <w:i/>
          <w:sz w:val="20"/>
          <w:szCs w:val="20"/>
          <w:lang w:val="lv-LV"/>
        </w:rPr>
        <w:t>Zača</w:t>
      </w:r>
      <w:proofErr w:type="spellEnd"/>
      <w:r w:rsidR="00A73293" w:rsidRPr="00DF356E">
        <w:rPr>
          <w:i/>
          <w:sz w:val="20"/>
          <w:szCs w:val="20"/>
          <w:lang w:val="lv-LV"/>
        </w:rPr>
        <w:t xml:space="preserve"> </w:t>
      </w:r>
    </w:p>
    <w:p w:rsidR="00A73293" w:rsidRPr="00DF356E" w:rsidRDefault="00A73293" w:rsidP="00A73293">
      <w:pPr>
        <w:jc w:val="both"/>
        <w:rPr>
          <w:i/>
          <w:sz w:val="20"/>
          <w:szCs w:val="20"/>
          <w:lang w:val="lv-LV"/>
        </w:rPr>
      </w:pPr>
      <w:r w:rsidRPr="00DF356E">
        <w:rPr>
          <w:i/>
          <w:sz w:val="20"/>
          <w:szCs w:val="20"/>
          <w:lang w:val="lv-LV"/>
        </w:rPr>
        <w:t>67036830</w:t>
      </w:r>
      <w:r w:rsidR="00DF356E">
        <w:rPr>
          <w:i/>
          <w:sz w:val="20"/>
          <w:szCs w:val="20"/>
          <w:lang w:val="lv-LV"/>
        </w:rPr>
        <w:t>,</w:t>
      </w:r>
      <w:r w:rsidR="00DF356E" w:rsidRPr="00DF356E">
        <w:rPr>
          <w:rStyle w:val="Hipersaite"/>
          <w:u w:val="none"/>
        </w:rPr>
        <w:t xml:space="preserve"> </w:t>
      </w:r>
      <w:hyperlink r:id="rId8" w:history="1">
        <w:r w:rsidR="00DF356E" w:rsidRPr="00791231">
          <w:rPr>
            <w:rStyle w:val="Hipersaite"/>
            <w:sz w:val="20"/>
            <w:szCs w:val="20"/>
          </w:rPr>
          <w:t>inese.zaca@tm.gov.lv</w:t>
        </w:r>
      </w:hyperlink>
    </w:p>
    <w:p w:rsidR="00DF356E" w:rsidRDefault="00DF356E" w:rsidP="008448A4">
      <w:pPr>
        <w:pStyle w:val="Pamatteksts"/>
        <w:spacing w:after="0"/>
        <w:rPr>
          <w:i/>
          <w:sz w:val="20"/>
          <w:szCs w:val="20"/>
        </w:rPr>
      </w:pPr>
    </w:p>
    <w:p w:rsidR="00DF356E" w:rsidRDefault="002E1D17" w:rsidP="008448A4">
      <w:pPr>
        <w:pStyle w:val="Pamatteksts"/>
        <w:spacing w:after="0"/>
        <w:rPr>
          <w:i/>
          <w:sz w:val="20"/>
          <w:szCs w:val="20"/>
        </w:rPr>
      </w:pPr>
      <w:r>
        <w:rPr>
          <w:i/>
          <w:sz w:val="20"/>
          <w:szCs w:val="20"/>
        </w:rPr>
        <w:t>Z. </w:t>
      </w:r>
      <w:r w:rsidR="008448A4" w:rsidRPr="00DF356E">
        <w:rPr>
          <w:i/>
          <w:sz w:val="20"/>
          <w:szCs w:val="20"/>
        </w:rPr>
        <w:t xml:space="preserve">Dundurs </w:t>
      </w:r>
    </w:p>
    <w:p w:rsidR="008448A4" w:rsidRPr="00DF356E" w:rsidRDefault="008448A4" w:rsidP="008448A4">
      <w:pPr>
        <w:pStyle w:val="Pamatteksts"/>
        <w:spacing w:after="0"/>
        <w:rPr>
          <w:i/>
          <w:sz w:val="20"/>
          <w:szCs w:val="20"/>
        </w:rPr>
      </w:pPr>
      <w:r w:rsidRPr="00DF356E">
        <w:rPr>
          <w:i/>
          <w:sz w:val="20"/>
          <w:szCs w:val="20"/>
        </w:rPr>
        <w:t>67036931</w:t>
      </w:r>
      <w:r w:rsidR="00DF356E">
        <w:rPr>
          <w:i/>
          <w:sz w:val="20"/>
          <w:szCs w:val="20"/>
        </w:rPr>
        <w:t xml:space="preserve">, </w:t>
      </w:r>
      <w:hyperlink r:id="rId9" w:history="1">
        <w:r w:rsidR="00DF356E" w:rsidRPr="00791231">
          <w:rPr>
            <w:rStyle w:val="Hipersaite"/>
            <w:sz w:val="20"/>
            <w:szCs w:val="20"/>
            <w:lang w:val="en-US" w:eastAsia="en-US"/>
          </w:rPr>
          <w:t>zigmunds.dundurs@tm.gov.lv</w:t>
        </w:r>
      </w:hyperlink>
    </w:p>
    <w:p w:rsidR="00DF356E" w:rsidRPr="00DF356E" w:rsidRDefault="00DF356E">
      <w:pPr>
        <w:pStyle w:val="Pamatteksts"/>
        <w:spacing w:after="0"/>
        <w:rPr>
          <w:i/>
          <w:sz w:val="20"/>
          <w:szCs w:val="20"/>
        </w:rPr>
      </w:pPr>
    </w:p>
    <w:sectPr w:rsidR="00DF356E" w:rsidRPr="00DF356E" w:rsidSect="00DF356E">
      <w:headerReference w:type="default" r:id="rId10"/>
      <w:footerReference w:type="default" r:id="rId11"/>
      <w:footerReference w:type="first" r:id="rId12"/>
      <w:pgSz w:w="11906" w:h="16838" w:code="9"/>
      <w:pgMar w:top="1418"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4B" w:rsidRDefault="00F5524B" w:rsidP="008448A4">
      <w:r>
        <w:separator/>
      </w:r>
    </w:p>
  </w:endnote>
  <w:endnote w:type="continuationSeparator" w:id="0">
    <w:p w:rsidR="00F5524B" w:rsidRDefault="00F5524B" w:rsidP="00844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4B" w:rsidRPr="00A73293" w:rsidRDefault="00F5524B" w:rsidP="00A73293">
    <w:pPr>
      <w:rPr>
        <w:sz w:val="20"/>
        <w:szCs w:val="20"/>
        <w:lang w:val="lv-LV"/>
      </w:rPr>
    </w:pPr>
    <w:r w:rsidRPr="00A73293">
      <w:rPr>
        <w:sz w:val="20"/>
        <w:szCs w:val="20"/>
        <w:lang w:val="lv-LV"/>
      </w:rPr>
      <w:t>TMInf</w:t>
    </w:r>
    <w:r w:rsidR="001600E0">
      <w:rPr>
        <w:sz w:val="20"/>
        <w:szCs w:val="20"/>
        <w:lang w:val="lv-LV"/>
      </w:rPr>
      <w:t>_0310</w:t>
    </w:r>
    <w:r w:rsidRPr="00447338">
      <w:rPr>
        <w:sz w:val="20"/>
        <w:szCs w:val="20"/>
        <w:lang w:val="lv-LV"/>
      </w:rPr>
      <w:t>11_Tiesu</w:t>
    </w:r>
    <w:r w:rsidR="00C67E50">
      <w:rPr>
        <w:sz w:val="20"/>
        <w:szCs w:val="20"/>
        <w:lang w:val="lv-LV"/>
      </w:rPr>
      <w:t>_term</w:t>
    </w:r>
    <w:r w:rsidRPr="00A73293">
      <w:rPr>
        <w:sz w:val="20"/>
        <w:szCs w:val="20"/>
        <w:lang w:val="lv-LV"/>
      </w:rPr>
      <w:t>; Informatīvais ziņojums „Par tiesu praksi attiecībā uz termiņiem, kādos tiek izskatītas lietas”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4B" w:rsidRPr="00A73293" w:rsidRDefault="00A32045" w:rsidP="00A73293">
    <w:pPr>
      <w:rPr>
        <w:sz w:val="20"/>
        <w:szCs w:val="20"/>
      </w:rPr>
    </w:pPr>
    <w:r>
      <w:rPr>
        <w:sz w:val="20"/>
        <w:szCs w:val="20"/>
      </w:rPr>
      <w:t>TMInf_</w:t>
    </w:r>
    <w:r w:rsidR="001600E0">
      <w:rPr>
        <w:sz w:val="20"/>
        <w:szCs w:val="20"/>
      </w:rPr>
      <w:t>0310</w:t>
    </w:r>
    <w:r w:rsidR="00F5524B" w:rsidRPr="00447338">
      <w:rPr>
        <w:sz w:val="20"/>
        <w:szCs w:val="20"/>
      </w:rPr>
      <w:t>11_</w:t>
    </w:r>
    <w:r w:rsidR="00F5524B">
      <w:rPr>
        <w:sz w:val="20"/>
        <w:szCs w:val="20"/>
      </w:rPr>
      <w:t>Tiesu_</w:t>
    </w:r>
    <w:r w:rsidR="00C67E50">
      <w:rPr>
        <w:sz w:val="20"/>
        <w:szCs w:val="20"/>
      </w:rPr>
      <w:t>term</w:t>
    </w:r>
    <w:r w:rsidR="00F5524B" w:rsidRPr="00793ADC">
      <w:rPr>
        <w:sz w:val="20"/>
        <w:szCs w:val="20"/>
      </w:rPr>
      <w:t xml:space="preserve">; </w:t>
    </w:r>
    <w:r w:rsidR="00F5524B">
      <w:rPr>
        <w:sz w:val="20"/>
        <w:szCs w:val="20"/>
      </w:rPr>
      <w:t>Informatīvais ziņojums</w:t>
    </w:r>
    <w:r w:rsidR="00F5524B" w:rsidRPr="00793ADC">
      <w:rPr>
        <w:sz w:val="20"/>
        <w:szCs w:val="20"/>
      </w:rPr>
      <w:t xml:space="preserve"> „Par tiesu praksi attiecībā uz termiņiem, kādos tiek izskatītas lietas”</w:t>
    </w:r>
  </w:p>
  <w:p w:rsidR="00F5524B" w:rsidRDefault="00F5524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4B" w:rsidRDefault="00F5524B" w:rsidP="008448A4">
      <w:r>
        <w:separator/>
      </w:r>
    </w:p>
  </w:footnote>
  <w:footnote w:type="continuationSeparator" w:id="0">
    <w:p w:rsidR="00F5524B" w:rsidRDefault="00F5524B" w:rsidP="00844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704"/>
      <w:docPartObj>
        <w:docPartGallery w:val="Page Numbers (Top of Page)"/>
        <w:docPartUnique/>
      </w:docPartObj>
    </w:sdtPr>
    <w:sdtContent>
      <w:p w:rsidR="00F5524B" w:rsidRDefault="00727762">
        <w:pPr>
          <w:pStyle w:val="Galvene"/>
          <w:jc w:val="center"/>
        </w:pPr>
        <w:fldSimple w:instr=" PAGE   \* MERGEFORMAT ">
          <w:r w:rsidR="001600E0">
            <w:rPr>
              <w:noProof/>
            </w:rPr>
            <w:t>2</w:t>
          </w:r>
        </w:fldSimple>
      </w:p>
    </w:sdtContent>
  </w:sdt>
  <w:p w:rsidR="00F5524B" w:rsidRDefault="00F5524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48A4"/>
    <w:rsid w:val="000A7127"/>
    <w:rsid w:val="001600E0"/>
    <w:rsid w:val="002E1D17"/>
    <w:rsid w:val="00364CAD"/>
    <w:rsid w:val="00424059"/>
    <w:rsid w:val="00447338"/>
    <w:rsid w:val="00483405"/>
    <w:rsid w:val="0050006C"/>
    <w:rsid w:val="00577717"/>
    <w:rsid w:val="00692735"/>
    <w:rsid w:val="006F4DC9"/>
    <w:rsid w:val="007050AF"/>
    <w:rsid w:val="00727762"/>
    <w:rsid w:val="007C3AD3"/>
    <w:rsid w:val="00824A0E"/>
    <w:rsid w:val="008448A4"/>
    <w:rsid w:val="009D275F"/>
    <w:rsid w:val="00A32045"/>
    <w:rsid w:val="00A73293"/>
    <w:rsid w:val="00AB2037"/>
    <w:rsid w:val="00B45902"/>
    <w:rsid w:val="00C15EC3"/>
    <w:rsid w:val="00C67E50"/>
    <w:rsid w:val="00CB1976"/>
    <w:rsid w:val="00DD61D3"/>
    <w:rsid w:val="00DF356E"/>
    <w:rsid w:val="00EA68CC"/>
    <w:rsid w:val="00F26852"/>
    <w:rsid w:val="00F552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48A4"/>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8448A4"/>
    <w:pPr>
      <w:spacing w:after="120"/>
    </w:pPr>
    <w:rPr>
      <w:lang w:val="lv-LV" w:eastAsia="lv-LV"/>
    </w:rPr>
  </w:style>
  <w:style w:type="character" w:customStyle="1" w:styleId="PamattekstsRakstz">
    <w:name w:val="Pamatteksts Rakstz."/>
    <w:basedOn w:val="Noklusjumarindkopasfonts"/>
    <w:link w:val="Pamatteksts"/>
    <w:rsid w:val="008448A4"/>
    <w:rPr>
      <w:rFonts w:ascii="Times New Roman" w:eastAsia="Times New Roman" w:hAnsi="Times New Roman" w:cs="Times New Roman"/>
      <w:sz w:val="24"/>
      <w:szCs w:val="24"/>
      <w:lang w:eastAsia="lv-LV"/>
    </w:rPr>
  </w:style>
  <w:style w:type="paragraph" w:styleId="ParastaisWeb">
    <w:name w:val="Normal (Web)"/>
    <w:basedOn w:val="Parastais"/>
    <w:uiPriority w:val="99"/>
    <w:unhideWhenUsed/>
    <w:rsid w:val="008448A4"/>
    <w:pPr>
      <w:spacing w:before="100" w:beforeAutospacing="1" w:after="100" w:afterAutospacing="1"/>
    </w:pPr>
    <w:rPr>
      <w:rFonts w:ascii="Verdana" w:hAnsi="Verdana"/>
      <w:sz w:val="18"/>
      <w:szCs w:val="18"/>
      <w:lang w:val="lv-LV" w:eastAsia="lv-LV"/>
    </w:rPr>
  </w:style>
  <w:style w:type="paragraph" w:styleId="Galvene">
    <w:name w:val="header"/>
    <w:basedOn w:val="Parastais"/>
    <w:link w:val="GalveneRakstz"/>
    <w:uiPriority w:val="99"/>
    <w:unhideWhenUsed/>
    <w:rsid w:val="008448A4"/>
    <w:pPr>
      <w:tabs>
        <w:tab w:val="center" w:pos="4153"/>
        <w:tab w:val="right" w:pos="8306"/>
      </w:tabs>
    </w:pPr>
  </w:style>
  <w:style w:type="character" w:customStyle="1" w:styleId="GalveneRakstz">
    <w:name w:val="Galvene Rakstz."/>
    <w:basedOn w:val="Noklusjumarindkopasfonts"/>
    <w:link w:val="Galvene"/>
    <w:uiPriority w:val="99"/>
    <w:rsid w:val="008448A4"/>
    <w:rPr>
      <w:rFonts w:ascii="Times New Roman" w:eastAsia="Times New Roman" w:hAnsi="Times New Roman" w:cs="Times New Roman"/>
      <w:sz w:val="24"/>
      <w:szCs w:val="24"/>
      <w:lang w:val="en-US"/>
    </w:rPr>
  </w:style>
  <w:style w:type="paragraph" w:styleId="Kjene">
    <w:name w:val="footer"/>
    <w:basedOn w:val="Parastais"/>
    <w:link w:val="KjeneRakstz"/>
    <w:uiPriority w:val="99"/>
    <w:unhideWhenUsed/>
    <w:rsid w:val="008448A4"/>
    <w:pPr>
      <w:tabs>
        <w:tab w:val="center" w:pos="4153"/>
        <w:tab w:val="right" w:pos="8306"/>
      </w:tabs>
    </w:pPr>
  </w:style>
  <w:style w:type="character" w:customStyle="1" w:styleId="KjeneRakstz">
    <w:name w:val="Kājene Rakstz."/>
    <w:basedOn w:val="Noklusjumarindkopasfonts"/>
    <w:link w:val="Kjene"/>
    <w:uiPriority w:val="99"/>
    <w:rsid w:val="008448A4"/>
    <w:rPr>
      <w:rFonts w:ascii="Times New Roman" w:eastAsia="Times New Roman" w:hAnsi="Times New Roman" w:cs="Times New Roman"/>
      <w:sz w:val="24"/>
      <w:szCs w:val="24"/>
      <w:lang w:val="en-US"/>
    </w:rPr>
  </w:style>
  <w:style w:type="paragraph" w:styleId="Balonteksts">
    <w:name w:val="Balloon Text"/>
    <w:basedOn w:val="Parastais"/>
    <w:link w:val="BalontekstsRakstz"/>
    <w:uiPriority w:val="99"/>
    <w:semiHidden/>
    <w:unhideWhenUsed/>
    <w:rsid w:val="00A732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3293"/>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692735"/>
    <w:rPr>
      <w:sz w:val="16"/>
      <w:szCs w:val="16"/>
    </w:rPr>
  </w:style>
  <w:style w:type="paragraph" w:styleId="Komentrateksts">
    <w:name w:val="annotation text"/>
    <w:basedOn w:val="Parastais"/>
    <w:link w:val="KomentratekstsRakstz"/>
    <w:uiPriority w:val="99"/>
    <w:semiHidden/>
    <w:unhideWhenUsed/>
    <w:rsid w:val="00692735"/>
    <w:rPr>
      <w:sz w:val="20"/>
      <w:szCs w:val="20"/>
    </w:rPr>
  </w:style>
  <w:style w:type="character" w:customStyle="1" w:styleId="KomentratekstsRakstz">
    <w:name w:val="Komentāra teksts Rakstz."/>
    <w:basedOn w:val="Noklusjumarindkopasfonts"/>
    <w:link w:val="Komentrateksts"/>
    <w:uiPriority w:val="99"/>
    <w:semiHidden/>
    <w:rsid w:val="00692735"/>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92735"/>
    <w:rPr>
      <w:b/>
      <w:bCs/>
    </w:rPr>
  </w:style>
  <w:style w:type="character" w:customStyle="1" w:styleId="KomentratmaRakstz">
    <w:name w:val="Komentāra tēma Rakstz."/>
    <w:basedOn w:val="KomentratekstsRakstz"/>
    <w:link w:val="Komentratma"/>
    <w:uiPriority w:val="99"/>
    <w:semiHidden/>
    <w:rsid w:val="00692735"/>
    <w:rPr>
      <w:b/>
      <w:bCs/>
    </w:rPr>
  </w:style>
  <w:style w:type="character" w:styleId="Hipersaite">
    <w:name w:val="Hyperlink"/>
    <w:basedOn w:val="Noklusjumarindkopasfonts"/>
    <w:uiPriority w:val="99"/>
    <w:unhideWhenUsed/>
    <w:rsid w:val="00DF35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zaca@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vars.latkovskis@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igmunds.dundurs@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EDEF-0F96-47AE-A9DE-820EE535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14216</Words>
  <Characters>8104</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tiesu praksi attiecībā uz termiņiem, kādos tiek izskatītas lietas”</vt:lpstr>
      <vt:lpstr/>
    </vt:vector>
  </TitlesOfParts>
  <Company>Tieslietu Ministrija</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tiesu praksi attiecībā uz termiņiem, kādos tiek izskatītas lietas”</dc:title>
  <dc:subject>Informatīvais ziņojums</dc:subject>
  <dc:creator>Aivars Latkovskis</dc:creator>
  <dc:description>67036953, aivars.latkovskis@tm.gov.lv</dc:description>
  <cp:lastModifiedBy>al1801</cp:lastModifiedBy>
  <cp:revision>3</cp:revision>
  <dcterms:created xsi:type="dcterms:W3CDTF">2011-10-03T06:26:00Z</dcterms:created>
  <dcterms:modified xsi:type="dcterms:W3CDTF">2011-10-03T06:28:00Z</dcterms:modified>
</cp:coreProperties>
</file>