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B" w:rsidRPr="00A4505E" w:rsidRDefault="009451EB" w:rsidP="00A4505E">
      <w:pPr>
        <w:pStyle w:val="StyleBodyText14ptFirstline127cm"/>
        <w:spacing w:after="0"/>
        <w:ind w:firstLine="0"/>
        <w:jc w:val="right"/>
        <w:rPr>
          <w:i/>
          <w:sz w:val="24"/>
          <w:szCs w:val="24"/>
          <w:u w:val="single"/>
        </w:rPr>
      </w:pPr>
      <w:r w:rsidRPr="00A4505E">
        <w:rPr>
          <w:i/>
          <w:sz w:val="24"/>
          <w:szCs w:val="24"/>
        </w:rPr>
        <w:t>Likumprojekts</w:t>
      </w:r>
    </w:p>
    <w:p w:rsidR="009451EB" w:rsidRDefault="009451EB" w:rsidP="00A4505E">
      <w:pPr>
        <w:rPr>
          <w:b/>
          <w:sz w:val="28"/>
          <w:szCs w:val="28"/>
        </w:rPr>
      </w:pPr>
    </w:p>
    <w:p w:rsidR="009451EB" w:rsidRDefault="009451EB" w:rsidP="0094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likumā „Par politiski represētās personas statusa noteikšanu komunistiskajā un nacistiskajā režīmā cietušajiem”</w:t>
      </w:r>
    </w:p>
    <w:p w:rsidR="009451EB" w:rsidRDefault="009451EB" w:rsidP="009451EB">
      <w:pPr>
        <w:rPr>
          <w:sz w:val="28"/>
          <w:szCs w:val="28"/>
        </w:rPr>
      </w:pPr>
    </w:p>
    <w:p w:rsidR="009451EB" w:rsidRDefault="009451EB" w:rsidP="009451EB">
      <w:pPr>
        <w:rPr>
          <w:sz w:val="28"/>
          <w:szCs w:val="28"/>
        </w:rPr>
      </w:pPr>
    </w:p>
    <w:p w:rsidR="009451EB" w:rsidRDefault="009451EB" w:rsidP="009451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likumā „Par politiski represētās personas statusa noteikšanu komunistiskajā un nacistiskajā režīmā cietušajiem” (</w:t>
      </w:r>
      <w:r w:rsidR="00C52DF8" w:rsidRPr="00C52DF8">
        <w:rPr>
          <w:sz w:val="28"/>
          <w:szCs w:val="28"/>
        </w:rPr>
        <w:t>Latvijas Republikas Saeimas un Ministru Kabineta Ziņotājs, 1995, 10.nr.; 1997, 14.nr.; 1998, 15.nr.; 1999, 8.nr.; 2001, 14.nr.</w:t>
      </w:r>
      <w:r w:rsidR="00C52DF8">
        <w:rPr>
          <w:sz w:val="28"/>
          <w:szCs w:val="28"/>
        </w:rPr>
        <w:t>; 2004, 8.nr.</w:t>
      </w:r>
      <w:r w:rsidRPr="00C52DF8">
        <w:rPr>
          <w:sz w:val="28"/>
          <w:szCs w:val="28"/>
        </w:rPr>
        <w:t>)</w:t>
      </w:r>
      <w:r>
        <w:rPr>
          <w:sz w:val="28"/>
          <w:szCs w:val="28"/>
        </w:rPr>
        <w:t xml:space="preserve"> šādus grozījumus:</w:t>
      </w:r>
    </w:p>
    <w:p w:rsidR="009451EB" w:rsidRDefault="009451EB" w:rsidP="00C52DF8">
      <w:pPr>
        <w:tabs>
          <w:tab w:val="left" w:pos="1701"/>
        </w:tabs>
        <w:ind w:firstLine="720"/>
        <w:jc w:val="both"/>
        <w:rPr>
          <w:sz w:val="28"/>
          <w:szCs w:val="28"/>
        </w:rPr>
      </w:pPr>
    </w:p>
    <w:p w:rsidR="0055477E" w:rsidRDefault="002E7D70" w:rsidP="00C52DF8">
      <w:pPr>
        <w:pStyle w:val="ListParagraph"/>
        <w:numPr>
          <w:ilvl w:val="0"/>
          <w:numId w:val="1"/>
        </w:numPr>
        <w:tabs>
          <w:tab w:val="left" w:pos="1134"/>
        </w:tabs>
        <w:ind w:left="1134" w:hanging="414"/>
        <w:jc w:val="both"/>
        <w:rPr>
          <w:sz w:val="28"/>
          <w:szCs w:val="28"/>
        </w:rPr>
      </w:pPr>
      <w:r w:rsidRPr="002E7D70">
        <w:rPr>
          <w:sz w:val="28"/>
          <w:szCs w:val="28"/>
        </w:rPr>
        <w:t xml:space="preserve">Izslēgt 3.panta otrās daļas 3.punktā vārdus "un Tieslietu ministrijas atzinumu". </w:t>
      </w:r>
    </w:p>
    <w:p w:rsidR="0055477E" w:rsidRDefault="0055477E" w:rsidP="00C52DF8">
      <w:pPr>
        <w:tabs>
          <w:tab w:val="left" w:pos="1701"/>
        </w:tabs>
        <w:ind w:left="720"/>
        <w:jc w:val="both"/>
        <w:rPr>
          <w:sz w:val="28"/>
          <w:szCs w:val="28"/>
        </w:rPr>
      </w:pPr>
    </w:p>
    <w:p w:rsidR="001A7A2F" w:rsidRPr="001A7A2F" w:rsidRDefault="001A7A2F" w:rsidP="00C52DF8">
      <w:pPr>
        <w:pStyle w:val="ListParagraph"/>
        <w:numPr>
          <w:ilvl w:val="0"/>
          <w:numId w:val="1"/>
        </w:numPr>
        <w:tabs>
          <w:tab w:val="left" w:pos="1134"/>
        </w:tabs>
        <w:ind w:left="1134" w:hanging="41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Izslēgt </w:t>
      </w:r>
      <w:r w:rsidRPr="001A7A2F">
        <w:rPr>
          <w:sz w:val="28"/>
          <w:szCs w:val="28"/>
        </w:rPr>
        <w:t xml:space="preserve">5.panta otrās daļas 1.punktā vārdus "un Tieslietu ministrijas atzinumu". </w:t>
      </w:r>
    </w:p>
    <w:p w:rsidR="009451EB" w:rsidRDefault="009451EB" w:rsidP="00C52DF8">
      <w:pPr>
        <w:tabs>
          <w:tab w:val="left" w:pos="1701"/>
        </w:tabs>
        <w:jc w:val="both"/>
        <w:rPr>
          <w:sz w:val="28"/>
          <w:szCs w:val="28"/>
        </w:rPr>
      </w:pPr>
    </w:p>
    <w:p w:rsidR="0055477E" w:rsidRDefault="002E7D70" w:rsidP="00C52DF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2E7D70">
        <w:rPr>
          <w:sz w:val="28"/>
          <w:szCs w:val="28"/>
        </w:rPr>
        <w:t xml:space="preserve">Izteikt 11.pantu šādā redakcijā: </w:t>
      </w:r>
    </w:p>
    <w:p w:rsidR="000914F5" w:rsidRDefault="002E7D70" w:rsidP="00C52DF8">
      <w:pPr>
        <w:tabs>
          <w:tab w:val="left" w:pos="1701"/>
        </w:tabs>
        <w:ind w:left="720"/>
        <w:jc w:val="both"/>
        <w:rPr>
          <w:sz w:val="28"/>
          <w:szCs w:val="28"/>
        </w:rPr>
      </w:pPr>
      <w:r w:rsidRPr="002E7D70">
        <w:rPr>
          <w:sz w:val="28"/>
          <w:szCs w:val="28"/>
        </w:rPr>
        <w:t>„</w:t>
      </w:r>
      <w:r w:rsidRPr="002E7D70">
        <w:rPr>
          <w:b/>
          <w:sz w:val="28"/>
          <w:szCs w:val="28"/>
        </w:rPr>
        <w:t>11.pants</w:t>
      </w:r>
      <w:r w:rsidR="006F434B">
        <w:rPr>
          <w:b/>
          <w:sz w:val="28"/>
          <w:szCs w:val="28"/>
        </w:rPr>
        <w:t>.</w:t>
      </w:r>
      <w:r w:rsidR="001A7A2F">
        <w:rPr>
          <w:sz w:val="28"/>
          <w:szCs w:val="28"/>
        </w:rPr>
        <w:t xml:space="preserve"> </w:t>
      </w:r>
      <w:r w:rsidR="000914F5">
        <w:rPr>
          <w:sz w:val="28"/>
          <w:szCs w:val="28"/>
        </w:rPr>
        <w:t xml:space="preserve">(1) </w:t>
      </w:r>
      <w:r w:rsidRPr="002E7D70">
        <w:rPr>
          <w:sz w:val="28"/>
          <w:szCs w:val="28"/>
        </w:rPr>
        <w:t>Politiski represētās personas statusu piešķir Pilsonības un migrācijas lietu pārvalde</w:t>
      </w:r>
      <w:r w:rsidR="000914F5">
        <w:rPr>
          <w:sz w:val="28"/>
          <w:szCs w:val="28"/>
        </w:rPr>
        <w:t>s amatpersona.</w:t>
      </w:r>
      <w:r w:rsidR="000914F5" w:rsidRPr="000914F5">
        <w:rPr>
          <w:sz w:val="28"/>
          <w:szCs w:val="28"/>
        </w:rPr>
        <w:t xml:space="preserve"> </w:t>
      </w:r>
      <w:r w:rsidR="000914F5" w:rsidRPr="002E7D70">
        <w:rPr>
          <w:sz w:val="28"/>
          <w:szCs w:val="28"/>
        </w:rPr>
        <w:t>Pilsonības un migrācijas lietu pārvalde</w:t>
      </w:r>
      <w:r w:rsidR="000914F5">
        <w:rPr>
          <w:sz w:val="28"/>
          <w:szCs w:val="28"/>
        </w:rPr>
        <w:t>s amatpersonas lēmumu var apstrīdēt pārvaldes priekšniekam.</w:t>
      </w:r>
      <w:r w:rsidR="000914F5" w:rsidRPr="000914F5">
        <w:rPr>
          <w:sz w:val="28"/>
          <w:szCs w:val="28"/>
        </w:rPr>
        <w:t xml:space="preserve"> </w:t>
      </w:r>
      <w:r w:rsidR="000914F5" w:rsidRPr="002E7D70">
        <w:rPr>
          <w:sz w:val="28"/>
          <w:szCs w:val="28"/>
        </w:rPr>
        <w:t>Pilsonības un migrācijas lietu pārvalde</w:t>
      </w:r>
      <w:r w:rsidR="000914F5">
        <w:rPr>
          <w:sz w:val="28"/>
          <w:szCs w:val="28"/>
        </w:rPr>
        <w:t>s priekšnieka lēmumu var pārsūdzēt administratīvajā rajona tiesā</w:t>
      </w:r>
      <w:r w:rsidRPr="002E7D70">
        <w:rPr>
          <w:sz w:val="28"/>
          <w:szCs w:val="28"/>
        </w:rPr>
        <w:t xml:space="preserve"> Administratīvā procesa likumā noteiktajā kārtībā.</w:t>
      </w:r>
    </w:p>
    <w:p w:rsidR="0055477E" w:rsidRDefault="000914F5" w:rsidP="00C52DF8">
      <w:pPr>
        <w:tabs>
          <w:tab w:val="left" w:pos="170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(2) Nepieciešamības gadījumā Latvijas Politiski represēto apvienība sniedz</w:t>
      </w:r>
      <w:r w:rsidRPr="000914F5">
        <w:rPr>
          <w:sz w:val="28"/>
          <w:szCs w:val="28"/>
        </w:rPr>
        <w:t xml:space="preserve"> </w:t>
      </w:r>
      <w:r w:rsidRPr="002E7D70">
        <w:rPr>
          <w:sz w:val="28"/>
          <w:szCs w:val="28"/>
        </w:rPr>
        <w:t>Pilsonības un migrācijas lietu pārvalde</w:t>
      </w:r>
      <w:r>
        <w:rPr>
          <w:sz w:val="28"/>
          <w:szCs w:val="28"/>
        </w:rPr>
        <w:t>i konsultācijas un priekšlikumus</w:t>
      </w:r>
      <w:r w:rsidR="00491CB0" w:rsidRPr="00491CB0">
        <w:rPr>
          <w:sz w:val="28"/>
          <w:szCs w:val="28"/>
        </w:rPr>
        <w:t xml:space="preserve"> </w:t>
      </w:r>
      <w:r w:rsidR="00491CB0">
        <w:rPr>
          <w:sz w:val="28"/>
          <w:szCs w:val="28"/>
        </w:rPr>
        <w:t>politisko represiju jautājumos</w:t>
      </w:r>
      <w:r>
        <w:rPr>
          <w:sz w:val="28"/>
          <w:szCs w:val="28"/>
        </w:rPr>
        <w:t>.</w:t>
      </w:r>
      <w:r w:rsidR="002E7D70" w:rsidRPr="002E7D70">
        <w:rPr>
          <w:sz w:val="28"/>
          <w:szCs w:val="28"/>
        </w:rPr>
        <w:t>”</w:t>
      </w:r>
    </w:p>
    <w:p w:rsidR="0002188D" w:rsidRDefault="0002188D" w:rsidP="002C6F66">
      <w:pPr>
        <w:tabs>
          <w:tab w:val="left" w:pos="1701"/>
        </w:tabs>
        <w:jc w:val="both"/>
        <w:rPr>
          <w:sz w:val="28"/>
          <w:szCs w:val="28"/>
        </w:rPr>
      </w:pPr>
    </w:p>
    <w:p w:rsidR="0055477E" w:rsidRDefault="002E7D70" w:rsidP="00C52DF8">
      <w:pPr>
        <w:pStyle w:val="ListParagraph"/>
        <w:numPr>
          <w:ilvl w:val="0"/>
          <w:numId w:val="1"/>
        </w:numPr>
        <w:tabs>
          <w:tab w:val="left" w:pos="1276"/>
        </w:tabs>
        <w:ind w:left="1134" w:hanging="414"/>
        <w:jc w:val="both"/>
        <w:rPr>
          <w:sz w:val="28"/>
          <w:szCs w:val="28"/>
        </w:rPr>
      </w:pPr>
      <w:r w:rsidRPr="002E7D70">
        <w:rPr>
          <w:sz w:val="28"/>
          <w:szCs w:val="28"/>
        </w:rPr>
        <w:t>Papildināt pārejas noteikumus ar 7.punktu šādā redakcijā:</w:t>
      </w:r>
    </w:p>
    <w:p w:rsidR="0055477E" w:rsidRDefault="002E7D70" w:rsidP="00C52DF8">
      <w:pPr>
        <w:tabs>
          <w:tab w:val="left" w:pos="1701"/>
        </w:tabs>
        <w:ind w:left="720"/>
        <w:jc w:val="both"/>
        <w:rPr>
          <w:sz w:val="28"/>
          <w:szCs w:val="28"/>
        </w:rPr>
      </w:pPr>
      <w:r w:rsidRPr="002E7D70">
        <w:rPr>
          <w:sz w:val="28"/>
          <w:szCs w:val="28"/>
        </w:rPr>
        <w:t xml:space="preserve"> „7. Administratīvajās lietās, kas pašvaldībā vai Tieslietu ministrijā iesniegtas </w:t>
      </w:r>
      <w:r w:rsidR="006F434B">
        <w:rPr>
          <w:sz w:val="28"/>
          <w:szCs w:val="28"/>
        </w:rPr>
        <w:t xml:space="preserve">līdz </w:t>
      </w:r>
      <w:r w:rsidRPr="002E7D70">
        <w:rPr>
          <w:sz w:val="28"/>
          <w:szCs w:val="28"/>
        </w:rPr>
        <w:t xml:space="preserve"> 201</w:t>
      </w:r>
      <w:r w:rsidR="006F434B">
        <w:rPr>
          <w:sz w:val="28"/>
          <w:szCs w:val="28"/>
        </w:rPr>
        <w:t>1</w:t>
      </w:r>
      <w:r w:rsidRPr="002E7D70">
        <w:rPr>
          <w:sz w:val="28"/>
          <w:szCs w:val="28"/>
        </w:rPr>
        <w:t xml:space="preserve">.gada </w:t>
      </w:r>
      <w:r w:rsidR="006F434B">
        <w:rPr>
          <w:sz w:val="28"/>
          <w:szCs w:val="28"/>
        </w:rPr>
        <w:t>3</w:t>
      </w:r>
      <w:r w:rsidRPr="002E7D70">
        <w:rPr>
          <w:sz w:val="28"/>
          <w:szCs w:val="28"/>
        </w:rPr>
        <w:t>1.</w:t>
      </w:r>
      <w:r w:rsidR="006F434B">
        <w:rPr>
          <w:sz w:val="28"/>
          <w:szCs w:val="28"/>
        </w:rPr>
        <w:t>decembrim</w:t>
      </w:r>
      <w:r w:rsidRPr="002E7D70">
        <w:rPr>
          <w:sz w:val="28"/>
          <w:szCs w:val="28"/>
        </w:rPr>
        <w:t>, lēmumu par politiski represētās personas statusa piešķiršanu pieņem vietējā pašvaldība, kas veikusi attiecīgās personas reģistrāciju dzīvesvietā, vai Tieslietu ministrija, ja Latvijas pilsoņu pastāvīgā dzīvesvieta ir ārvalstīs.”</w:t>
      </w:r>
    </w:p>
    <w:p w:rsidR="008E20C6" w:rsidRDefault="008E20C6" w:rsidP="009451EB">
      <w:pPr>
        <w:ind w:firstLine="720"/>
        <w:jc w:val="both"/>
        <w:rPr>
          <w:sz w:val="28"/>
          <w:szCs w:val="28"/>
        </w:rPr>
      </w:pPr>
    </w:p>
    <w:p w:rsidR="0002188D" w:rsidRDefault="006F434B" w:rsidP="009451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E20C6">
        <w:rPr>
          <w:sz w:val="28"/>
          <w:szCs w:val="28"/>
        </w:rPr>
        <w:t>ikum</w:t>
      </w:r>
      <w:r>
        <w:rPr>
          <w:sz w:val="28"/>
          <w:szCs w:val="28"/>
        </w:rPr>
        <w:t>s</w:t>
      </w:r>
      <w:r w:rsidR="0002188D">
        <w:rPr>
          <w:sz w:val="28"/>
          <w:szCs w:val="28"/>
        </w:rPr>
        <w:t xml:space="preserve"> stājas spēkā 2012.gada 1.janvārī.</w:t>
      </w:r>
    </w:p>
    <w:p w:rsidR="0002188D" w:rsidRDefault="0002188D" w:rsidP="009451EB">
      <w:pPr>
        <w:ind w:firstLine="720"/>
        <w:jc w:val="both"/>
        <w:rPr>
          <w:sz w:val="28"/>
          <w:szCs w:val="28"/>
        </w:rPr>
      </w:pPr>
    </w:p>
    <w:p w:rsidR="00A4505E" w:rsidRDefault="00A4505E" w:rsidP="00A4505E">
      <w:pPr>
        <w:jc w:val="both"/>
        <w:rPr>
          <w:sz w:val="28"/>
          <w:szCs w:val="28"/>
        </w:rPr>
      </w:pPr>
    </w:p>
    <w:p w:rsidR="00A4505E" w:rsidRDefault="00A4505E" w:rsidP="00A4505E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A.Štokenbergs</w:t>
      </w:r>
    </w:p>
    <w:p w:rsidR="00A4505E" w:rsidRDefault="00A4505E" w:rsidP="00A4505E">
      <w:pPr>
        <w:jc w:val="both"/>
        <w:rPr>
          <w:sz w:val="28"/>
          <w:szCs w:val="28"/>
        </w:rPr>
      </w:pPr>
    </w:p>
    <w:p w:rsidR="00A4505E" w:rsidRDefault="00A4505E" w:rsidP="00A4505E">
      <w:pPr>
        <w:jc w:val="both"/>
        <w:rPr>
          <w:sz w:val="20"/>
          <w:szCs w:val="20"/>
        </w:rPr>
      </w:pPr>
    </w:p>
    <w:p w:rsidR="00A4505E" w:rsidRPr="00A4505E" w:rsidRDefault="00A4505E" w:rsidP="00A4505E">
      <w:pPr>
        <w:jc w:val="both"/>
        <w:rPr>
          <w:sz w:val="20"/>
          <w:szCs w:val="20"/>
        </w:rPr>
      </w:pPr>
      <w:r w:rsidRPr="00A4505E">
        <w:rPr>
          <w:sz w:val="20"/>
          <w:szCs w:val="20"/>
        </w:rPr>
        <w:t xml:space="preserve">02.02.2011. </w:t>
      </w:r>
      <w:r>
        <w:rPr>
          <w:sz w:val="20"/>
          <w:szCs w:val="20"/>
        </w:rPr>
        <w:t>13</w:t>
      </w:r>
      <w:r w:rsidRPr="00A4505E">
        <w:rPr>
          <w:sz w:val="20"/>
          <w:szCs w:val="20"/>
        </w:rPr>
        <w:t>:3</w:t>
      </w:r>
      <w:r>
        <w:rPr>
          <w:sz w:val="20"/>
          <w:szCs w:val="20"/>
        </w:rPr>
        <w:t>5</w:t>
      </w:r>
    </w:p>
    <w:p w:rsidR="00A4505E" w:rsidRPr="00A4505E" w:rsidRDefault="00A4505E" w:rsidP="00A4505E">
      <w:pPr>
        <w:jc w:val="both"/>
        <w:rPr>
          <w:sz w:val="20"/>
          <w:szCs w:val="20"/>
        </w:rPr>
      </w:pPr>
      <w:r w:rsidRPr="00A4505E">
        <w:rPr>
          <w:sz w:val="20"/>
          <w:szCs w:val="20"/>
        </w:rPr>
        <w:t>195</w:t>
      </w:r>
    </w:p>
    <w:p w:rsidR="00A4505E" w:rsidRPr="00A4505E" w:rsidRDefault="00A4505E" w:rsidP="00A4505E">
      <w:pPr>
        <w:jc w:val="both"/>
        <w:rPr>
          <w:sz w:val="20"/>
          <w:szCs w:val="20"/>
        </w:rPr>
      </w:pPr>
      <w:r w:rsidRPr="00A4505E">
        <w:rPr>
          <w:sz w:val="20"/>
          <w:szCs w:val="20"/>
        </w:rPr>
        <w:t>L.Berga</w:t>
      </w:r>
    </w:p>
    <w:p w:rsidR="00A4505E" w:rsidRPr="00A4505E" w:rsidRDefault="00A4505E" w:rsidP="00A4505E">
      <w:pPr>
        <w:jc w:val="both"/>
        <w:rPr>
          <w:sz w:val="20"/>
          <w:szCs w:val="20"/>
        </w:rPr>
      </w:pPr>
      <w:r w:rsidRPr="00A4505E">
        <w:rPr>
          <w:sz w:val="20"/>
          <w:szCs w:val="20"/>
        </w:rPr>
        <w:lastRenderedPageBreak/>
        <w:t xml:space="preserve">67036804, </w:t>
      </w:r>
      <w:hyperlink r:id="rId7" w:history="1">
        <w:r w:rsidRPr="00A4505E">
          <w:rPr>
            <w:rStyle w:val="Hyperlink"/>
            <w:sz w:val="20"/>
            <w:szCs w:val="20"/>
          </w:rPr>
          <w:t>Linda.Berga@tm.gov.lv</w:t>
        </w:r>
      </w:hyperlink>
      <w:r w:rsidRPr="00A4505E">
        <w:rPr>
          <w:sz w:val="20"/>
          <w:szCs w:val="20"/>
        </w:rPr>
        <w:t xml:space="preserve"> </w:t>
      </w:r>
    </w:p>
    <w:p w:rsidR="008E20C6" w:rsidRDefault="0002188D" w:rsidP="000218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20C6" w:rsidSect="00A4505E">
      <w:footerReference w:type="default" r:id="rId8"/>
      <w:pgSz w:w="11906" w:h="16838" w:code="9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20" w:rsidRDefault="003D2820" w:rsidP="00E53B57">
      <w:r>
        <w:separator/>
      </w:r>
    </w:p>
  </w:endnote>
  <w:endnote w:type="continuationSeparator" w:id="0">
    <w:p w:rsidR="003D2820" w:rsidRDefault="003D2820" w:rsidP="00E5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DF" w:rsidRDefault="00572DDC">
    <w:pPr>
      <w:jc w:val="both"/>
      <w:rPr>
        <w:sz w:val="20"/>
        <w:szCs w:val="20"/>
      </w:rPr>
    </w:pPr>
    <w:r w:rsidRPr="00572DDC">
      <w:rPr>
        <w:sz w:val="20"/>
        <w:szCs w:val="20"/>
      </w:rPr>
      <w:t>TMLik_020211_Polrep; Grozījumi likumā „Par politiski represētās personas statusa noteikšanu komunistiskajā un nacistiskajā režīmā cietušajiem”</w:t>
    </w:r>
  </w:p>
  <w:p w:rsidR="00EB79DF" w:rsidRDefault="00EB79DF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20" w:rsidRDefault="003D2820" w:rsidP="00E53B57">
      <w:r>
        <w:separator/>
      </w:r>
    </w:p>
  </w:footnote>
  <w:footnote w:type="continuationSeparator" w:id="0">
    <w:p w:rsidR="003D2820" w:rsidRDefault="003D2820" w:rsidP="00E53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1E2E"/>
    <w:multiLevelType w:val="hybridMultilevel"/>
    <w:tmpl w:val="71483C68"/>
    <w:lvl w:ilvl="0" w:tplc="FB78D47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1EB"/>
    <w:rsid w:val="0002188D"/>
    <w:rsid w:val="000914F5"/>
    <w:rsid w:val="000E6AB0"/>
    <w:rsid w:val="000F7FBE"/>
    <w:rsid w:val="001A7A2F"/>
    <w:rsid w:val="001E1CEA"/>
    <w:rsid w:val="002C6F66"/>
    <w:rsid w:val="002E7D70"/>
    <w:rsid w:val="0034540C"/>
    <w:rsid w:val="00361A3D"/>
    <w:rsid w:val="00390ABA"/>
    <w:rsid w:val="00390BB9"/>
    <w:rsid w:val="003B047B"/>
    <w:rsid w:val="003D2820"/>
    <w:rsid w:val="00491CB0"/>
    <w:rsid w:val="004A6FB4"/>
    <w:rsid w:val="004D2A56"/>
    <w:rsid w:val="005406F6"/>
    <w:rsid w:val="0055477E"/>
    <w:rsid w:val="00572DDC"/>
    <w:rsid w:val="006119A2"/>
    <w:rsid w:val="00645A4B"/>
    <w:rsid w:val="00670F72"/>
    <w:rsid w:val="006F434B"/>
    <w:rsid w:val="00716133"/>
    <w:rsid w:val="007A5635"/>
    <w:rsid w:val="007E58E6"/>
    <w:rsid w:val="00876CC3"/>
    <w:rsid w:val="008970B8"/>
    <w:rsid w:val="008B6157"/>
    <w:rsid w:val="008E20C6"/>
    <w:rsid w:val="008E4409"/>
    <w:rsid w:val="009451EB"/>
    <w:rsid w:val="00977F2E"/>
    <w:rsid w:val="009D5E95"/>
    <w:rsid w:val="00A028D4"/>
    <w:rsid w:val="00A4505E"/>
    <w:rsid w:val="00A618C0"/>
    <w:rsid w:val="00A76AC1"/>
    <w:rsid w:val="00A83702"/>
    <w:rsid w:val="00AA61A0"/>
    <w:rsid w:val="00AB15E4"/>
    <w:rsid w:val="00B11E51"/>
    <w:rsid w:val="00BD6DAB"/>
    <w:rsid w:val="00C006A6"/>
    <w:rsid w:val="00C52DF8"/>
    <w:rsid w:val="00C86DB5"/>
    <w:rsid w:val="00DA05A8"/>
    <w:rsid w:val="00E53B57"/>
    <w:rsid w:val="00EA11B7"/>
    <w:rsid w:val="00EB79DF"/>
    <w:rsid w:val="00ED0116"/>
    <w:rsid w:val="00EE4217"/>
    <w:rsid w:val="00F75F2C"/>
    <w:rsid w:val="00FA59A4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EB"/>
    <w:pPr>
      <w:spacing w:line="240" w:lineRule="auto"/>
      <w:jc w:val="left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14ptFirstline127cm">
    <w:name w:val="Style Body Text + 14 pt First line:  127 cm"/>
    <w:basedOn w:val="Normal"/>
    <w:next w:val="Normal"/>
    <w:rsid w:val="009451EB"/>
    <w:pPr>
      <w:spacing w:after="120"/>
      <w:ind w:firstLine="720"/>
      <w:jc w:val="both"/>
    </w:pPr>
    <w:rPr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3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3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A7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B57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E53B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B57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45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Berga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Politiski represētas personas</dc:subject>
  <dc:creator>Linda Berga</dc:creator>
  <cp:keywords/>
  <dc:description>67036804, Linda.Berga@tm.gov.lv</dc:description>
  <cp:lastModifiedBy>lb1201</cp:lastModifiedBy>
  <cp:revision>4</cp:revision>
  <dcterms:created xsi:type="dcterms:W3CDTF">2011-02-03T07:21:00Z</dcterms:created>
  <dcterms:modified xsi:type="dcterms:W3CDTF">2011-02-03T07:24:00Z</dcterms:modified>
</cp:coreProperties>
</file>