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7CF2" w14:textId="77777777" w:rsidR="008B1310" w:rsidRDefault="008B1310" w:rsidP="008B1310">
      <w:pPr>
        <w:rPr>
          <w:sz w:val="28"/>
          <w:szCs w:val="28"/>
        </w:rPr>
      </w:pPr>
    </w:p>
    <w:p w14:paraId="3CD22D5A" w14:textId="77777777" w:rsidR="008B1310" w:rsidRPr="008B1310" w:rsidRDefault="008B1310" w:rsidP="008B1310">
      <w:pPr>
        <w:rPr>
          <w:sz w:val="28"/>
          <w:szCs w:val="28"/>
        </w:rPr>
      </w:pPr>
    </w:p>
    <w:p w14:paraId="4FB2100D" w14:textId="16A46744" w:rsidR="00BA23E4" w:rsidRPr="008B1310" w:rsidRDefault="00BA23E4" w:rsidP="008B1310">
      <w:pPr>
        <w:tabs>
          <w:tab w:val="left" w:pos="6521"/>
        </w:tabs>
        <w:rPr>
          <w:sz w:val="28"/>
          <w:szCs w:val="28"/>
        </w:rPr>
      </w:pPr>
      <w:r w:rsidRPr="008B1310">
        <w:rPr>
          <w:sz w:val="28"/>
          <w:szCs w:val="28"/>
        </w:rPr>
        <w:t>2012.</w:t>
      </w:r>
      <w:r w:rsidR="008B1310">
        <w:rPr>
          <w:sz w:val="28"/>
          <w:szCs w:val="28"/>
        </w:rPr>
        <w:t>gada</w:t>
      </w:r>
      <w:r w:rsidR="008B1310">
        <w:rPr>
          <w:sz w:val="28"/>
          <w:szCs w:val="28"/>
        </w:rPr>
        <w:tab/>
        <w:t>Noteikumi Nr.</w:t>
      </w:r>
    </w:p>
    <w:p w14:paraId="4FB2100E" w14:textId="1D2DFB03" w:rsidR="00BA23E4" w:rsidRPr="008B1310" w:rsidRDefault="008B1310" w:rsidP="008B1310">
      <w:pPr>
        <w:tabs>
          <w:tab w:val="left" w:pos="6521"/>
        </w:tabs>
        <w:rPr>
          <w:sz w:val="28"/>
          <w:szCs w:val="28"/>
        </w:rPr>
      </w:pPr>
      <w:r>
        <w:rPr>
          <w:sz w:val="28"/>
          <w:szCs w:val="28"/>
        </w:rPr>
        <w:t>Rīgā</w:t>
      </w:r>
      <w:r>
        <w:rPr>
          <w:sz w:val="28"/>
          <w:szCs w:val="28"/>
        </w:rPr>
        <w:tab/>
        <w:t xml:space="preserve">(prot. Nr.                 </w:t>
      </w:r>
      <w:r w:rsidR="00BA23E4" w:rsidRPr="008B1310">
        <w:rPr>
          <w:sz w:val="28"/>
          <w:szCs w:val="28"/>
        </w:rPr>
        <w:t>.§)</w:t>
      </w:r>
    </w:p>
    <w:p w14:paraId="4FB2100F" w14:textId="77777777" w:rsidR="00BA23E4" w:rsidRPr="008B1310" w:rsidRDefault="00BA23E4" w:rsidP="008B1310">
      <w:pPr>
        <w:jc w:val="center"/>
        <w:rPr>
          <w:bCs/>
          <w:sz w:val="28"/>
          <w:szCs w:val="28"/>
        </w:rPr>
      </w:pPr>
    </w:p>
    <w:p w14:paraId="4FB21010" w14:textId="77777777" w:rsidR="00BA23E4" w:rsidRPr="008B1310" w:rsidRDefault="00BA23E4" w:rsidP="008B1310">
      <w:pPr>
        <w:jc w:val="center"/>
        <w:rPr>
          <w:b/>
          <w:sz w:val="28"/>
          <w:szCs w:val="28"/>
        </w:rPr>
      </w:pPr>
      <w:bookmarkStart w:id="0" w:name="OLE_LINK7"/>
      <w:bookmarkStart w:id="1" w:name="OLE_LINK8"/>
      <w:r w:rsidRPr="008B1310">
        <w:rPr>
          <w:b/>
          <w:bCs/>
          <w:sz w:val="28"/>
          <w:szCs w:val="28"/>
        </w:rPr>
        <w:t>Noteikumi par zvērinātu tiesu izpildītāju amata atlīdzības taksēm</w:t>
      </w:r>
    </w:p>
    <w:bookmarkEnd w:id="0"/>
    <w:bookmarkEnd w:id="1"/>
    <w:p w14:paraId="4FB21011" w14:textId="77777777" w:rsidR="00BA23E4" w:rsidRPr="008B1310" w:rsidRDefault="00BA23E4" w:rsidP="008B1310">
      <w:pPr>
        <w:jc w:val="right"/>
        <w:rPr>
          <w:iCs/>
          <w:sz w:val="28"/>
          <w:szCs w:val="28"/>
        </w:rPr>
      </w:pPr>
    </w:p>
    <w:p w14:paraId="6D9E4AFB" w14:textId="77777777" w:rsidR="008B1310" w:rsidRDefault="008B1310" w:rsidP="008B1310">
      <w:pPr>
        <w:jc w:val="right"/>
        <w:rPr>
          <w:sz w:val="28"/>
          <w:szCs w:val="28"/>
        </w:rPr>
      </w:pPr>
      <w:r>
        <w:rPr>
          <w:sz w:val="28"/>
          <w:szCs w:val="28"/>
        </w:rPr>
        <w:t>Izdoti saskaņā ar</w:t>
      </w:r>
    </w:p>
    <w:p w14:paraId="4FB21012" w14:textId="6CAF6695" w:rsidR="00BA23E4" w:rsidRPr="008B1310" w:rsidRDefault="00BA23E4" w:rsidP="008B1310">
      <w:pPr>
        <w:jc w:val="right"/>
        <w:rPr>
          <w:sz w:val="28"/>
          <w:szCs w:val="28"/>
        </w:rPr>
      </w:pPr>
      <w:r w:rsidRPr="008B1310">
        <w:rPr>
          <w:sz w:val="28"/>
          <w:szCs w:val="28"/>
        </w:rPr>
        <w:t>Tiesu izpildītāju likuma</w:t>
      </w:r>
    </w:p>
    <w:p w14:paraId="4FB21013" w14:textId="217DBEDF" w:rsidR="00BA23E4" w:rsidRPr="008B1310" w:rsidRDefault="008B1310" w:rsidP="008B1310">
      <w:pPr>
        <w:pStyle w:val="naislab"/>
        <w:spacing w:before="0" w:beforeAutospacing="0" w:after="0" w:afterAutospacing="0"/>
        <w:jc w:val="right"/>
        <w:rPr>
          <w:sz w:val="28"/>
          <w:szCs w:val="28"/>
        </w:rPr>
      </w:pPr>
      <w:r>
        <w:rPr>
          <w:sz w:val="28"/>
          <w:szCs w:val="28"/>
        </w:rPr>
        <w:t>80.</w:t>
      </w:r>
      <w:r w:rsidR="00BA23E4" w:rsidRPr="008B1310">
        <w:rPr>
          <w:sz w:val="28"/>
          <w:szCs w:val="28"/>
        </w:rPr>
        <w:t>pantu</w:t>
      </w:r>
    </w:p>
    <w:p w14:paraId="4FB21014" w14:textId="77777777" w:rsidR="00FA58DC" w:rsidRPr="008B1310" w:rsidRDefault="00FA58DC" w:rsidP="008B1310">
      <w:pPr>
        <w:ind w:firstLine="720"/>
        <w:jc w:val="both"/>
        <w:rPr>
          <w:sz w:val="28"/>
          <w:szCs w:val="28"/>
        </w:rPr>
      </w:pPr>
    </w:p>
    <w:p w14:paraId="4FB21015" w14:textId="0831B209" w:rsidR="00BA23E4" w:rsidRPr="008B1310" w:rsidRDefault="008B1310" w:rsidP="008B1310">
      <w:pPr>
        <w:pStyle w:val="NoSpacing"/>
        <w:ind w:firstLine="709"/>
        <w:rPr>
          <w:rFonts w:ascii="Times New Roman" w:hAnsi="Times New Roman" w:cs="Times New Roman"/>
          <w:sz w:val="28"/>
          <w:szCs w:val="28"/>
        </w:rPr>
      </w:pPr>
      <w:r>
        <w:rPr>
          <w:rFonts w:ascii="Times New Roman" w:hAnsi="Times New Roman" w:cs="Times New Roman"/>
          <w:sz w:val="28"/>
          <w:szCs w:val="28"/>
        </w:rPr>
        <w:t xml:space="preserve">1. </w:t>
      </w:r>
      <w:r w:rsidR="00BA23E4" w:rsidRPr="008B1310">
        <w:rPr>
          <w:rFonts w:ascii="Times New Roman" w:hAnsi="Times New Roman" w:cs="Times New Roman"/>
          <w:sz w:val="28"/>
          <w:szCs w:val="28"/>
        </w:rPr>
        <w:t>Noteikumi nosaka zvērinātu tiesu izpil</w:t>
      </w:r>
      <w:r>
        <w:rPr>
          <w:rFonts w:ascii="Times New Roman" w:hAnsi="Times New Roman" w:cs="Times New Roman"/>
          <w:sz w:val="28"/>
          <w:szCs w:val="28"/>
        </w:rPr>
        <w:t>dītāju amata atlīdzības takses.</w:t>
      </w:r>
    </w:p>
    <w:p w14:paraId="4FB21016" w14:textId="77777777" w:rsidR="00BA23E4" w:rsidRPr="008B1310" w:rsidRDefault="00BA23E4" w:rsidP="008B1310">
      <w:pPr>
        <w:pStyle w:val="NoSpacing"/>
        <w:ind w:firstLine="720"/>
        <w:rPr>
          <w:rFonts w:ascii="Times New Roman" w:hAnsi="Times New Roman" w:cs="Times New Roman"/>
          <w:sz w:val="28"/>
          <w:szCs w:val="28"/>
        </w:rPr>
      </w:pPr>
    </w:p>
    <w:p w14:paraId="4FB21017" w14:textId="5523DA83"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2. Par amata darbībām, kuras zvērināts tiesu izpildītājs veic izpildu lietā par piedziņu, amata atlīdzība tiek noteikta, sum</w:t>
      </w:r>
      <w:r w:rsidR="00964868">
        <w:rPr>
          <w:rFonts w:ascii="Times New Roman" w:hAnsi="Times New Roman" w:cs="Times New Roman"/>
          <w:sz w:val="28"/>
          <w:szCs w:val="28"/>
        </w:rPr>
        <w:t>mējot šo noteikumu 3., 4. un 5.</w:t>
      </w:r>
      <w:r w:rsidRPr="008B1310">
        <w:rPr>
          <w:rFonts w:ascii="Times New Roman" w:hAnsi="Times New Roman" w:cs="Times New Roman"/>
          <w:sz w:val="28"/>
          <w:szCs w:val="28"/>
        </w:rPr>
        <w:t xml:space="preserve">punktā </w:t>
      </w:r>
      <w:r w:rsidR="00964868">
        <w:rPr>
          <w:rFonts w:ascii="Times New Roman" w:hAnsi="Times New Roman" w:cs="Times New Roman"/>
          <w:sz w:val="28"/>
          <w:szCs w:val="28"/>
        </w:rPr>
        <w:t>minētās</w:t>
      </w:r>
      <w:r w:rsidRPr="008B1310">
        <w:rPr>
          <w:rFonts w:ascii="Times New Roman" w:hAnsi="Times New Roman" w:cs="Times New Roman"/>
          <w:sz w:val="28"/>
          <w:szCs w:val="28"/>
        </w:rPr>
        <w:t xml:space="preserve"> amata atlīd</w:t>
      </w:r>
      <w:r w:rsidR="008B1310">
        <w:rPr>
          <w:rFonts w:ascii="Times New Roman" w:hAnsi="Times New Roman" w:cs="Times New Roman"/>
          <w:sz w:val="28"/>
          <w:szCs w:val="28"/>
        </w:rPr>
        <w:t>zības takses.</w:t>
      </w:r>
    </w:p>
    <w:p w14:paraId="4FB21018" w14:textId="77777777" w:rsidR="00BA23E4" w:rsidRPr="008B1310" w:rsidRDefault="00BA23E4" w:rsidP="008B1310">
      <w:pPr>
        <w:pStyle w:val="NoSpacing"/>
        <w:ind w:firstLine="720"/>
        <w:jc w:val="both"/>
        <w:rPr>
          <w:rFonts w:ascii="Times New Roman" w:hAnsi="Times New Roman" w:cs="Times New Roman"/>
          <w:sz w:val="28"/>
          <w:szCs w:val="28"/>
        </w:rPr>
      </w:pPr>
    </w:p>
    <w:p w14:paraId="4FB21019"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3. Katrā izpildu lietā par piedziņu maksājama amata atlīdzība šādā apmērā:</w:t>
      </w:r>
    </w:p>
    <w:tbl>
      <w:tblPr>
        <w:tblStyle w:val="TableGrid"/>
        <w:tblW w:w="0" w:type="auto"/>
        <w:tblInd w:w="108" w:type="dxa"/>
        <w:tblLook w:val="04A0" w:firstRow="1" w:lastRow="0" w:firstColumn="1" w:lastColumn="0" w:noHBand="0" w:noVBand="1"/>
      </w:tblPr>
      <w:tblGrid>
        <w:gridCol w:w="1701"/>
        <w:gridCol w:w="3828"/>
        <w:gridCol w:w="3260"/>
      </w:tblGrid>
      <w:tr w:rsidR="00312201" w:rsidRPr="008B1310" w14:paraId="4FB2101D" w14:textId="77777777" w:rsidTr="00312201">
        <w:tc>
          <w:tcPr>
            <w:tcW w:w="1701" w:type="dxa"/>
          </w:tcPr>
          <w:p w14:paraId="1CDCFC07" w14:textId="64BD668B" w:rsidR="00312201"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Nr.</w:t>
            </w:r>
          </w:p>
          <w:p w14:paraId="0D2A52BA" w14:textId="5113BFB5" w:rsidR="00312201" w:rsidRPr="00312201"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p.k.</w:t>
            </w:r>
          </w:p>
        </w:tc>
        <w:tc>
          <w:tcPr>
            <w:tcW w:w="3828" w:type="dxa"/>
          </w:tcPr>
          <w:p w14:paraId="3C7A0D71" w14:textId="77777777" w:rsidR="00964868" w:rsidRDefault="00312201" w:rsidP="008B1310">
            <w:pPr>
              <w:pStyle w:val="NoSpacing"/>
              <w:jc w:val="center"/>
              <w:rPr>
                <w:rFonts w:ascii="Times New Roman" w:hAnsi="Times New Roman" w:cs="Times New Roman"/>
                <w:sz w:val="28"/>
                <w:szCs w:val="28"/>
              </w:rPr>
            </w:pPr>
            <w:r w:rsidRPr="00312201">
              <w:rPr>
                <w:rFonts w:ascii="Times New Roman" w:hAnsi="Times New Roman" w:cs="Times New Roman"/>
                <w:sz w:val="28"/>
                <w:szCs w:val="28"/>
              </w:rPr>
              <w:t xml:space="preserve">Piedzenamā summa </w:t>
            </w:r>
          </w:p>
          <w:p w14:paraId="4FB2101B" w14:textId="316277A0" w:rsidR="00312201" w:rsidRPr="00312201" w:rsidRDefault="00312201" w:rsidP="008B1310">
            <w:pPr>
              <w:pStyle w:val="NoSpacing"/>
              <w:jc w:val="center"/>
              <w:rPr>
                <w:rFonts w:ascii="Times New Roman" w:hAnsi="Times New Roman" w:cs="Times New Roman"/>
                <w:sz w:val="28"/>
                <w:szCs w:val="28"/>
              </w:rPr>
            </w:pPr>
            <w:r w:rsidRPr="00312201">
              <w:rPr>
                <w:rFonts w:ascii="Times New Roman" w:hAnsi="Times New Roman" w:cs="Times New Roman"/>
                <w:sz w:val="28"/>
                <w:szCs w:val="28"/>
              </w:rPr>
              <w:t>(LVL)</w:t>
            </w:r>
          </w:p>
        </w:tc>
        <w:tc>
          <w:tcPr>
            <w:tcW w:w="3260" w:type="dxa"/>
          </w:tcPr>
          <w:p w14:paraId="29940B38" w14:textId="77777777" w:rsidR="00964868" w:rsidRDefault="00312201" w:rsidP="008B1310">
            <w:pPr>
              <w:pStyle w:val="NoSpacing"/>
              <w:jc w:val="center"/>
              <w:rPr>
                <w:rFonts w:ascii="Times New Roman" w:hAnsi="Times New Roman" w:cs="Times New Roman"/>
                <w:sz w:val="28"/>
                <w:szCs w:val="28"/>
              </w:rPr>
            </w:pPr>
            <w:r w:rsidRPr="00312201">
              <w:rPr>
                <w:rFonts w:ascii="Times New Roman" w:hAnsi="Times New Roman" w:cs="Times New Roman"/>
                <w:sz w:val="28"/>
                <w:szCs w:val="28"/>
              </w:rPr>
              <w:t xml:space="preserve">Amata atlīdzība </w:t>
            </w:r>
          </w:p>
          <w:p w14:paraId="4FB2101C" w14:textId="2F7F31DF" w:rsidR="00312201" w:rsidRPr="00312201" w:rsidRDefault="00312201" w:rsidP="008B1310">
            <w:pPr>
              <w:pStyle w:val="NoSpacing"/>
              <w:jc w:val="center"/>
              <w:rPr>
                <w:rFonts w:ascii="Times New Roman" w:hAnsi="Times New Roman" w:cs="Times New Roman"/>
                <w:sz w:val="28"/>
                <w:szCs w:val="28"/>
              </w:rPr>
            </w:pPr>
            <w:r w:rsidRPr="00312201">
              <w:rPr>
                <w:rFonts w:ascii="Times New Roman" w:hAnsi="Times New Roman" w:cs="Times New Roman"/>
                <w:sz w:val="28"/>
                <w:szCs w:val="28"/>
              </w:rPr>
              <w:t>(LVL)</w:t>
            </w:r>
          </w:p>
        </w:tc>
      </w:tr>
      <w:tr w:rsidR="00312201" w:rsidRPr="008B1310" w14:paraId="4FB21020" w14:textId="77777777" w:rsidTr="00312201">
        <w:tc>
          <w:tcPr>
            <w:tcW w:w="1701" w:type="dxa"/>
          </w:tcPr>
          <w:p w14:paraId="5714B6D4" w14:textId="7DAE5B17"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3.1.</w:t>
            </w:r>
          </w:p>
        </w:tc>
        <w:tc>
          <w:tcPr>
            <w:tcW w:w="3828" w:type="dxa"/>
          </w:tcPr>
          <w:p w14:paraId="4FB2101E" w14:textId="628A6DDB" w:rsidR="00312201" w:rsidRPr="008B1310" w:rsidRDefault="00312201" w:rsidP="00312201">
            <w:pPr>
              <w:pStyle w:val="NoSpacing"/>
              <w:ind w:left="176"/>
              <w:rPr>
                <w:rFonts w:ascii="Times New Roman" w:hAnsi="Times New Roman" w:cs="Times New Roman"/>
                <w:sz w:val="28"/>
                <w:szCs w:val="28"/>
              </w:rPr>
            </w:pPr>
            <w:r>
              <w:rPr>
                <w:rFonts w:ascii="Times New Roman" w:hAnsi="Times New Roman" w:cs="Times New Roman"/>
                <w:sz w:val="28"/>
                <w:szCs w:val="28"/>
              </w:rPr>
              <w:t>l</w:t>
            </w:r>
            <w:r w:rsidRPr="008B1310">
              <w:rPr>
                <w:rFonts w:ascii="Times New Roman" w:hAnsi="Times New Roman" w:cs="Times New Roman"/>
                <w:sz w:val="28"/>
                <w:szCs w:val="28"/>
              </w:rPr>
              <w:t>īdz 50</w:t>
            </w:r>
          </w:p>
        </w:tc>
        <w:tc>
          <w:tcPr>
            <w:tcW w:w="3260" w:type="dxa"/>
          </w:tcPr>
          <w:p w14:paraId="4FB2101F"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25</w:t>
            </w:r>
          </w:p>
        </w:tc>
      </w:tr>
      <w:tr w:rsidR="00312201" w:rsidRPr="008B1310" w14:paraId="4FB21023" w14:textId="77777777" w:rsidTr="00312201">
        <w:tc>
          <w:tcPr>
            <w:tcW w:w="1701" w:type="dxa"/>
          </w:tcPr>
          <w:p w14:paraId="5E8F7F72" w14:textId="24E9877B"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3.2.</w:t>
            </w:r>
          </w:p>
        </w:tc>
        <w:tc>
          <w:tcPr>
            <w:tcW w:w="3828" w:type="dxa"/>
          </w:tcPr>
          <w:p w14:paraId="4FB21021" w14:textId="5E343245" w:rsidR="00312201" w:rsidRPr="008B1310" w:rsidRDefault="00964868" w:rsidP="00312201">
            <w:pPr>
              <w:pStyle w:val="NoSpacing"/>
              <w:ind w:left="176"/>
              <w:rPr>
                <w:rFonts w:ascii="Times New Roman" w:hAnsi="Times New Roman" w:cs="Times New Roman"/>
                <w:sz w:val="28"/>
                <w:szCs w:val="28"/>
              </w:rPr>
            </w:pPr>
            <w:r>
              <w:rPr>
                <w:rFonts w:ascii="Times New Roman" w:hAnsi="Times New Roman" w:cs="Times New Roman"/>
                <w:sz w:val="28"/>
                <w:szCs w:val="28"/>
              </w:rPr>
              <w:t>51–</w:t>
            </w:r>
            <w:r w:rsidR="00312201" w:rsidRPr="008B1310">
              <w:rPr>
                <w:rFonts w:ascii="Times New Roman" w:hAnsi="Times New Roman" w:cs="Times New Roman"/>
                <w:sz w:val="28"/>
                <w:szCs w:val="28"/>
              </w:rPr>
              <w:t>100</w:t>
            </w:r>
          </w:p>
        </w:tc>
        <w:tc>
          <w:tcPr>
            <w:tcW w:w="3260" w:type="dxa"/>
          </w:tcPr>
          <w:p w14:paraId="4FB21022"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40</w:t>
            </w:r>
          </w:p>
        </w:tc>
      </w:tr>
      <w:tr w:rsidR="00312201" w:rsidRPr="008B1310" w14:paraId="4FB21026" w14:textId="77777777" w:rsidTr="00312201">
        <w:tc>
          <w:tcPr>
            <w:tcW w:w="1701" w:type="dxa"/>
          </w:tcPr>
          <w:p w14:paraId="2C79655F" w14:textId="2DFF3268"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3.3.</w:t>
            </w:r>
          </w:p>
        </w:tc>
        <w:tc>
          <w:tcPr>
            <w:tcW w:w="3828" w:type="dxa"/>
          </w:tcPr>
          <w:p w14:paraId="4FB21024" w14:textId="4E6F8248" w:rsidR="00312201" w:rsidRPr="008B1310" w:rsidRDefault="00964868" w:rsidP="00312201">
            <w:pPr>
              <w:pStyle w:val="NoSpacing"/>
              <w:ind w:left="176"/>
              <w:rPr>
                <w:rFonts w:ascii="Times New Roman" w:hAnsi="Times New Roman" w:cs="Times New Roman"/>
                <w:sz w:val="28"/>
                <w:szCs w:val="28"/>
              </w:rPr>
            </w:pPr>
            <w:r>
              <w:rPr>
                <w:rFonts w:ascii="Times New Roman" w:hAnsi="Times New Roman" w:cs="Times New Roman"/>
                <w:sz w:val="28"/>
                <w:szCs w:val="28"/>
              </w:rPr>
              <w:t>101–</w:t>
            </w:r>
            <w:r w:rsidR="00312201" w:rsidRPr="008B1310">
              <w:rPr>
                <w:rFonts w:ascii="Times New Roman" w:hAnsi="Times New Roman" w:cs="Times New Roman"/>
                <w:sz w:val="28"/>
                <w:szCs w:val="28"/>
              </w:rPr>
              <w:t>500</w:t>
            </w:r>
          </w:p>
        </w:tc>
        <w:tc>
          <w:tcPr>
            <w:tcW w:w="3260" w:type="dxa"/>
          </w:tcPr>
          <w:p w14:paraId="4FB21025"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60</w:t>
            </w:r>
          </w:p>
        </w:tc>
      </w:tr>
      <w:tr w:rsidR="00312201" w:rsidRPr="008B1310" w14:paraId="4FB21029" w14:textId="77777777" w:rsidTr="00312201">
        <w:tc>
          <w:tcPr>
            <w:tcW w:w="1701" w:type="dxa"/>
          </w:tcPr>
          <w:p w14:paraId="6B6515E8" w14:textId="323D8684"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3.4.</w:t>
            </w:r>
          </w:p>
        </w:tc>
        <w:tc>
          <w:tcPr>
            <w:tcW w:w="3828" w:type="dxa"/>
          </w:tcPr>
          <w:p w14:paraId="4FB21027" w14:textId="2D2F67BB" w:rsidR="00312201" w:rsidRPr="008B1310" w:rsidRDefault="00964868" w:rsidP="00312201">
            <w:pPr>
              <w:pStyle w:val="NoSpacing"/>
              <w:ind w:left="176"/>
              <w:rPr>
                <w:rFonts w:ascii="Times New Roman" w:hAnsi="Times New Roman" w:cs="Times New Roman"/>
                <w:sz w:val="28"/>
                <w:szCs w:val="28"/>
              </w:rPr>
            </w:pPr>
            <w:r>
              <w:rPr>
                <w:rFonts w:ascii="Times New Roman" w:hAnsi="Times New Roman" w:cs="Times New Roman"/>
                <w:sz w:val="28"/>
                <w:szCs w:val="28"/>
              </w:rPr>
              <w:t>501–</w:t>
            </w:r>
            <w:r w:rsidR="00312201" w:rsidRPr="008B1310">
              <w:rPr>
                <w:rFonts w:ascii="Times New Roman" w:hAnsi="Times New Roman" w:cs="Times New Roman"/>
                <w:sz w:val="28"/>
                <w:szCs w:val="28"/>
              </w:rPr>
              <w:t>3000</w:t>
            </w:r>
          </w:p>
        </w:tc>
        <w:tc>
          <w:tcPr>
            <w:tcW w:w="3260" w:type="dxa"/>
          </w:tcPr>
          <w:p w14:paraId="4FB21028"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80</w:t>
            </w:r>
          </w:p>
        </w:tc>
      </w:tr>
      <w:tr w:rsidR="00312201" w:rsidRPr="008B1310" w14:paraId="4FB2102C" w14:textId="77777777" w:rsidTr="00312201">
        <w:tc>
          <w:tcPr>
            <w:tcW w:w="1701" w:type="dxa"/>
          </w:tcPr>
          <w:p w14:paraId="7C8FA7CD" w14:textId="7D5E3B69"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3.5.</w:t>
            </w:r>
          </w:p>
        </w:tc>
        <w:tc>
          <w:tcPr>
            <w:tcW w:w="3828" w:type="dxa"/>
          </w:tcPr>
          <w:p w14:paraId="4FB2102A" w14:textId="078021EA" w:rsidR="00312201" w:rsidRPr="008B1310" w:rsidRDefault="00964868" w:rsidP="00312201">
            <w:pPr>
              <w:pStyle w:val="NoSpacing"/>
              <w:ind w:left="176"/>
              <w:rPr>
                <w:rFonts w:ascii="Times New Roman" w:hAnsi="Times New Roman" w:cs="Times New Roman"/>
                <w:sz w:val="28"/>
                <w:szCs w:val="28"/>
              </w:rPr>
            </w:pPr>
            <w:r>
              <w:rPr>
                <w:rFonts w:ascii="Times New Roman" w:hAnsi="Times New Roman" w:cs="Times New Roman"/>
                <w:sz w:val="28"/>
                <w:szCs w:val="28"/>
              </w:rPr>
              <w:t>3001–</w:t>
            </w:r>
            <w:r w:rsidR="00312201" w:rsidRPr="008B1310">
              <w:rPr>
                <w:rFonts w:ascii="Times New Roman" w:hAnsi="Times New Roman" w:cs="Times New Roman"/>
                <w:sz w:val="28"/>
                <w:szCs w:val="28"/>
              </w:rPr>
              <w:t>10</w:t>
            </w:r>
            <w:r w:rsidR="00E4429D">
              <w:rPr>
                <w:rFonts w:ascii="Times New Roman" w:hAnsi="Times New Roman" w:cs="Times New Roman"/>
                <w:sz w:val="28"/>
                <w:szCs w:val="28"/>
              </w:rPr>
              <w:t xml:space="preserve"> </w:t>
            </w:r>
            <w:r w:rsidR="00312201" w:rsidRPr="008B1310">
              <w:rPr>
                <w:rFonts w:ascii="Times New Roman" w:hAnsi="Times New Roman" w:cs="Times New Roman"/>
                <w:sz w:val="28"/>
                <w:szCs w:val="28"/>
              </w:rPr>
              <w:t>000</w:t>
            </w:r>
          </w:p>
        </w:tc>
        <w:tc>
          <w:tcPr>
            <w:tcW w:w="3260" w:type="dxa"/>
          </w:tcPr>
          <w:p w14:paraId="4FB2102B"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120</w:t>
            </w:r>
          </w:p>
        </w:tc>
      </w:tr>
      <w:tr w:rsidR="00312201" w:rsidRPr="008B1310" w14:paraId="4FB2102F" w14:textId="77777777" w:rsidTr="00312201">
        <w:tc>
          <w:tcPr>
            <w:tcW w:w="1701" w:type="dxa"/>
          </w:tcPr>
          <w:p w14:paraId="593F321B" w14:textId="231A1399"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3.6.</w:t>
            </w:r>
          </w:p>
        </w:tc>
        <w:tc>
          <w:tcPr>
            <w:tcW w:w="3828" w:type="dxa"/>
          </w:tcPr>
          <w:p w14:paraId="4FB2102D" w14:textId="3424EC0B" w:rsidR="00312201" w:rsidRPr="008B1310" w:rsidRDefault="00964868" w:rsidP="00312201">
            <w:pPr>
              <w:pStyle w:val="NoSpacing"/>
              <w:ind w:left="176"/>
              <w:rPr>
                <w:rFonts w:ascii="Times New Roman" w:hAnsi="Times New Roman" w:cs="Times New Roman"/>
                <w:sz w:val="28"/>
                <w:szCs w:val="28"/>
              </w:rPr>
            </w:pPr>
            <w:r>
              <w:rPr>
                <w:rFonts w:ascii="Times New Roman" w:hAnsi="Times New Roman" w:cs="Times New Roman"/>
                <w:sz w:val="28"/>
                <w:szCs w:val="28"/>
              </w:rPr>
              <w:t>10</w:t>
            </w:r>
            <w:r w:rsidR="00E4429D">
              <w:rPr>
                <w:rFonts w:ascii="Times New Roman" w:hAnsi="Times New Roman" w:cs="Times New Roman"/>
                <w:sz w:val="28"/>
                <w:szCs w:val="28"/>
              </w:rPr>
              <w:t xml:space="preserve"> </w:t>
            </w:r>
            <w:r>
              <w:rPr>
                <w:rFonts w:ascii="Times New Roman" w:hAnsi="Times New Roman" w:cs="Times New Roman"/>
                <w:sz w:val="28"/>
                <w:szCs w:val="28"/>
              </w:rPr>
              <w:t>001–</w:t>
            </w:r>
            <w:r w:rsidR="00312201" w:rsidRPr="008B1310">
              <w:rPr>
                <w:rFonts w:ascii="Times New Roman" w:hAnsi="Times New Roman" w:cs="Times New Roman"/>
                <w:sz w:val="28"/>
                <w:szCs w:val="28"/>
              </w:rPr>
              <w:t>100</w:t>
            </w:r>
            <w:r w:rsidR="00E4429D">
              <w:rPr>
                <w:rFonts w:ascii="Times New Roman" w:hAnsi="Times New Roman" w:cs="Times New Roman"/>
                <w:sz w:val="28"/>
                <w:szCs w:val="28"/>
              </w:rPr>
              <w:t xml:space="preserve"> </w:t>
            </w:r>
            <w:r w:rsidR="00312201" w:rsidRPr="008B1310">
              <w:rPr>
                <w:rFonts w:ascii="Times New Roman" w:hAnsi="Times New Roman" w:cs="Times New Roman"/>
                <w:sz w:val="28"/>
                <w:szCs w:val="28"/>
              </w:rPr>
              <w:t>000</w:t>
            </w:r>
          </w:p>
        </w:tc>
        <w:tc>
          <w:tcPr>
            <w:tcW w:w="3260" w:type="dxa"/>
          </w:tcPr>
          <w:p w14:paraId="4FB2102E"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160</w:t>
            </w:r>
          </w:p>
        </w:tc>
      </w:tr>
      <w:tr w:rsidR="00312201" w:rsidRPr="008B1310" w14:paraId="4FB21032" w14:textId="77777777" w:rsidTr="00312201">
        <w:tc>
          <w:tcPr>
            <w:tcW w:w="1701" w:type="dxa"/>
          </w:tcPr>
          <w:p w14:paraId="33A95787" w14:textId="3A6E9000" w:rsidR="00312201" w:rsidRPr="008B1310" w:rsidRDefault="00312201" w:rsidP="00312201">
            <w:pPr>
              <w:pStyle w:val="NoSpacing"/>
              <w:ind w:firstLine="601"/>
              <w:rPr>
                <w:rFonts w:ascii="Times New Roman" w:hAnsi="Times New Roman" w:cs="Times New Roman"/>
                <w:sz w:val="28"/>
                <w:szCs w:val="28"/>
              </w:rPr>
            </w:pPr>
            <w:r>
              <w:rPr>
                <w:rFonts w:ascii="Times New Roman" w:hAnsi="Times New Roman" w:cs="Times New Roman"/>
                <w:sz w:val="28"/>
                <w:szCs w:val="28"/>
              </w:rPr>
              <w:t>3.7.</w:t>
            </w:r>
          </w:p>
        </w:tc>
        <w:tc>
          <w:tcPr>
            <w:tcW w:w="3828" w:type="dxa"/>
          </w:tcPr>
          <w:p w14:paraId="4FB21030" w14:textId="59A1BF29" w:rsidR="00312201" w:rsidRPr="008B1310" w:rsidRDefault="00312201" w:rsidP="00312201">
            <w:pPr>
              <w:pStyle w:val="NoSpacing"/>
              <w:ind w:left="176"/>
              <w:rPr>
                <w:rFonts w:ascii="Times New Roman" w:hAnsi="Times New Roman" w:cs="Times New Roman"/>
                <w:sz w:val="28"/>
                <w:szCs w:val="28"/>
              </w:rPr>
            </w:pPr>
            <w:r>
              <w:rPr>
                <w:rFonts w:ascii="Times New Roman" w:hAnsi="Times New Roman" w:cs="Times New Roman"/>
                <w:sz w:val="28"/>
                <w:szCs w:val="28"/>
              </w:rPr>
              <w:t>vairāk par</w:t>
            </w:r>
            <w:r w:rsidRPr="008B1310">
              <w:rPr>
                <w:rFonts w:ascii="Times New Roman" w:hAnsi="Times New Roman" w:cs="Times New Roman"/>
                <w:sz w:val="28"/>
                <w:szCs w:val="28"/>
              </w:rPr>
              <w:t xml:space="preserve"> 100</w:t>
            </w:r>
            <w:r w:rsidR="00E4429D">
              <w:rPr>
                <w:rFonts w:ascii="Times New Roman" w:hAnsi="Times New Roman" w:cs="Times New Roman"/>
                <w:sz w:val="28"/>
                <w:szCs w:val="28"/>
              </w:rPr>
              <w:t xml:space="preserve"> </w:t>
            </w:r>
            <w:r w:rsidRPr="008B1310">
              <w:rPr>
                <w:rFonts w:ascii="Times New Roman" w:hAnsi="Times New Roman" w:cs="Times New Roman"/>
                <w:sz w:val="28"/>
                <w:szCs w:val="28"/>
              </w:rPr>
              <w:t>000</w:t>
            </w:r>
          </w:p>
        </w:tc>
        <w:tc>
          <w:tcPr>
            <w:tcW w:w="3260" w:type="dxa"/>
          </w:tcPr>
          <w:p w14:paraId="4FB21031" w14:textId="77777777" w:rsidR="00312201" w:rsidRPr="008B1310" w:rsidRDefault="00312201" w:rsidP="008B1310">
            <w:pPr>
              <w:pStyle w:val="NoSpacing"/>
              <w:jc w:val="center"/>
              <w:rPr>
                <w:rFonts w:ascii="Times New Roman" w:hAnsi="Times New Roman" w:cs="Times New Roman"/>
                <w:sz w:val="28"/>
                <w:szCs w:val="28"/>
              </w:rPr>
            </w:pPr>
            <w:r w:rsidRPr="008B1310">
              <w:rPr>
                <w:rFonts w:ascii="Times New Roman" w:hAnsi="Times New Roman" w:cs="Times New Roman"/>
                <w:sz w:val="28"/>
                <w:szCs w:val="28"/>
              </w:rPr>
              <w:t>200</w:t>
            </w:r>
          </w:p>
        </w:tc>
      </w:tr>
    </w:tbl>
    <w:p w14:paraId="4FB21033" w14:textId="77777777" w:rsidR="00BA23E4" w:rsidRPr="008B1310" w:rsidRDefault="00BA23E4" w:rsidP="008B1310">
      <w:pPr>
        <w:pStyle w:val="NoSpacing"/>
        <w:ind w:firstLine="709"/>
        <w:jc w:val="both"/>
        <w:rPr>
          <w:rFonts w:ascii="Times New Roman" w:hAnsi="Times New Roman" w:cs="Times New Roman"/>
          <w:sz w:val="28"/>
          <w:szCs w:val="28"/>
          <w:highlight w:val="green"/>
        </w:rPr>
      </w:pPr>
    </w:p>
    <w:p w14:paraId="4FB21034" w14:textId="07302EA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4. Ja izpildu lietā par piedziņu tiek </w:t>
      </w:r>
      <w:r w:rsidR="00964868" w:rsidRPr="008B1310">
        <w:rPr>
          <w:rFonts w:ascii="Times New Roman" w:hAnsi="Times New Roman" w:cs="Times New Roman"/>
          <w:sz w:val="28"/>
          <w:szCs w:val="28"/>
        </w:rPr>
        <w:t>aprakst</w:t>
      </w:r>
      <w:r w:rsidR="00964868">
        <w:rPr>
          <w:rFonts w:ascii="Times New Roman" w:hAnsi="Times New Roman" w:cs="Times New Roman"/>
          <w:sz w:val="28"/>
          <w:szCs w:val="28"/>
        </w:rPr>
        <w:t>īta</w:t>
      </w:r>
      <w:r w:rsidR="00964868" w:rsidRPr="008B1310">
        <w:rPr>
          <w:rFonts w:ascii="Times New Roman" w:hAnsi="Times New Roman" w:cs="Times New Roman"/>
          <w:sz w:val="28"/>
          <w:szCs w:val="28"/>
        </w:rPr>
        <w:t xml:space="preserve"> </w:t>
      </w:r>
      <w:r w:rsidRPr="008B1310">
        <w:rPr>
          <w:rFonts w:ascii="Times New Roman" w:hAnsi="Times New Roman" w:cs="Times New Roman"/>
          <w:sz w:val="28"/>
          <w:szCs w:val="28"/>
        </w:rPr>
        <w:t xml:space="preserve">kustamā manta, papildus šo noteikumu 3.punktā </w:t>
      </w:r>
      <w:r w:rsidR="00964868">
        <w:rPr>
          <w:rFonts w:ascii="Times New Roman" w:hAnsi="Times New Roman" w:cs="Times New Roman"/>
          <w:sz w:val="28"/>
          <w:szCs w:val="28"/>
        </w:rPr>
        <w:t>minētajai</w:t>
      </w:r>
      <w:r w:rsidRPr="008B1310">
        <w:rPr>
          <w:rFonts w:ascii="Times New Roman" w:hAnsi="Times New Roman" w:cs="Times New Roman"/>
          <w:sz w:val="28"/>
          <w:szCs w:val="28"/>
        </w:rPr>
        <w:t xml:space="preserve"> amata atlīdzībai maksājama</w:t>
      </w:r>
      <w:r w:rsidR="00964868">
        <w:rPr>
          <w:rFonts w:ascii="Times New Roman" w:hAnsi="Times New Roman" w:cs="Times New Roman"/>
          <w:sz w:val="28"/>
          <w:szCs w:val="28"/>
        </w:rPr>
        <w:t xml:space="preserve"> arī šo noteikumu 6.9. un 6.10.</w:t>
      </w:r>
      <w:r w:rsidRPr="008B1310">
        <w:rPr>
          <w:rFonts w:ascii="Times New Roman" w:hAnsi="Times New Roman" w:cs="Times New Roman"/>
          <w:sz w:val="28"/>
          <w:szCs w:val="28"/>
        </w:rPr>
        <w:t>apakšpunktā minētā amata atlīdzība.</w:t>
      </w:r>
    </w:p>
    <w:p w14:paraId="4FB21035" w14:textId="77777777" w:rsidR="00BA23E4" w:rsidRPr="008B1310" w:rsidRDefault="00BA23E4" w:rsidP="008B1310">
      <w:pPr>
        <w:pStyle w:val="NoSpacing"/>
        <w:ind w:firstLine="709"/>
        <w:jc w:val="both"/>
        <w:rPr>
          <w:rFonts w:ascii="Times New Roman" w:hAnsi="Times New Roman" w:cs="Times New Roman"/>
          <w:sz w:val="28"/>
          <w:szCs w:val="28"/>
        </w:rPr>
      </w:pPr>
    </w:p>
    <w:p w14:paraId="4FB21036" w14:textId="24542FA0"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w:t>
      </w:r>
      <w:r w:rsidR="00964868">
        <w:rPr>
          <w:rFonts w:ascii="Times New Roman" w:hAnsi="Times New Roman" w:cs="Times New Roman"/>
          <w:sz w:val="28"/>
          <w:szCs w:val="28"/>
        </w:rPr>
        <w:t> Papildus šo noteikumu 3. un 4.</w:t>
      </w:r>
      <w:r w:rsidRPr="008B1310">
        <w:rPr>
          <w:rFonts w:ascii="Times New Roman" w:hAnsi="Times New Roman" w:cs="Times New Roman"/>
          <w:sz w:val="28"/>
          <w:szCs w:val="28"/>
        </w:rPr>
        <w:t xml:space="preserve">punktā </w:t>
      </w:r>
      <w:r w:rsidR="00964868">
        <w:rPr>
          <w:rFonts w:ascii="Times New Roman" w:hAnsi="Times New Roman" w:cs="Times New Roman"/>
          <w:sz w:val="28"/>
          <w:szCs w:val="28"/>
        </w:rPr>
        <w:t>minētajai</w:t>
      </w:r>
      <w:r w:rsidRPr="008B1310">
        <w:rPr>
          <w:rFonts w:ascii="Times New Roman" w:hAnsi="Times New Roman" w:cs="Times New Roman"/>
          <w:sz w:val="28"/>
          <w:szCs w:val="28"/>
        </w:rPr>
        <w:t xml:space="preserve"> amata atlīdzībai un </w:t>
      </w:r>
      <w:bookmarkStart w:id="2" w:name="_GoBack"/>
      <w:bookmarkEnd w:id="2"/>
      <w:r w:rsidRPr="008B1310">
        <w:rPr>
          <w:rFonts w:ascii="Times New Roman" w:hAnsi="Times New Roman" w:cs="Times New Roman"/>
          <w:sz w:val="28"/>
          <w:szCs w:val="28"/>
        </w:rPr>
        <w:t>izpildu darbību veikšanai nepieciešamajiem izdevumiem tiesu izpildītājs saņem amata atlīdzību procentos</w:t>
      </w:r>
      <w:r w:rsidR="008B1310">
        <w:rPr>
          <w:rFonts w:ascii="Times New Roman" w:hAnsi="Times New Roman" w:cs="Times New Roman"/>
          <w:sz w:val="28"/>
          <w:szCs w:val="28"/>
        </w:rPr>
        <w:t xml:space="preserve"> no atgūtās summas šādā apmērā:</w:t>
      </w:r>
    </w:p>
    <w:p w14:paraId="4FB21037" w14:textId="6AD7D803"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5.1. līdz 3000 latu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15 procenti</w:t>
      </w:r>
      <w:r w:rsidR="008B1310">
        <w:rPr>
          <w:rFonts w:ascii="Times New Roman" w:hAnsi="Times New Roman" w:cs="Times New Roman"/>
          <w:sz w:val="28"/>
          <w:szCs w:val="28"/>
        </w:rPr>
        <w:t xml:space="preserve"> no faktiski atgūtās summas;</w:t>
      </w:r>
    </w:p>
    <w:p w14:paraId="4FB21038" w14:textId="518ACA2F"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5.2. no 3001 lata līdz 10</w:t>
      </w:r>
      <w:r w:rsidR="008B1310">
        <w:rPr>
          <w:rFonts w:ascii="Times New Roman" w:hAnsi="Times New Roman" w:cs="Times New Roman"/>
          <w:sz w:val="28"/>
          <w:szCs w:val="28"/>
        </w:rPr>
        <w:t> </w:t>
      </w:r>
      <w:r w:rsidRPr="008B1310">
        <w:rPr>
          <w:rFonts w:ascii="Times New Roman" w:hAnsi="Times New Roman" w:cs="Times New Roman"/>
          <w:sz w:val="28"/>
          <w:szCs w:val="28"/>
        </w:rPr>
        <w:t>000 latu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450 latu plus 10 procenti no faktiski atgūtās s</w:t>
      </w:r>
      <w:r w:rsidR="008B1310">
        <w:rPr>
          <w:rFonts w:ascii="Times New Roman" w:hAnsi="Times New Roman" w:cs="Times New Roman"/>
          <w:sz w:val="28"/>
          <w:szCs w:val="28"/>
        </w:rPr>
        <w:t>ummas, kas pārsniedz 3000 latu;</w:t>
      </w:r>
    </w:p>
    <w:p w14:paraId="4FB21039" w14:textId="1BC069A0"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lastRenderedPageBreak/>
        <w:t>5.3. no 10</w:t>
      </w:r>
      <w:r w:rsidR="008B1310">
        <w:rPr>
          <w:rFonts w:ascii="Times New Roman" w:hAnsi="Times New Roman" w:cs="Times New Roman"/>
          <w:sz w:val="28"/>
          <w:szCs w:val="28"/>
        </w:rPr>
        <w:t> </w:t>
      </w:r>
      <w:r w:rsidRPr="008B1310">
        <w:rPr>
          <w:rFonts w:ascii="Times New Roman" w:hAnsi="Times New Roman" w:cs="Times New Roman"/>
          <w:sz w:val="28"/>
          <w:szCs w:val="28"/>
        </w:rPr>
        <w:t>001 lata līdz 100</w:t>
      </w:r>
      <w:r w:rsidR="008B1310">
        <w:rPr>
          <w:rFonts w:ascii="Times New Roman" w:hAnsi="Times New Roman" w:cs="Times New Roman"/>
          <w:sz w:val="28"/>
          <w:szCs w:val="28"/>
        </w:rPr>
        <w:t> </w:t>
      </w:r>
      <w:r w:rsidRPr="008B1310">
        <w:rPr>
          <w:rFonts w:ascii="Times New Roman" w:hAnsi="Times New Roman" w:cs="Times New Roman"/>
          <w:sz w:val="28"/>
          <w:szCs w:val="28"/>
        </w:rPr>
        <w:t>000 latu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1150 latu plus pieci procenti no faktiski atgūtās summas, kas pārsniedz 10</w:t>
      </w:r>
      <w:r w:rsidR="008B1310">
        <w:rPr>
          <w:rFonts w:ascii="Times New Roman" w:hAnsi="Times New Roman" w:cs="Times New Roman"/>
          <w:sz w:val="28"/>
          <w:szCs w:val="28"/>
        </w:rPr>
        <w:t> 000 latu;</w:t>
      </w:r>
    </w:p>
    <w:p w14:paraId="4FB2103A" w14:textId="5342761A"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5.4. no 100</w:t>
      </w:r>
      <w:r w:rsidR="008B1310">
        <w:rPr>
          <w:rFonts w:ascii="Times New Roman" w:hAnsi="Times New Roman" w:cs="Times New Roman"/>
          <w:sz w:val="28"/>
          <w:szCs w:val="28"/>
        </w:rPr>
        <w:t> </w:t>
      </w:r>
      <w:r w:rsidRPr="008B1310">
        <w:rPr>
          <w:rFonts w:ascii="Times New Roman" w:hAnsi="Times New Roman" w:cs="Times New Roman"/>
          <w:sz w:val="28"/>
          <w:szCs w:val="28"/>
        </w:rPr>
        <w:t>001 lata līdz 500</w:t>
      </w:r>
      <w:r w:rsidR="008B1310">
        <w:rPr>
          <w:rFonts w:ascii="Times New Roman" w:hAnsi="Times New Roman" w:cs="Times New Roman"/>
          <w:sz w:val="28"/>
          <w:szCs w:val="28"/>
        </w:rPr>
        <w:t> </w:t>
      </w:r>
      <w:r w:rsidRPr="008B1310">
        <w:rPr>
          <w:rFonts w:ascii="Times New Roman" w:hAnsi="Times New Roman" w:cs="Times New Roman"/>
          <w:sz w:val="28"/>
          <w:szCs w:val="28"/>
        </w:rPr>
        <w:t>000 latu – 5650 latu plus trīs procenti no faktiski atgūtās summas, kas pārsniedz 100</w:t>
      </w:r>
      <w:r w:rsidR="008B1310">
        <w:rPr>
          <w:rFonts w:ascii="Times New Roman" w:hAnsi="Times New Roman" w:cs="Times New Roman"/>
          <w:sz w:val="28"/>
          <w:szCs w:val="28"/>
        </w:rPr>
        <w:t> </w:t>
      </w:r>
      <w:r w:rsidRPr="008B1310">
        <w:rPr>
          <w:rFonts w:ascii="Times New Roman" w:hAnsi="Times New Roman" w:cs="Times New Roman"/>
          <w:sz w:val="28"/>
          <w:szCs w:val="28"/>
        </w:rPr>
        <w:t>000 latu;</w:t>
      </w:r>
    </w:p>
    <w:p w14:paraId="4FB2103B" w14:textId="3030D63A"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5.5. no 500</w:t>
      </w:r>
      <w:r w:rsidR="008B1310">
        <w:rPr>
          <w:rFonts w:ascii="Times New Roman" w:hAnsi="Times New Roman" w:cs="Times New Roman"/>
          <w:sz w:val="28"/>
          <w:szCs w:val="28"/>
        </w:rPr>
        <w:t> </w:t>
      </w:r>
      <w:r w:rsidRPr="008B1310">
        <w:rPr>
          <w:rFonts w:ascii="Times New Roman" w:hAnsi="Times New Roman" w:cs="Times New Roman"/>
          <w:sz w:val="28"/>
          <w:szCs w:val="28"/>
        </w:rPr>
        <w:t>001 lata līdz 1</w:t>
      </w:r>
      <w:r w:rsidR="008B1310">
        <w:rPr>
          <w:rFonts w:ascii="Times New Roman" w:hAnsi="Times New Roman" w:cs="Times New Roman"/>
          <w:sz w:val="28"/>
          <w:szCs w:val="28"/>
        </w:rPr>
        <w:t> </w:t>
      </w:r>
      <w:r w:rsidRPr="008B1310">
        <w:rPr>
          <w:rFonts w:ascii="Times New Roman" w:hAnsi="Times New Roman" w:cs="Times New Roman"/>
          <w:sz w:val="28"/>
          <w:szCs w:val="28"/>
        </w:rPr>
        <w:t>000</w:t>
      </w:r>
      <w:r w:rsidR="008B1310">
        <w:rPr>
          <w:rFonts w:ascii="Times New Roman" w:hAnsi="Times New Roman" w:cs="Times New Roman"/>
          <w:sz w:val="28"/>
          <w:szCs w:val="28"/>
        </w:rPr>
        <w:t> </w:t>
      </w:r>
      <w:r w:rsidRPr="008B1310">
        <w:rPr>
          <w:rFonts w:ascii="Times New Roman" w:hAnsi="Times New Roman" w:cs="Times New Roman"/>
          <w:sz w:val="28"/>
          <w:szCs w:val="28"/>
        </w:rPr>
        <w:t>000 latu – 17650 latu plus divi procenti no faktiski atgūtās summas, kas pārsniedz 500</w:t>
      </w:r>
      <w:r w:rsidR="008B1310">
        <w:rPr>
          <w:rFonts w:ascii="Times New Roman" w:hAnsi="Times New Roman" w:cs="Times New Roman"/>
          <w:sz w:val="28"/>
          <w:szCs w:val="28"/>
        </w:rPr>
        <w:t> </w:t>
      </w:r>
      <w:r w:rsidRPr="008B1310">
        <w:rPr>
          <w:rFonts w:ascii="Times New Roman" w:hAnsi="Times New Roman" w:cs="Times New Roman"/>
          <w:sz w:val="28"/>
          <w:szCs w:val="28"/>
        </w:rPr>
        <w:t>000 latu;</w:t>
      </w:r>
    </w:p>
    <w:p w14:paraId="4FB2103C" w14:textId="0B519C9D"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5.6. ja atgūtā summa pārsniedz 1</w:t>
      </w:r>
      <w:r w:rsidR="008B1310">
        <w:rPr>
          <w:rFonts w:ascii="Times New Roman" w:hAnsi="Times New Roman" w:cs="Times New Roman"/>
          <w:sz w:val="28"/>
          <w:szCs w:val="28"/>
        </w:rPr>
        <w:t> </w:t>
      </w:r>
      <w:r w:rsidRPr="008B1310">
        <w:rPr>
          <w:rFonts w:ascii="Times New Roman" w:hAnsi="Times New Roman" w:cs="Times New Roman"/>
          <w:sz w:val="28"/>
          <w:szCs w:val="28"/>
        </w:rPr>
        <w:t>000</w:t>
      </w:r>
      <w:r w:rsidR="008B1310">
        <w:rPr>
          <w:rFonts w:ascii="Times New Roman" w:hAnsi="Times New Roman" w:cs="Times New Roman"/>
          <w:sz w:val="28"/>
          <w:szCs w:val="28"/>
        </w:rPr>
        <w:t> </w:t>
      </w:r>
      <w:r w:rsidRPr="008B1310">
        <w:rPr>
          <w:rFonts w:ascii="Times New Roman" w:hAnsi="Times New Roman" w:cs="Times New Roman"/>
          <w:sz w:val="28"/>
          <w:szCs w:val="28"/>
        </w:rPr>
        <w:t>000 latu, – 27650 latu plus viens procents no faktiski atgūtās summas, kas pārsniedz 1</w:t>
      </w:r>
      <w:r w:rsidR="008B1310">
        <w:rPr>
          <w:rFonts w:ascii="Times New Roman" w:hAnsi="Times New Roman" w:cs="Times New Roman"/>
          <w:sz w:val="28"/>
          <w:szCs w:val="28"/>
        </w:rPr>
        <w:t> </w:t>
      </w:r>
      <w:r w:rsidRPr="008B1310">
        <w:rPr>
          <w:rFonts w:ascii="Times New Roman" w:hAnsi="Times New Roman" w:cs="Times New Roman"/>
          <w:sz w:val="28"/>
          <w:szCs w:val="28"/>
        </w:rPr>
        <w:t>000</w:t>
      </w:r>
      <w:r w:rsidR="008B1310">
        <w:rPr>
          <w:rFonts w:ascii="Times New Roman" w:hAnsi="Times New Roman" w:cs="Times New Roman"/>
          <w:sz w:val="28"/>
          <w:szCs w:val="28"/>
        </w:rPr>
        <w:t> </w:t>
      </w:r>
      <w:r w:rsidRPr="008B1310">
        <w:rPr>
          <w:rFonts w:ascii="Times New Roman" w:hAnsi="Times New Roman" w:cs="Times New Roman"/>
          <w:sz w:val="28"/>
          <w:szCs w:val="28"/>
        </w:rPr>
        <w:t>000 latu.</w:t>
      </w:r>
    </w:p>
    <w:p w14:paraId="4FB2103D" w14:textId="77777777" w:rsidR="00BA23E4" w:rsidRPr="008B1310" w:rsidRDefault="00BA23E4" w:rsidP="008B1310">
      <w:pPr>
        <w:pStyle w:val="NoSpacing"/>
        <w:ind w:firstLine="720"/>
        <w:jc w:val="both"/>
        <w:rPr>
          <w:rFonts w:ascii="Times New Roman" w:hAnsi="Times New Roman" w:cs="Times New Roman"/>
          <w:sz w:val="28"/>
          <w:szCs w:val="28"/>
        </w:rPr>
      </w:pPr>
    </w:p>
    <w:p w14:paraId="4FB2103E"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 Par amata darbībām, kuras zvērināts tiesu izpildītājs veic, lai izpildītu citus nolēmumus, maksājama amata atlīdzība šādā apmērā:</w:t>
      </w:r>
    </w:p>
    <w:p w14:paraId="4FB2103F" w14:textId="22045FF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6.1. akta sastādīšan</w:t>
      </w:r>
      <w:r w:rsidR="00B32718">
        <w:rPr>
          <w:rFonts w:ascii="Times New Roman" w:hAnsi="Times New Roman" w:cs="Times New Roman"/>
          <w:sz w:val="28"/>
          <w:szCs w:val="28"/>
        </w:rPr>
        <w:t>a par</w:t>
      </w:r>
      <w:r w:rsidRPr="008B1310">
        <w:rPr>
          <w:rFonts w:ascii="Times New Roman" w:hAnsi="Times New Roman" w:cs="Times New Roman"/>
          <w:sz w:val="28"/>
          <w:szCs w:val="28"/>
        </w:rPr>
        <w:t xml:space="preserve"> tād</w:t>
      </w:r>
      <w:r w:rsidR="00B32718">
        <w:rPr>
          <w:rFonts w:ascii="Times New Roman" w:hAnsi="Times New Roman" w:cs="Times New Roman"/>
          <w:sz w:val="28"/>
          <w:szCs w:val="28"/>
        </w:rPr>
        <w:t>u</w:t>
      </w:r>
      <w:r w:rsidRPr="008B1310">
        <w:rPr>
          <w:rFonts w:ascii="Times New Roman" w:hAnsi="Times New Roman" w:cs="Times New Roman"/>
          <w:sz w:val="28"/>
          <w:szCs w:val="28"/>
        </w:rPr>
        <w:t xml:space="preserve"> nolēmum</w:t>
      </w:r>
      <w:r w:rsidR="00B32718">
        <w:rPr>
          <w:rFonts w:ascii="Times New Roman" w:hAnsi="Times New Roman" w:cs="Times New Roman"/>
          <w:sz w:val="28"/>
          <w:szCs w:val="28"/>
        </w:rPr>
        <w:t>u</w:t>
      </w:r>
      <w:r w:rsidRPr="008B1310">
        <w:rPr>
          <w:rFonts w:ascii="Times New Roman" w:hAnsi="Times New Roman" w:cs="Times New Roman"/>
          <w:sz w:val="28"/>
          <w:szCs w:val="28"/>
        </w:rPr>
        <w:t>, kas uzliek parādniekam pienākumu izpildīt noteiktas darbības</w:t>
      </w:r>
      <w:r w:rsidR="00E4429D">
        <w:rPr>
          <w:rFonts w:ascii="Times New Roman" w:hAnsi="Times New Roman" w:cs="Times New Roman"/>
          <w:sz w:val="28"/>
          <w:szCs w:val="28"/>
        </w:rPr>
        <w:t>,</w:t>
      </w:r>
      <w:r w:rsidRPr="008B1310">
        <w:rPr>
          <w:rFonts w:ascii="Times New Roman" w:hAnsi="Times New Roman" w:cs="Times New Roman"/>
          <w:sz w:val="28"/>
          <w:szCs w:val="28"/>
        </w:rPr>
        <w:t>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w:t>
      </w:r>
      <w:r w:rsidR="00F161BF">
        <w:rPr>
          <w:rFonts w:ascii="Times New Roman" w:hAnsi="Times New Roman" w:cs="Times New Roman"/>
          <w:sz w:val="28"/>
          <w:szCs w:val="28"/>
        </w:rPr>
        <w:t>26 lat</w:t>
      </w:r>
      <w:r w:rsidR="00E4429D">
        <w:rPr>
          <w:rFonts w:ascii="Times New Roman" w:hAnsi="Times New Roman" w:cs="Times New Roman"/>
          <w:sz w:val="28"/>
          <w:szCs w:val="28"/>
        </w:rPr>
        <w:t>i</w:t>
      </w:r>
      <w:r w:rsidR="00F161BF">
        <w:rPr>
          <w:rFonts w:ascii="Times New Roman" w:hAnsi="Times New Roman" w:cs="Times New Roman"/>
          <w:sz w:val="28"/>
          <w:szCs w:val="28"/>
        </w:rPr>
        <w:t>;</w:t>
      </w:r>
    </w:p>
    <w:p w14:paraId="4FB21040" w14:textId="19F9765F"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6.2. pieteikuma sastādīšan</w:t>
      </w:r>
      <w:r w:rsidR="00B32718">
        <w:rPr>
          <w:rFonts w:ascii="Times New Roman" w:hAnsi="Times New Roman" w:cs="Times New Roman"/>
          <w:sz w:val="28"/>
          <w:szCs w:val="28"/>
        </w:rPr>
        <w:t>a</w:t>
      </w:r>
      <w:r w:rsidRPr="008B1310">
        <w:rPr>
          <w:rFonts w:ascii="Times New Roman" w:hAnsi="Times New Roman" w:cs="Times New Roman"/>
          <w:sz w:val="28"/>
          <w:szCs w:val="28"/>
        </w:rPr>
        <w:t xml:space="preserve"> par tāda nolēmuma neizpildi, kas uzliek parādniekam pienākumu izpildīt noteiktas darbības, un tā i</w:t>
      </w:r>
      <w:r w:rsidR="00F161BF">
        <w:rPr>
          <w:rFonts w:ascii="Times New Roman" w:hAnsi="Times New Roman" w:cs="Times New Roman"/>
          <w:sz w:val="28"/>
          <w:szCs w:val="28"/>
        </w:rPr>
        <w:t>esniegšan</w:t>
      </w:r>
      <w:r w:rsidR="00B32718">
        <w:rPr>
          <w:rFonts w:ascii="Times New Roman" w:hAnsi="Times New Roman" w:cs="Times New Roman"/>
          <w:sz w:val="28"/>
          <w:szCs w:val="28"/>
        </w:rPr>
        <w:t>a</w:t>
      </w:r>
      <w:r w:rsidR="00F161BF">
        <w:rPr>
          <w:rFonts w:ascii="Times New Roman" w:hAnsi="Times New Roman" w:cs="Times New Roman"/>
          <w:sz w:val="28"/>
          <w:szCs w:val="28"/>
        </w:rPr>
        <w:t xml:space="preserve"> tiesai </w:t>
      </w:r>
      <w:r w:rsidR="00312201">
        <w:rPr>
          <w:rFonts w:ascii="Times New Roman" w:hAnsi="Times New Roman" w:cs="Times New Roman"/>
          <w:sz w:val="28"/>
          <w:szCs w:val="28"/>
        </w:rPr>
        <w:t>–</w:t>
      </w:r>
      <w:r w:rsidR="00F161BF">
        <w:rPr>
          <w:rFonts w:ascii="Times New Roman" w:hAnsi="Times New Roman" w:cs="Times New Roman"/>
          <w:sz w:val="28"/>
          <w:szCs w:val="28"/>
        </w:rPr>
        <w:t xml:space="preserve"> 26</w:t>
      </w:r>
      <w:r w:rsidR="00E4429D">
        <w:rPr>
          <w:rFonts w:ascii="Times New Roman" w:hAnsi="Times New Roman" w:cs="Times New Roman"/>
          <w:sz w:val="28"/>
          <w:szCs w:val="28"/>
        </w:rPr>
        <w:t> </w:t>
      </w:r>
      <w:r w:rsidR="00F161BF">
        <w:rPr>
          <w:rFonts w:ascii="Times New Roman" w:hAnsi="Times New Roman" w:cs="Times New Roman"/>
          <w:sz w:val="28"/>
          <w:szCs w:val="28"/>
        </w:rPr>
        <w:t>lat</w:t>
      </w:r>
      <w:r w:rsidR="00E4429D">
        <w:rPr>
          <w:rFonts w:ascii="Times New Roman" w:hAnsi="Times New Roman" w:cs="Times New Roman"/>
          <w:sz w:val="28"/>
          <w:szCs w:val="28"/>
        </w:rPr>
        <w:t>i</w:t>
      </w:r>
      <w:r w:rsidR="00F161BF">
        <w:rPr>
          <w:rFonts w:ascii="Times New Roman" w:hAnsi="Times New Roman" w:cs="Times New Roman"/>
          <w:sz w:val="28"/>
          <w:szCs w:val="28"/>
        </w:rPr>
        <w:t>;</w:t>
      </w:r>
    </w:p>
    <w:p w14:paraId="4FB21041" w14:textId="284B9CE6"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6.3. prasības nodrošinājuma izpild</w:t>
      </w:r>
      <w:r w:rsidR="00B32718">
        <w:rPr>
          <w:rFonts w:ascii="Times New Roman" w:hAnsi="Times New Roman" w:cs="Times New Roman"/>
          <w:sz w:val="28"/>
          <w:szCs w:val="28"/>
        </w:rPr>
        <w:t>e</w:t>
      </w:r>
      <w:r w:rsidRPr="008B1310">
        <w:rPr>
          <w:rFonts w:ascii="Times New Roman" w:hAnsi="Times New Roman" w:cs="Times New Roman"/>
          <w:sz w:val="28"/>
          <w:szCs w:val="28"/>
        </w:rPr>
        <w:t xml:space="preserve"> par naudas līdzekļu apķīlāšanu kredītiestādēs vai pie </w:t>
      </w:r>
      <w:r w:rsidR="00F161BF">
        <w:rPr>
          <w:rFonts w:ascii="Times New Roman" w:hAnsi="Times New Roman" w:cs="Times New Roman"/>
          <w:sz w:val="28"/>
          <w:szCs w:val="28"/>
        </w:rPr>
        <w:t>trešajām personām </w:t>
      </w:r>
      <w:r w:rsidR="00312201">
        <w:rPr>
          <w:rFonts w:ascii="Times New Roman" w:hAnsi="Times New Roman" w:cs="Times New Roman"/>
          <w:sz w:val="28"/>
          <w:szCs w:val="28"/>
        </w:rPr>
        <w:t>–</w:t>
      </w:r>
      <w:r w:rsidR="00F161BF">
        <w:rPr>
          <w:rFonts w:ascii="Times New Roman" w:hAnsi="Times New Roman" w:cs="Times New Roman"/>
          <w:sz w:val="28"/>
          <w:szCs w:val="28"/>
        </w:rPr>
        <w:t xml:space="preserve"> 46,90 latu;</w:t>
      </w:r>
    </w:p>
    <w:p w14:paraId="4FB21042" w14:textId="01625AD0"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6.4. prasības nodrošinājuma izpild</w:t>
      </w:r>
      <w:r w:rsidR="00CE5906">
        <w:rPr>
          <w:rFonts w:ascii="Times New Roman" w:hAnsi="Times New Roman" w:cs="Times New Roman"/>
          <w:sz w:val="28"/>
          <w:szCs w:val="28"/>
        </w:rPr>
        <w:t>e</w:t>
      </w:r>
      <w:r w:rsidRPr="008B1310">
        <w:rPr>
          <w:rFonts w:ascii="Times New Roman" w:hAnsi="Times New Roman" w:cs="Times New Roman"/>
          <w:sz w:val="28"/>
          <w:szCs w:val="28"/>
        </w:rPr>
        <w:t xml:space="preserve"> par aizliegumu atbildētājam veikt noteiktas darbības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26</w:t>
      </w:r>
      <w:r w:rsidR="00F01F1A">
        <w:rPr>
          <w:rFonts w:ascii="Times New Roman" w:hAnsi="Times New Roman" w:cs="Times New Roman"/>
          <w:sz w:val="28"/>
          <w:szCs w:val="28"/>
        </w:rPr>
        <w:t xml:space="preserve"> </w:t>
      </w:r>
      <w:r w:rsidRPr="008B1310">
        <w:rPr>
          <w:rFonts w:ascii="Times New Roman" w:hAnsi="Times New Roman" w:cs="Times New Roman"/>
          <w:sz w:val="28"/>
          <w:szCs w:val="28"/>
        </w:rPr>
        <w:t>lat</w:t>
      </w:r>
      <w:r w:rsidR="00F01F1A">
        <w:rPr>
          <w:rFonts w:ascii="Times New Roman" w:hAnsi="Times New Roman" w:cs="Times New Roman"/>
          <w:sz w:val="28"/>
          <w:szCs w:val="28"/>
        </w:rPr>
        <w:t>i</w:t>
      </w:r>
      <w:r w:rsidRPr="008B1310">
        <w:rPr>
          <w:rFonts w:ascii="Times New Roman" w:hAnsi="Times New Roman" w:cs="Times New Roman"/>
          <w:sz w:val="28"/>
          <w:szCs w:val="28"/>
        </w:rPr>
        <w:t>;</w:t>
      </w:r>
    </w:p>
    <w:p w14:paraId="4FB21043" w14:textId="123ECA2B"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6.5. nolēmumā norādīto priekšmetu nodošan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piedzinējam, sastādot atbilstošu aktu</w:t>
      </w:r>
      <w:r w:rsidR="00E4429D">
        <w:rPr>
          <w:rFonts w:ascii="Times New Roman" w:hAnsi="Times New Roman" w:cs="Times New Roman"/>
          <w:sz w:val="28"/>
          <w:szCs w:val="28"/>
        </w:rPr>
        <w:t>,</w:t>
      </w:r>
      <w:r w:rsidRPr="008B1310">
        <w:rPr>
          <w:rFonts w:ascii="Times New Roman" w:hAnsi="Times New Roman" w:cs="Times New Roman"/>
          <w:sz w:val="28"/>
          <w:szCs w:val="28"/>
        </w:rPr>
        <w:t>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46,90 latu; </w:t>
      </w:r>
    </w:p>
    <w:p w14:paraId="4FB21044" w14:textId="0DDE9B2E"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6.6. personu un mantas izlikšan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no telpām vai ievešan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nekustamā īpašuma valdījumā (bez mantas aprakstes), ja tas saistīts ar telpu nodošanu piedzinējam</w:t>
      </w:r>
      <w:r w:rsidR="00E4429D">
        <w:rPr>
          <w:rFonts w:ascii="Times New Roman" w:hAnsi="Times New Roman" w:cs="Times New Roman"/>
          <w:sz w:val="28"/>
          <w:szCs w:val="28"/>
        </w:rPr>
        <w:t>,</w:t>
      </w:r>
      <w:r w:rsidRPr="008B1310">
        <w:rPr>
          <w:rFonts w:ascii="Times New Roman" w:hAnsi="Times New Roman" w:cs="Times New Roman"/>
          <w:sz w:val="28"/>
          <w:szCs w:val="28"/>
        </w:rPr>
        <w:t>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93,70 latu;</w:t>
      </w:r>
    </w:p>
    <w:p w14:paraId="4FB21045" w14:textId="2FF3F919"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6.7. bērna nogādāšan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atpakaļ uz valsti, kurā ir viņa dzīvesvieta</w:t>
      </w:r>
      <w:r w:rsidR="00E4429D">
        <w:rPr>
          <w:rFonts w:ascii="Times New Roman" w:hAnsi="Times New Roman" w:cs="Times New Roman"/>
          <w:sz w:val="28"/>
          <w:szCs w:val="28"/>
        </w:rPr>
        <w:t>,</w:t>
      </w:r>
      <w:r w:rsidRPr="008B1310">
        <w:rPr>
          <w:rFonts w:ascii="Times New Roman" w:hAnsi="Times New Roman" w:cs="Times New Roman"/>
          <w:sz w:val="28"/>
          <w:szCs w:val="28"/>
        </w:rPr>
        <w:t> – 93,70</w:t>
      </w:r>
      <w:r w:rsidR="00CE5906">
        <w:rPr>
          <w:rFonts w:ascii="Times New Roman" w:hAnsi="Times New Roman" w:cs="Times New Roman"/>
          <w:sz w:val="28"/>
          <w:szCs w:val="28"/>
        </w:rPr>
        <w:t> </w:t>
      </w:r>
      <w:r w:rsidRPr="008B1310">
        <w:rPr>
          <w:rFonts w:ascii="Times New Roman" w:hAnsi="Times New Roman" w:cs="Times New Roman"/>
          <w:sz w:val="28"/>
          <w:szCs w:val="28"/>
        </w:rPr>
        <w:t>latu;</w:t>
      </w:r>
    </w:p>
    <w:p w14:paraId="4FB21046" w14:textId="3DA7EF33"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6.8. nolēmuma izpild</w:t>
      </w:r>
      <w:r w:rsidR="00CE5906">
        <w:rPr>
          <w:rFonts w:ascii="Times New Roman" w:hAnsi="Times New Roman" w:cs="Times New Roman"/>
          <w:sz w:val="28"/>
          <w:szCs w:val="28"/>
        </w:rPr>
        <w:t>e</w:t>
      </w:r>
      <w:r w:rsidRPr="008B1310">
        <w:rPr>
          <w:rFonts w:ascii="Times New Roman" w:hAnsi="Times New Roman" w:cs="Times New Roman"/>
          <w:sz w:val="28"/>
          <w:szCs w:val="28"/>
        </w:rPr>
        <w:t xml:space="preserve"> lietā, kas izriet no aizgādības vai saskarsmes tiesībām</w:t>
      </w:r>
      <w:r w:rsidR="00E4429D">
        <w:rPr>
          <w:rFonts w:ascii="Times New Roman" w:hAnsi="Times New Roman" w:cs="Times New Roman"/>
          <w:sz w:val="28"/>
          <w:szCs w:val="28"/>
        </w:rPr>
        <w:t>,</w:t>
      </w:r>
      <w:r w:rsidRPr="008B1310">
        <w:rPr>
          <w:rFonts w:ascii="Times New Roman" w:hAnsi="Times New Roman" w:cs="Times New Roman"/>
          <w:sz w:val="28"/>
          <w:szCs w:val="28"/>
        </w:rPr>
        <w:t> – 93,70 latu;</w:t>
      </w:r>
    </w:p>
    <w:p w14:paraId="4FB21047" w14:textId="1A160109"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6.9. mantas aprakstes akta sastādīšan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prasības nodrošināšanas vai kopīgas mantas dalīšanas nolūkā atbilsto</w:t>
      </w:r>
      <w:r w:rsidR="00F161BF">
        <w:rPr>
          <w:rFonts w:ascii="Times New Roman" w:hAnsi="Times New Roman" w:cs="Times New Roman"/>
          <w:sz w:val="28"/>
          <w:szCs w:val="28"/>
        </w:rPr>
        <w:t>ši aprakstīto pozīciju skaitam:</w:t>
      </w:r>
    </w:p>
    <w:p w14:paraId="4FB21048" w14:textId="39116ABD"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6.9.1. līdz 10 pozīcijām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26 lat</w:t>
      </w:r>
      <w:r w:rsidR="00E4429D">
        <w:rPr>
          <w:rFonts w:ascii="Times New Roman" w:hAnsi="Times New Roman" w:cs="Times New Roman"/>
          <w:sz w:val="28"/>
          <w:szCs w:val="28"/>
        </w:rPr>
        <w:t>i</w:t>
      </w:r>
      <w:r w:rsidRPr="008B1310">
        <w:rPr>
          <w:rFonts w:ascii="Times New Roman" w:hAnsi="Times New Roman" w:cs="Times New Roman"/>
          <w:sz w:val="28"/>
          <w:szCs w:val="28"/>
        </w:rPr>
        <w:t xml:space="preserve">; </w:t>
      </w:r>
    </w:p>
    <w:p w14:paraId="4FB21049" w14:textId="24919D5E"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6.9.2. no 11 līdz 50 pozīcijām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46,90 latu; </w:t>
      </w:r>
    </w:p>
    <w:p w14:paraId="4FB2104A"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6.9.3. no 51 līdz 100 pozīcijām – 93,70 latu;</w:t>
      </w:r>
    </w:p>
    <w:p w14:paraId="4FB2104B" w14:textId="4C400444"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6.9.4. vairāk par 100 pozīcijām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187,40 latu; </w:t>
      </w:r>
    </w:p>
    <w:p w14:paraId="4FB2104C" w14:textId="15018EEF"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6.10. kustamās mantas glabātāja nomaiņ</w:t>
      </w:r>
      <w:r w:rsidR="00CE5906">
        <w:rPr>
          <w:rFonts w:ascii="Times New Roman" w:hAnsi="Times New Roman" w:cs="Times New Roman"/>
          <w:sz w:val="28"/>
          <w:szCs w:val="28"/>
        </w:rPr>
        <w:t>a</w:t>
      </w:r>
      <w:r w:rsidRPr="008B1310">
        <w:rPr>
          <w:rFonts w:ascii="Times New Roman" w:hAnsi="Times New Roman" w:cs="Times New Roman"/>
          <w:sz w:val="28"/>
          <w:szCs w:val="28"/>
        </w:rPr>
        <w:t>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26 lat</w:t>
      </w:r>
      <w:r w:rsidR="00E4429D">
        <w:rPr>
          <w:rFonts w:ascii="Times New Roman" w:hAnsi="Times New Roman" w:cs="Times New Roman"/>
          <w:sz w:val="28"/>
          <w:szCs w:val="28"/>
        </w:rPr>
        <w:t>i</w:t>
      </w:r>
      <w:r w:rsidRPr="008B1310">
        <w:rPr>
          <w:rFonts w:ascii="Times New Roman" w:hAnsi="Times New Roman" w:cs="Times New Roman"/>
          <w:sz w:val="28"/>
          <w:szCs w:val="28"/>
        </w:rPr>
        <w:t>;</w:t>
      </w:r>
    </w:p>
    <w:p w14:paraId="4FB2104D" w14:textId="3DA7B64D"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6.11. naudas līdzekļu konfiskācij</w:t>
      </w:r>
      <w:r w:rsidR="00CE5906">
        <w:rPr>
          <w:rFonts w:ascii="Times New Roman" w:hAnsi="Times New Roman" w:cs="Times New Roman"/>
          <w:sz w:val="28"/>
          <w:szCs w:val="28"/>
        </w:rPr>
        <w:t>a</w:t>
      </w:r>
      <w:r w:rsidRPr="008B1310">
        <w:rPr>
          <w:rFonts w:ascii="Times New Roman" w:hAnsi="Times New Roman" w:cs="Times New Roman"/>
          <w:sz w:val="28"/>
          <w:szCs w:val="28"/>
        </w:rPr>
        <w:t> – 26 lat</w:t>
      </w:r>
      <w:r w:rsidR="00E4429D">
        <w:rPr>
          <w:rFonts w:ascii="Times New Roman" w:hAnsi="Times New Roman" w:cs="Times New Roman"/>
          <w:sz w:val="28"/>
          <w:szCs w:val="28"/>
        </w:rPr>
        <w:t>i</w:t>
      </w:r>
      <w:r w:rsidRPr="008B1310">
        <w:rPr>
          <w:rFonts w:ascii="Times New Roman" w:hAnsi="Times New Roman" w:cs="Times New Roman"/>
          <w:sz w:val="28"/>
          <w:szCs w:val="28"/>
        </w:rPr>
        <w:t>;</w:t>
      </w:r>
    </w:p>
    <w:p w14:paraId="4FB2104E" w14:textId="0F04B808" w:rsidR="004527B2"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6.12. kustamās mantas vai nekustamā īpašuma konfiskācij</w:t>
      </w:r>
      <w:r w:rsidR="00CE5906">
        <w:rPr>
          <w:rFonts w:ascii="Times New Roman" w:hAnsi="Times New Roman" w:cs="Times New Roman"/>
          <w:sz w:val="28"/>
          <w:szCs w:val="28"/>
        </w:rPr>
        <w:t xml:space="preserve">a – </w:t>
      </w:r>
      <w:r w:rsidRPr="008B1310">
        <w:rPr>
          <w:rFonts w:ascii="Times New Roman" w:hAnsi="Times New Roman" w:cs="Times New Roman"/>
          <w:sz w:val="28"/>
          <w:szCs w:val="28"/>
        </w:rPr>
        <w:t>atlīdzība saskaņā ar šo noteikumu 3.</w:t>
      </w:r>
      <w:r w:rsidR="00CE5906">
        <w:rPr>
          <w:rFonts w:ascii="Times New Roman" w:hAnsi="Times New Roman" w:cs="Times New Roman"/>
          <w:sz w:val="28"/>
          <w:szCs w:val="28"/>
        </w:rPr>
        <w:t>, 4. un 5.</w:t>
      </w:r>
      <w:r w:rsidR="004527B2" w:rsidRPr="008B1310">
        <w:rPr>
          <w:rFonts w:ascii="Times New Roman" w:hAnsi="Times New Roman" w:cs="Times New Roman"/>
          <w:sz w:val="28"/>
          <w:szCs w:val="28"/>
        </w:rPr>
        <w:t>p</w:t>
      </w:r>
      <w:r w:rsidRPr="008B1310">
        <w:rPr>
          <w:rFonts w:ascii="Times New Roman" w:hAnsi="Times New Roman" w:cs="Times New Roman"/>
          <w:sz w:val="28"/>
          <w:szCs w:val="28"/>
        </w:rPr>
        <w:t>unktu</w:t>
      </w:r>
      <w:r w:rsidR="004527B2" w:rsidRPr="008B1310">
        <w:rPr>
          <w:rFonts w:ascii="Times New Roman" w:hAnsi="Times New Roman" w:cs="Times New Roman"/>
          <w:sz w:val="28"/>
          <w:szCs w:val="28"/>
        </w:rPr>
        <w:t>;</w:t>
      </w:r>
    </w:p>
    <w:p w14:paraId="4FB2104F" w14:textId="3BAA9C61" w:rsidR="00BA23E4" w:rsidRPr="008B1310" w:rsidRDefault="00AA6A72"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6.13. normatīvajos aktos noteikto darbību īstenošan</w:t>
      </w:r>
      <w:r w:rsidR="00CE5906">
        <w:rPr>
          <w:rFonts w:ascii="Times New Roman" w:hAnsi="Times New Roman" w:cs="Times New Roman"/>
          <w:sz w:val="28"/>
          <w:szCs w:val="28"/>
        </w:rPr>
        <w:t>a</w:t>
      </w:r>
      <w:r w:rsidRPr="008B1310">
        <w:rPr>
          <w:rFonts w:ascii="Times New Roman" w:hAnsi="Times New Roman" w:cs="Times New Roman"/>
          <w:sz w:val="28"/>
          <w:szCs w:val="28"/>
        </w:rPr>
        <w:t>, administrējot bezmantinieka mantas pārņemšanas un pārdošanas procesu</w:t>
      </w:r>
      <w:r w:rsidR="00E4429D">
        <w:rPr>
          <w:rFonts w:ascii="Times New Roman" w:hAnsi="Times New Roman" w:cs="Times New Roman"/>
          <w:sz w:val="28"/>
          <w:szCs w:val="28"/>
        </w:rPr>
        <w:t>,</w:t>
      </w:r>
      <w:r w:rsidRPr="008B1310">
        <w:rPr>
          <w:rFonts w:ascii="Times New Roman" w:hAnsi="Times New Roman" w:cs="Times New Roman"/>
          <w:sz w:val="28"/>
          <w:szCs w:val="28"/>
        </w:rPr>
        <w:t> </w:t>
      </w:r>
      <w:r w:rsidR="00CE5906">
        <w:rPr>
          <w:rFonts w:ascii="Times New Roman" w:hAnsi="Times New Roman" w:cs="Times New Roman"/>
          <w:sz w:val="28"/>
          <w:szCs w:val="28"/>
        </w:rPr>
        <w:t>–</w:t>
      </w:r>
      <w:r w:rsidRPr="008B1310">
        <w:rPr>
          <w:rFonts w:ascii="Times New Roman" w:hAnsi="Times New Roman" w:cs="Times New Roman"/>
          <w:sz w:val="28"/>
          <w:szCs w:val="28"/>
        </w:rPr>
        <w:t xml:space="preserve"> 200 lat</w:t>
      </w:r>
      <w:r w:rsidR="00E4429D">
        <w:rPr>
          <w:rFonts w:ascii="Times New Roman" w:hAnsi="Times New Roman" w:cs="Times New Roman"/>
          <w:sz w:val="28"/>
          <w:szCs w:val="28"/>
        </w:rPr>
        <w:t>i</w:t>
      </w:r>
      <w:r w:rsidRPr="008B1310">
        <w:rPr>
          <w:rFonts w:ascii="Times New Roman" w:hAnsi="Times New Roman" w:cs="Times New Roman"/>
          <w:sz w:val="28"/>
          <w:szCs w:val="28"/>
        </w:rPr>
        <w:t xml:space="preserve"> un amata atlīdzība procentos no summas, kas iegūta </w:t>
      </w:r>
      <w:r w:rsidR="00CE5906">
        <w:rPr>
          <w:rFonts w:ascii="Times New Roman" w:hAnsi="Times New Roman" w:cs="Times New Roman"/>
          <w:sz w:val="28"/>
          <w:szCs w:val="28"/>
        </w:rPr>
        <w:t xml:space="preserve">no </w:t>
      </w:r>
      <w:r w:rsidRPr="008B1310">
        <w:rPr>
          <w:rFonts w:ascii="Times New Roman" w:hAnsi="Times New Roman" w:cs="Times New Roman"/>
          <w:sz w:val="28"/>
          <w:szCs w:val="28"/>
        </w:rPr>
        <w:t>bezmantinieka mantas pārdošanas</w:t>
      </w:r>
      <w:r w:rsidR="00CE5906">
        <w:rPr>
          <w:rFonts w:ascii="Times New Roman" w:hAnsi="Times New Roman" w:cs="Times New Roman"/>
          <w:sz w:val="28"/>
          <w:szCs w:val="28"/>
        </w:rPr>
        <w:t>, atbilstoši šo noteikumu 5.</w:t>
      </w:r>
      <w:r w:rsidRPr="008B1310">
        <w:rPr>
          <w:rFonts w:ascii="Times New Roman" w:hAnsi="Times New Roman" w:cs="Times New Roman"/>
          <w:sz w:val="28"/>
          <w:szCs w:val="28"/>
        </w:rPr>
        <w:t>punktā noteiktajiem apmēriem.</w:t>
      </w:r>
    </w:p>
    <w:p w14:paraId="4FB21050" w14:textId="77777777" w:rsidR="00BA23E4" w:rsidRPr="008B1310" w:rsidRDefault="00BA23E4" w:rsidP="00F161BF">
      <w:pPr>
        <w:pStyle w:val="NoSpacing"/>
        <w:ind w:firstLine="709"/>
        <w:jc w:val="both"/>
        <w:rPr>
          <w:rFonts w:ascii="Times New Roman" w:hAnsi="Times New Roman" w:cs="Times New Roman"/>
          <w:sz w:val="28"/>
          <w:szCs w:val="28"/>
        </w:rPr>
      </w:pPr>
    </w:p>
    <w:p w14:paraId="4FB21051" w14:textId="3E065EE4"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lastRenderedPageBreak/>
        <w:t>7. Par citām zvērināta tiesu izpildītāja amata darbībām maksājama amata atlīdzība š</w:t>
      </w:r>
      <w:r w:rsidR="00F161BF">
        <w:rPr>
          <w:rFonts w:ascii="Times New Roman" w:hAnsi="Times New Roman" w:cs="Times New Roman"/>
          <w:sz w:val="28"/>
          <w:szCs w:val="28"/>
        </w:rPr>
        <w:t>ādā apmērā:</w:t>
      </w:r>
    </w:p>
    <w:p w14:paraId="4FB21052" w14:textId="7219C273"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7.1. tiesas pavēstes vai citu dokumentu piegādāšan</w:t>
      </w:r>
      <w:r w:rsidR="00CE5906">
        <w:rPr>
          <w:rFonts w:ascii="Times New Roman" w:hAnsi="Times New Roman" w:cs="Times New Roman"/>
          <w:sz w:val="28"/>
          <w:szCs w:val="28"/>
        </w:rPr>
        <w:t>a</w:t>
      </w:r>
      <w:r w:rsidRPr="008B1310">
        <w:rPr>
          <w:rFonts w:ascii="Times New Roman" w:hAnsi="Times New Roman" w:cs="Times New Roman"/>
          <w:sz w:val="28"/>
          <w:szCs w:val="28"/>
        </w:rPr>
        <w:t>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26 lat</w:t>
      </w:r>
      <w:r w:rsidR="00E4429D">
        <w:rPr>
          <w:rFonts w:ascii="Times New Roman" w:hAnsi="Times New Roman" w:cs="Times New Roman"/>
          <w:sz w:val="28"/>
          <w:szCs w:val="28"/>
        </w:rPr>
        <w:t>i</w:t>
      </w:r>
      <w:r w:rsidRPr="008B1310">
        <w:rPr>
          <w:rFonts w:ascii="Times New Roman" w:hAnsi="Times New Roman" w:cs="Times New Roman"/>
          <w:sz w:val="28"/>
          <w:szCs w:val="28"/>
        </w:rPr>
        <w:t xml:space="preserve"> (par vienu adresi);</w:t>
      </w:r>
    </w:p>
    <w:p w14:paraId="4FB21053" w14:textId="72AC456A"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7.2. fakta fiksēšan</w:t>
      </w:r>
      <w:r w:rsidR="00CE5906">
        <w:rPr>
          <w:rFonts w:ascii="Times New Roman" w:hAnsi="Times New Roman" w:cs="Times New Roman"/>
          <w:sz w:val="28"/>
          <w:szCs w:val="28"/>
        </w:rPr>
        <w:t>a</w:t>
      </w:r>
      <w:r w:rsidRPr="008B1310">
        <w:rPr>
          <w:rFonts w:ascii="Times New Roman" w:hAnsi="Times New Roman" w:cs="Times New Roman"/>
          <w:sz w:val="28"/>
          <w:szCs w:val="28"/>
        </w:rPr>
        <w:t> – 46,90 latu. Ja fakta fiksēšana ilgst ilgāk par stundu, papil</w:t>
      </w:r>
      <w:r w:rsidR="00727E15">
        <w:rPr>
          <w:rFonts w:ascii="Times New Roman" w:hAnsi="Times New Roman" w:cs="Times New Roman"/>
          <w:sz w:val="28"/>
          <w:szCs w:val="28"/>
        </w:rPr>
        <w:t>dus tiek piemērots:</w:t>
      </w:r>
    </w:p>
    <w:p w14:paraId="4FB21054" w14:textId="77777777"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7.2.1. koeficients 1,2 – ja fakta fiksēšana ilgst ilgāk par stundu, bet nepārsniedz divas stundas; </w:t>
      </w:r>
    </w:p>
    <w:p w14:paraId="4FB21055"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7.2.2. koeficients 1,4 – ja fakta fiksēšana ilgst ilgāk par divām stundām, bet nepārsniedz trīs stundas; </w:t>
      </w:r>
    </w:p>
    <w:p w14:paraId="4FB21056"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7.2.3. koeficients 1,6 – ja fakta fiksēšana ilgst ilgāk par trim stundām, bet nepārsniedz četras stundas; </w:t>
      </w:r>
    </w:p>
    <w:p w14:paraId="4FB21057"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7.2.4. koeficients 1,8 – ja fakta fiksēšana ilgst ilgāk par četrām stundām, bet nepārsniedz piecas stundas; </w:t>
      </w:r>
    </w:p>
    <w:p w14:paraId="4FB21058" w14:textId="77777777"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7.2.5. koeficients 2 – ja fakta fiksēšana ilgst ilgāk par piecām stundām; </w:t>
      </w:r>
    </w:p>
    <w:p w14:paraId="4FB21059" w14:textId="46259274"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7.3. mantojuma inventāra saraksta sastādīšan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mantojuma lietā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46,90</w:t>
      </w:r>
      <w:r w:rsidR="00CE5906">
        <w:rPr>
          <w:rFonts w:ascii="Times New Roman" w:hAnsi="Times New Roman" w:cs="Times New Roman"/>
          <w:sz w:val="28"/>
          <w:szCs w:val="28"/>
        </w:rPr>
        <w:t> </w:t>
      </w:r>
      <w:r w:rsidRPr="008B1310">
        <w:rPr>
          <w:rFonts w:ascii="Times New Roman" w:hAnsi="Times New Roman" w:cs="Times New Roman"/>
          <w:sz w:val="28"/>
          <w:szCs w:val="28"/>
        </w:rPr>
        <w:t>latu;</w:t>
      </w:r>
    </w:p>
    <w:p w14:paraId="4FB2105A" w14:textId="55EFE626"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7.4. publiskas izsoles rīkošan</w:t>
      </w:r>
      <w:r w:rsidR="00CE5906">
        <w:rPr>
          <w:rFonts w:ascii="Times New Roman" w:hAnsi="Times New Roman" w:cs="Times New Roman"/>
          <w:sz w:val="28"/>
          <w:szCs w:val="28"/>
        </w:rPr>
        <w:t>a</w:t>
      </w:r>
      <w:r w:rsidRPr="008B1310">
        <w:rPr>
          <w:rFonts w:ascii="Times New Roman" w:hAnsi="Times New Roman" w:cs="Times New Roman"/>
          <w:sz w:val="28"/>
          <w:szCs w:val="28"/>
        </w:rPr>
        <w:t xml:space="preserve"> neatkarīgi no izsoles rezultāta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93,70 latu. Atbilstoši pārdošanas cenai, bet, ja izsole nav notikusi,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atbilstoši sākumcenai papil</w:t>
      </w:r>
      <w:r w:rsidR="00727E15">
        <w:rPr>
          <w:rFonts w:ascii="Times New Roman" w:hAnsi="Times New Roman" w:cs="Times New Roman"/>
          <w:sz w:val="28"/>
          <w:szCs w:val="28"/>
        </w:rPr>
        <w:t>dus tiek piemērots:</w:t>
      </w:r>
    </w:p>
    <w:p w14:paraId="4FB2105B" w14:textId="3C334B10"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7.4.1. koeficients 1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līdz 3000 latu; </w:t>
      </w:r>
    </w:p>
    <w:p w14:paraId="4FB2105C" w14:textId="4A07E5D7"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7.4.2. koeficients 2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no 3001 lata līdz 10000 latu; </w:t>
      </w:r>
    </w:p>
    <w:p w14:paraId="4FB2105D" w14:textId="7B9C0119"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7.4.3. koeficients 3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no 10001 lata līdz 100000 latu; </w:t>
      </w:r>
    </w:p>
    <w:p w14:paraId="4FB2105E" w14:textId="4B7FC334"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7.4.4. koeficients 5 </w:t>
      </w:r>
      <w:r w:rsidR="00312201">
        <w:rPr>
          <w:rFonts w:ascii="Times New Roman" w:hAnsi="Times New Roman" w:cs="Times New Roman"/>
          <w:sz w:val="28"/>
          <w:szCs w:val="28"/>
        </w:rPr>
        <w:t>–</w:t>
      </w:r>
      <w:r w:rsidRPr="008B1310">
        <w:rPr>
          <w:rFonts w:ascii="Times New Roman" w:hAnsi="Times New Roman" w:cs="Times New Roman"/>
          <w:sz w:val="28"/>
          <w:szCs w:val="28"/>
        </w:rPr>
        <w:t xml:space="preserve"> </w:t>
      </w:r>
      <w:r w:rsidR="001720B8">
        <w:rPr>
          <w:rFonts w:ascii="Times New Roman" w:hAnsi="Times New Roman" w:cs="Times New Roman"/>
          <w:sz w:val="28"/>
          <w:szCs w:val="28"/>
        </w:rPr>
        <w:t>pārsniedz</w:t>
      </w:r>
      <w:r w:rsidRPr="008B1310">
        <w:rPr>
          <w:rFonts w:ascii="Times New Roman" w:hAnsi="Times New Roman" w:cs="Times New Roman"/>
          <w:sz w:val="28"/>
          <w:szCs w:val="28"/>
        </w:rPr>
        <w:t xml:space="preserve"> 100000 latu</w:t>
      </w:r>
      <w:r w:rsidR="00E4429D">
        <w:rPr>
          <w:rFonts w:ascii="Times New Roman" w:hAnsi="Times New Roman" w:cs="Times New Roman"/>
          <w:sz w:val="28"/>
          <w:szCs w:val="28"/>
        </w:rPr>
        <w:t>;</w:t>
      </w:r>
    </w:p>
    <w:p w14:paraId="4FB2105F" w14:textId="77261472"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7.5. mantas aprakstes akta sastādīšan</w:t>
      </w:r>
      <w:r w:rsidR="001720B8">
        <w:rPr>
          <w:rFonts w:ascii="Times New Roman" w:hAnsi="Times New Roman" w:cs="Times New Roman"/>
          <w:sz w:val="28"/>
          <w:szCs w:val="28"/>
        </w:rPr>
        <w:t>a</w:t>
      </w:r>
      <w:r w:rsidRPr="008B1310">
        <w:rPr>
          <w:rFonts w:ascii="Times New Roman" w:hAnsi="Times New Roman" w:cs="Times New Roman"/>
          <w:sz w:val="28"/>
          <w:szCs w:val="28"/>
        </w:rPr>
        <w:t xml:space="preserve"> mantojuma apsardzības lietā</w:t>
      </w:r>
      <w:r w:rsidR="001720B8">
        <w:rPr>
          <w:rFonts w:ascii="Times New Roman" w:hAnsi="Times New Roman" w:cs="Times New Roman"/>
          <w:sz w:val="28"/>
          <w:szCs w:val="28"/>
        </w:rPr>
        <w:t xml:space="preserve"> –</w:t>
      </w:r>
      <w:r w:rsidRPr="008B1310">
        <w:rPr>
          <w:rFonts w:ascii="Times New Roman" w:hAnsi="Times New Roman" w:cs="Times New Roman"/>
          <w:sz w:val="28"/>
          <w:szCs w:val="28"/>
        </w:rPr>
        <w:t>atlīdzī</w:t>
      </w:r>
      <w:r w:rsidR="00727E15">
        <w:rPr>
          <w:rFonts w:ascii="Times New Roman" w:hAnsi="Times New Roman" w:cs="Times New Roman"/>
          <w:sz w:val="28"/>
          <w:szCs w:val="28"/>
        </w:rPr>
        <w:t>ba saskaņā ar šo noteikumu 6.9.</w:t>
      </w:r>
      <w:r w:rsidRPr="008B1310">
        <w:rPr>
          <w:rFonts w:ascii="Times New Roman" w:hAnsi="Times New Roman" w:cs="Times New Roman"/>
          <w:sz w:val="28"/>
          <w:szCs w:val="28"/>
        </w:rPr>
        <w:t>apakšpunktu;</w:t>
      </w:r>
    </w:p>
    <w:p w14:paraId="4FB21060" w14:textId="1E5E0EA2"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7.6. dokumenta noraksta, izraksta vai kopijas sagatavošan</w:t>
      </w:r>
      <w:r w:rsidR="001720B8">
        <w:rPr>
          <w:rFonts w:ascii="Times New Roman" w:hAnsi="Times New Roman" w:cs="Times New Roman"/>
          <w:sz w:val="28"/>
          <w:szCs w:val="28"/>
        </w:rPr>
        <w:t>a</w:t>
      </w:r>
      <w:r w:rsidRPr="008B1310">
        <w:rPr>
          <w:rFonts w:ascii="Times New Roman" w:hAnsi="Times New Roman" w:cs="Times New Roman"/>
          <w:sz w:val="28"/>
          <w:szCs w:val="28"/>
        </w:rPr>
        <w:t xml:space="preserve"> un apliecināšan</w:t>
      </w:r>
      <w:r w:rsidR="001720B8">
        <w:rPr>
          <w:rFonts w:ascii="Times New Roman" w:hAnsi="Times New Roman" w:cs="Times New Roman"/>
          <w:sz w:val="28"/>
          <w:szCs w:val="28"/>
        </w:rPr>
        <w:t>a</w:t>
      </w:r>
      <w:r w:rsidRPr="008B1310">
        <w:rPr>
          <w:rFonts w:ascii="Times New Roman" w:hAnsi="Times New Roman" w:cs="Times New Roman"/>
          <w:sz w:val="28"/>
          <w:szCs w:val="28"/>
        </w:rPr>
        <w:t xml:space="preserve"> (neatkarīgi no dokumenta kopēj</w:t>
      </w:r>
      <w:r w:rsidR="00E4429D">
        <w:rPr>
          <w:rFonts w:ascii="Times New Roman" w:hAnsi="Times New Roman" w:cs="Times New Roman"/>
          <w:sz w:val="28"/>
          <w:szCs w:val="28"/>
        </w:rPr>
        <w:t>ā</w:t>
      </w:r>
      <w:r w:rsidRPr="008B1310">
        <w:rPr>
          <w:rFonts w:ascii="Times New Roman" w:hAnsi="Times New Roman" w:cs="Times New Roman"/>
          <w:sz w:val="28"/>
          <w:szCs w:val="28"/>
        </w:rPr>
        <w:t xml:space="preserve"> lapu skaita) – 2 lat</w:t>
      </w:r>
      <w:r w:rsidR="00E4429D">
        <w:rPr>
          <w:rFonts w:ascii="Times New Roman" w:hAnsi="Times New Roman" w:cs="Times New Roman"/>
          <w:sz w:val="28"/>
          <w:szCs w:val="28"/>
        </w:rPr>
        <w:t>i</w:t>
      </w:r>
      <w:r w:rsidRPr="008B1310">
        <w:rPr>
          <w:rFonts w:ascii="Times New Roman" w:hAnsi="Times New Roman" w:cs="Times New Roman"/>
          <w:sz w:val="28"/>
          <w:szCs w:val="28"/>
        </w:rPr>
        <w:t>;</w:t>
      </w:r>
    </w:p>
    <w:p w14:paraId="4FB21061" w14:textId="615EE9BC"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7.7. informatīvas izziņas sagatavošan</w:t>
      </w:r>
      <w:r w:rsidR="001720B8">
        <w:rPr>
          <w:rFonts w:ascii="Times New Roman" w:hAnsi="Times New Roman" w:cs="Times New Roman"/>
          <w:sz w:val="28"/>
          <w:szCs w:val="28"/>
        </w:rPr>
        <w:t>a</w:t>
      </w:r>
      <w:r w:rsidRPr="008B1310">
        <w:rPr>
          <w:rFonts w:ascii="Times New Roman" w:hAnsi="Times New Roman" w:cs="Times New Roman"/>
          <w:sz w:val="28"/>
          <w:szCs w:val="28"/>
        </w:rPr>
        <w:t xml:space="preserve"> par izpildu lietā veiktajām darbībām u</w:t>
      </w:r>
      <w:r w:rsidR="00727E15">
        <w:rPr>
          <w:rFonts w:ascii="Times New Roman" w:hAnsi="Times New Roman" w:cs="Times New Roman"/>
          <w:sz w:val="28"/>
          <w:szCs w:val="28"/>
        </w:rPr>
        <w:t>n tās izsniegšan</w:t>
      </w:r>
      <w:r w:rsidR="001720B8">
        <w:rPr>
          <w:rFonts w:ascii="Times New Roman" w:hAnsi="Times New Roman" w:cs="Times New Roman"/>
          <w:sz w:val="28"/>
          <w:szCs w:val="28"/>
        </w:rPr>
        <w:t>a</w:t>
      </w:r>
      <w:r w:rsidR="00727E15">
        <w:rPr>
          <w:rFonts w:ascii="Times New Roman" w:hAnsi="Times New Roman" w:cs="Times New Roman"/>
          <w:sz w:val="28"/>
          <w:szCs w:val="28"/>
        </w:rPr>
        <w:t> </w:t>
      </w:r>
      <w:r w:rsidR="00312201">
        <w:rPr>
          <w:rFonts w:ascii="Times New Roman" w:hAnsi="Times New Roman" w:cs="Times New Roman"/>
          <w:sz w:val="28"/>
          <w:szCs w:val="28"/>
        </w:rPr>
        <w:t>–</w:t>
      </w:r>
      <w:r w:rsidR="00727E15">
        <w:rPr>
          <w:rFonts w:ascii="Times New Roman" w:hAnsi="Times New Roman" w:cs="Times New Roman"/>
          <w:sz w:val="28"/>
          <w:szCs w:val="28"/>
        </w:rPr>
        <w:t xml:space="preserve"> 26 lat</w:t>
      </w:r>
      <w:r w:rsidR="00E4429D">
        <w:rPr>
          <w:rFonts w:ascii="Times New Roman" w:hAnsi="Times New Roman" w:cs="Times New Roman"/>
          <w:sz w:val="28"/>
          <w:szCs w:val="28"/>
        </w:rPr>
        <w:t>i</w:t>
      </w:r>
      <w:r w:rsidR="00727E15">
        <w:rPr>
          <w:rFonts w:ascii="Times New Roman" w:hAnsi="Times New Roman" w:cs="Times New Roman"/>
          <w:sz w:val="28"/>
          <w:szCs w:val="28"/>
        </w:rPr>
        <w:t>.</w:t>
      </w:r>
    </w:p>
    <w:p w14:paraId="4FB21062" w14:textId="77777777" w:rsidR="00BA23E4" w:rsidRPr="008B1310" w:rsidRDefault="00BA23E4" w:rsidP="00727E15">
      <w:pPr>
        <w:pStyle w:val="NoSpacing"/>
        <w:ind w:firstLine="709"/>
        <w:jc w:val="both"/>
        <w:rPr>
          <w:rFonts w:ascii="Times New Roman" w:hAnsi="Times New Roman" w:cs="Times New Roman"/>
          <w:sz w:val="28"/>
          <w:szCs w:val="28"/>
        </w:rPr>
      </w:pPr>
    </w:p>
    <w:p w14:paraId="4FB21063" w14:textId="4FD5E089"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8. Ja zvērināts tiesu izpildītājs amata darbības, par kurām viņam noteikta atlīd</w:t>
      </w:r>
      <w:r w:rsidR="001720B8">
        <w:rPr>
          <w:rFonts w:ascii="Times New Roman" w:hAnsi="Times New Roman" w:cs="Times New Roman"/>
          <w:sz w:val="28"/>
          <w:szCs w:val="28"/>
        </w:rPr>
        <w:t>zība saskaņā ar šo noteikumu 7.</w:t>
      </w:r>
      <w:r w:rsidRPr="008B1310">
        <w:rPr>
          <w:rFonts w:ascii="Times New Roman" w:hAnsi="Times New Roman" w:cs="Times New Roman"/>
          <w:sz w:val="28"/>
          <w:szCs w:val="28"/>
        </w:rPr>
        <w:t>punktu, veic pēc personas pieprasījuma, atlīdzību maksā attiecīgās darbības pieprasītājs.</w:t>
      </w:r>
    </w:p>
    <w:p w14:paraId="4FB21064" w14:textId="77777777" w:rsidR="00BA23E4" w:rsidRPr="008B1310" w:rsidRDefault="00BA23E4" w:rsidP="00727E15">
      <w:pPr>
        <w:pStyle w:val="NoSpacing"/>
        <w:ind w:firstLine="709"/>
        <w:jc w:val="both"/>
        <w:rPr>
          <w:rFonts w:ascii="Times New Roman" w:hAnsi="Times New Roman" w:cs="Times New Roman"/>
          <w:sz w:val="28"/>
          <w:szCs w:val="28"/>
        </w:rPr>
      </w:pPr>
    </w:p>
    <w:p w14:paraId="4FB21065" w14:textId="1E118534"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 xml:space="preserve">9. Ja pēc piedzinēja rakstiska lūguma, ievērojot Civilprocesa likumā noteiktās </w:t>
      </w:r>
      <w:r w:rsidR="001720B8">
        <w:rPr>
          <w:rFonts w:ascii="Times New Roman" w:hAnsi="Times New Roman" w:cs="Times New Roman"/>
          <w:sz w:val="28"/>
          <w:szCs w:val="28"/>
        </w:rPr>
        <w:t>prasības, šo noteikumu 6. un 7.</w:t>
      </w:r>
      <w:r w:rsidRPr="008B1310">
        <w:rPr>
          <w:rFonts w:ascii="Times New Roman" w:hAnsi="Times New Roman" w:cs="Times New Roman"/>
          <w:sz w:val="28"/>
          <w:szCs w:val="28"/>
        </w:rPr>
        <w:t>punktā noteiktās amata darbības veic steidzamības kārtā (amata darbību uzsāk vai atkarībā no darbības rakstura veic 24 stundu laikā), amata atlīdzībai par veiktajām amata darbībām piemēro koeficientu 3. Starpību starp takses pamatlikmi un taksi, kurai piemēro koeficientu par steidzamību, sedz piedzinējs.</w:t>
      </w:r>
    </w:p>
    <w:p w14:paraId="4FB21066" w14:textId="77777777" w:rsidR="00BA23E4" w:rsidRPr="008B1310" w:rsidRDefault="00BA23E4" w:rsidP="00727E15">
      <w:pPr>
        <w:pStyle w:val="NoSpacing"/>
        <w:ind w:firstLine="709"/>
        <w:jc w:val="both"/>
        <w:rPr>
          <w:rFonts w:ascii="Times New Roman" w:hAnsi="Times New Roman" w:cs="Times New Roman"/>
          <w:sz w:val="28"/>
          <w:szCs w:val="28"/>
        </w:rPr>
      </w:pPr>
    </w:p>
    <w:p w14:paraId="4FB21067" w14:textId="18F71E5F"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10. </w:t>
      </w:r>
      <w:r w:rsidR="002F4304" w:rsidRPr="008B1310">
        <w:rPr>
          <w:rFonts w:ascii="Times New Roman" w:hAnsi="Times New Roman" w:cs="Times New Roman"/>
          <w:sz w:val="28"/>
          <w:szCs w:val="28"/>
        </w:rPr>
        <w:t>Zvērinātam tiesu izpildītājam ir tiesības</w:t>
      </w:r>
      <w:r w:rsidR="002F4304" w:rsidRPr="002F4304">
        <w:rPr>
          <w:rFonts w:ascii="Times New Roman" w:hAnsi="Times New Roman" w:cs="Times New Roman"/>
          <w:sz w:val="28"/>
          <w:szCs w:val="28"/>
        </w:rPr>
        <w:t xml:space="preserve"> </w:t>
      </w:r>
      <w:r w:rsidR="002F4304" w:rsidRPr="008B1310">
        <w:rPr>
          <w:rFonts w:ascii="Times New Roman" w:hAnsi="Times New Roman" w:cs="Times New Roman"/>
          <w:sz w:val="28"/>
          <w:szCs w:val="28"/>
        </w:rPr>
        <w:t>samazināt amata atlīdzības taksi, piemērojot koeficientu 0,5</w:t>
      </w:r>
      <w:r w:rsidR="002F4304">
        <w:rPr>
          <w:rFonts w:ascii="Times New Roman" w:hAnsi="Times New Roman" w:cs="Times New Roman"/>
          <w:sz w:val="28"/>
          <w:szCs w:val="28"/>
        </w:rPr>
        <w:t>, j</w:t>
      </w:r>
      <w:r w:rsidRPr="008B1310">
        <w:rPr>
          <w:rFonts w:ascii="Times New Roman" w:hAnsi="Times New Roman" w:cs="Times New Roman"/>
          <w:sz w:val="28"/>
          <w:szCs w:val="28"/>
        </w:rPr>
        <w:t xml:space="preserve">a persona normatīvajos aktos noteiktajā </w:t>
      </w:r>
      <w:r w:rsidRPr="008B1310">
        <w:rPr>
          <w:rFonts w:ascii="Times New Roman" w:hAnsi="Times New Roman" w:cs="Times New Roman"/>
          <w:sz w:val="28"/>
          <w:szCs w:val="28"/>
        </w:rPr>
        <w:lastRenderedPageBreak/>
        <w:t>kārtībā ir atzīta par trūcīgu</w:t>
      </w:r>
      <w:r w:rsidR="00973F7F" w:rsidRPr="008B1310">
        <w:rPr>
          <w:rFonts w:ascii="Times New Roman" w:hAnsi="Times New Roman" w:cs="Times New Roman"/>
          <w:sz w:val="28"/>
          <w:szCs w:val="28"/>
        </w:rPr>
        <w:t>, bet, ja persona</w:t>
      </w:r>
      <w:r w:rsidR="00154CAF" w:rsidRPr="008B1310">
        <w:rPr>
          <w:rFonts w:ascii="Times New Roman" w:hAnsi="Times New Roman" w:cs="Times New Roman"/>
          <w:sz w:val="28"/>
          <w:szCs w:val="28"/>
        </w:rPr>
        <w:t>i</w:t>
      </w:r>
      <w:r w:rsidR="00973F7F" w:rsidRPr="008B1310">
        <w:rPr>
          <w:rFonts w:ascii="Times New Roman" w:hAnsi="Times New Roman" w:cs="Times New Roman"/>
          <w:sz w:val="28"/>
          <w:szCs w:val="28"/>
        </w:rPr>
        <w:t xml:space="preserve"> </w:t>
      </w:r>
      <w:r w:rsidR="00154CAF" w:rsidRPr="008B1310">
        <w:rPr>
          <w:rFonts w:ascii="Times New Roman" w:hAnsi="Times New Roman" w:cs="Times New Roman"/>
          <w:sz w:val="28"/>
          <w:szCs w:val="28"/>
        </w:rPr>
        <w:t>piešķirts politiski represētās personas statuss,</w:t>
      </w:r>
      <w:r w:rsidR="00D8539A">
        <w:rPr>
          <w:rFonts w:ascii="Times New Roman" w:hAnsi="Times New Roman" w:cs="Times New Roman"/>
          <w:sz w:val="28"/>
          <w:szCs w:val="28"/>
        </w:rPr>
        <w:t xml:space="preserve"> </w:t>
      </w:r>
      <w:r w:rsidR="00D8539A" w:rsidRPr="008B1310">
        <w:rPr>
          <w:rFonts w:ascii="Times New Roman" w:hAnsi="Times New Roman" w:cs="Times New Roman"/>
          <w:sz w:val="28"/>
          <w:szCs w:val="28"/>
        </w:rPr>
        <w:t>samazināt amata atlīdzības taksi</w:t>
      </w:r>
      <w:r w:rsidR="00265D50">
        <w:rPr>
          <w:rFonts w:ascii="Times New Roman" w:hAnsi="Times New Roman" w:cs="Times New Roman"/>
          <w:sz w:val="28"/>
          <w:szCs w:val="28"/>
        </w:rPr>
        <w:t>,</w:t>
      </w:r>
      <w:r w:rsidR="00D8539A">
        <w:rPr>
          <w:rFonts w:ascii="Times New Roman" w:hAnsi="Times New Roman" w:cs="Times New Roman"/>
          <w:sz w:val="28"/>
          <w:szCs w:val="28"/>
        </w:rPr>
        <w:t xml:space="preserve"> </w:t>
      </w:r>
      <w:r w:rsidR="00265D50" w:rsidRPr="008B1310">
        <w:rPr>
          <w:rFonts w:ascii="Times New Roman" w:hAnsi="Times New Roman" w:cs="Times New Roman"/>
          <w:sz w:val="28"/>
          <w:szCs w:val="28"/>
        </w:rPr>
        <w:t>piemērojot koeficientu 0,5</w:t>
      </w:r>
      <w:r w:rsidR="00265D50">
        <w:rPr>
          <w:rFonts w:ascii="Times New Roman" w:hAnsi="Times New Roman" w:cs="Times New Roman"/>
          <w:sz w:val="28"/>
          <w:szCs w:val="28"/>
        </w:rPr>
        <w:t xml:space="preserve">, </w:t>
      </w:r>
      <w:r w:rsidR="00D8539A">
        <w:rPr>
          <w:rFonts w:ascii="Times New Roman" w:hAnsi="Times New Roman" w:cs="Times New Roman"/>
          <w:sz w:val="28"/>
          <w:szCs w:val="28"/>
        </w:rPr>
        <w:t>ir</w:t>
      </w:r>
      <w:r w:rsidR="00973F7F" w:rsidRPr="008B1310">
        <w:rPr>
          <w:rFonts w:ascii="Times New Roman" w:hAnsi="Times New Roman" w:cs="Times New Roman"/>
          <w:sz w:val="28"/>
          <w:szCs w:val="28"/>
        </w:rPr>
        <w:t xml:space="preserve"> </w:t>
      </w:r>
      <w:r w:rsidR="00D8539A">
        <w:rPr>
          <w:rFonts w:ascii="Times New Roman" w:hAnsi="Times New Roman" w:cs="Times New Roman"/>
          <w:sz w:val="28"/>
          <w:szCs w:val="28"/>
        </w:rPr>
        <w:t>z</w:t>
      </w:r>
      <w:r w:rsidR="00D8539A" w:rsidRPr="008B1310">
        <w:rPr>
          <w:rFonts w:ascii="Times New Roman" w:hAnsi="Times New Roman" w:cs="Times New Roman"/>
          <w:sz w:val="28"/>
          <w:szCs w:val="28"/>
        </w:rPr>
        <w:t>vērināt</w:t>
      </w:r>
      <w:r w:rsidR="00D8539A">
        <w:rPr>
          <w:rFonts w:ascii="Times New Roman" w:hAnsi="Times New Roman" w:cs="Times New Roman"/>
          <w:sz w:val="28"/>
          <w:szCs w:val="28"/>
        </w:rPr>
        <w:t>a</w:t>
      </w:r>
      <w:r w:rsidR="00D8539A" w:rsidRPr="008B1310">
        <w:rPr>
          <w:rFonts w:ascii="Times New Roman" w:hAnsi="Times New Roman" w:cs="Times New Roman"/>
          <w:sz w:val="28"/>
          <w:szCs w:val="28"/>
        </w:rPr>
        <w:t xml:space="preserve"> tiesu izpildītāj</w:t>
      </w:r>
      <w:r w:rsidR="00D8539A">
        <w:rPr>
          <w:rFonts w:ascii="Times New Roman" w:hAnsi="Times New Roman" w:cs="Times New Roman"/>
          <w:sz w:val="28"/>
          <w:szCs w:val="28"/>
        </w:rPr>
        <w:t>a</w:t>
      </w:r>
      <w:r w:rsidR="00D8539A" w:rsidRPr="008B1310">
        <w:rPr>
          <w:rFonts w:ascii="Times New Roman" w:hAnsi="Times New Roman" w:cs="Times New Roman"/>
          <w:sz w:val="28"/>
          <w:szCs w:val="28"/>
        </w:rPr>
        <w:t xml:space="preserve"> </w:t>
      </w:r>
      <w:r w:rsidR="00973F7F" w:rsidRPr="008B1310">
        <w:rPr>
          <w:rFonts w:ascii="Times New Roman" w:hAnsi="Times New Roman" w:cs="Times New Roman"/>
          <w:sz w:val="28"/>
          <w:szCs w:val="28"/>
        </w:rPr>
        <w:t>pienākums</w:t>
      </w:r>
      <w:r w:rsidR="00D8539A">
        <w:rPr>
          <w:rFonts w:ascii="Times New Roman" w:hAnsi="Times New Roman" w:cs="Times New Roman"/>
          <w:sz w:val="28"/>
          <w:szCs w:val="28"/>
        </w:rPr>
        <w:t>.</w:t>
      </w:r>
      <w:r w:rsidR="00973F7F" w:rsidRPr="008B1310">
        <w:rPr>
          <w:rFonts w:ascii="Times New Roman" w:hAnsi="Times New Roman" w:cs="Times New Roman"/>
          <w:sz w:val="28"/>
          <w:szCs w:val="28"/>
        </w:rPr>
        <w:t xml:space="preserve"> </w:t>
      </w:r>
    </w:p>
    <w:p w14:paraId="70E3C204" w14:textId="77777777" w:rsidR="00D8539A" w:rsidRPr="008B1310" w:rsidRDefault="00D8539A" w:rsidP="00727E15">
      <w:pPr>
        <w:pStyle w:val="NoSpacing"/>
        <w:ind w:firstLine="709"/>
        <w:jc w:val="both"/>
        <w:rPr>
          <w:rFonts w:ascii="Times New Roman" w:hAnsi="Times New Roman" w:cs="Times New Roman"/>
          <w:sz w:val="28"/>
          <w:szCs w:val="28"/>
        </w:rPr>
      </w:pPr>
    </w:p>
    <w:p w14:paraId="4FB21069" w14:textId="6F4ED43F" w:rsidR="00BA23E4" w:rsidRPr="008B1310" w:rsidRDefault="00BA23E4" w:rsidP="00727E15">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11. </w:t>
      </w:r>
      <w:r w:rsidR="00D8539A" w:rsidRPr="008B1310">
        <w:rPr>
          <w:rFonts w:ascii="Times New Roman" w:hAnsi="Times New Roman" w:cs="Times New Roman"/>
          <w:sz w:val="28"/>
          <w:szCs w:val="28"/>
        </w:rPr>
        <w:t>Ja zvērināts tiesu izpildītājs ir reģistrēts Valsts ieņēmumu dienesta ar pievienotās vērtības nodokli apliekamo personu reģistrā</w:t>
      </w:r>
      <w:r w:rsidR="000F2DF2">
        <w:rPr>
          <w:rFonts w:ascii="Times New Roman" w:hAnsi="Times New Roman" w:cs="Times New Roman"/>
          <w:sz w:val="28"/>
          <w:szCs w:val="28"/>
        </w:rPr>
        <w:t>, šajos</w:t>
      </w:r>
      <w:r w:rsidR="00D8539A" w:rsidRPr="008B1310">
        <w:rPr>
          <w:rFonts w:ascii="Times New Roman" w:hAnsi="Times New Roman" w:cs="Times New Roman"/>
          <w:sz w:val="28"/>
          <w:szCs w:val="28"/>
        </w:rPr>
        <w:t xml:space="preserve"> </w:t>
      </w:r>
      <w:r w:rsidR="000F2DF2">
        <w:rPr>
          <w:rFonts w:ascii="Times New Roman" w:hAnsi="Times New Roman" w:cs="Times New Roman"/>
          <w:sz w:val="28"/>
          <w:szCs w:val="28"/>
        </w:rPr>
        <w:t>n</w:t>
      </w:r>
      <w:r w:rsidRPr="008B1310">
        <w:rPr>
          <w:rFonts w:ascii="Times New Roman" w:hAnsi="Times New Roman" w:cs="Times New Roman"/>
          <w:sz w:val="28"/>
          <w:szCs w:val="28"/>
        </w:rPr>
        <w:t xml:space="preserve">oteikumos noteiktajai zvērinātu tiesu izpildītāju amata atlīdzības taksei </w:t>
      </w:r>
      <w:r w:rsidR="00DD4C3A">
        <w:rPr>
          <w:rFonts w:ascii="Times New Roman" w:hAnsi="Times New Roman" w:cs="Times New Roman"/>
          <w:sz w:val="28"/>
          <w:szCs w:val="28"/>
        </w:rPr>
        <w:t xml:space="preserve">papildus </w:t>
      </w:r>
      <w:r w:rsidRPr="008B1310">
        <w:rPr>
          <w:rFonts w:ascii="Times New Roman" w:hAnsi="Times New Roman" w:cs="Times New Roman"/>
          <w:sz w:val="28"/>
          <w:szCs w:val="28"/>
        </w:rPr>
        <w:t>tiek pieskaitīt</w:t>
      </w:r>
      <w:r w:rsidR="000F2DF2">
        <w:rPr>
          <w:rFonts w:ascii="Times New Roman" w:hAnsi="Times New Roman" w:cs="Times New Roman"/>
          <w:sz w:val="28"/>
          <w:szCs w:val="28"/>
        </w:rPr>
        <w:t>s pievienotās vērtības nodoklis</w:t>
      </w:r>
      <w:r w:rsidRPr="008B1310">
        <w:rPr>
          <w:rFonts w:ascii="Times New Roman" w:hAnsi="Times New Roman" w:cs="Times New Roman"/>
          <w:sz w:val="28"/>
          <w:szCs w:val="28"/>
        </w:rPr>
        <w:t>.</w:t>
      </w:r>
    </w:p>
    <w:p w14:paraId="4FB2106A" w14:textId="77777777" w:rsidR="00BA23E4" w:rsidRPr="008B1310" w:rsidRDefault="00BA23E4" w:rsidP="00727E15">
      <w:pPr>
        <w:ind w:firstLine="709"/>
        <w:jc w:val="both"/>
        <w:rPr>
          <w:sz w:val="28"/>
          <w:szCs w:val="28"/>
        </w:rPr>
      </w:pPr>
    </w:p>
    <w:p w14:paraId="4FB2106B" w14:textId="54A74243"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12. Izpildu lietās, kurās izpildu lietvedība uzsākta</w:t>
      </w:r>
      <w:r w:rsidR="00312201">
        <w:rPr>
          <w:rFonts w:ascii="Times New Roman" w:hAnsi="Times New Roman" w:cs="Times New Roman"/>
          <w:sz w:val="28"/>
          <w:szCs w:val="28"/>
        </w:rPr>
        <w:t>, bet</w:t>
      </w:r>
      <w:r w:rsidRPr="008B1310">
        <w:rPr>
          <w:rFonts w:ascii="Times New Roman" w:hAnsi="Times New Roman" w:cs="Times New Roman"/>
          <w:sz w:val="28"/>
          <w:szCs w:val="28"/>
        </w:rPr>
        <w:t xml:space="preserve"> nav pabeigta līdz šo noteikumu spēkā stāšanās </w:t>
      </w:r>
      <w:r w:rsidR="00312201">
        <w:rPr>
          <w:rFonts w:ascii="Times New Roman" w:hAnsi="Times New Roman" w:cs="Times New Roman"/>
          <w:sz w:val="28"/>
          <w:szCs w:val="28"/>
        </w:rPr>
        <w:t>dienai</w:t>
      </w:r>
      <w:r w:rsidRPr="008B1310">
        <w:rPr>
          <w:rFonts w:ascii="Times New Roman" w:hAnsi="Times New Roman" w:cs="Times New Roman"/>
          <w:sz w:val="28"/>
          <w:szCs w:val="28"/>
        </w:rPr>
        <w:t>, zvērināta tiesu izpildītāja amata atlīdzība tiek aprēķināta šādā kārtībā:</w:t>
      </w:r>
    </w:p>
    <w:p w14:paraId="4FB2106C" w14:textId="2BCD731C" w:rsidR="00343412"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12.1. par amata darbībām, kas veiktas līdz šo noteikumu spēkā stāšanās </w:t>
      </w:r>
      <w:r w:rsidR="000F2DF2">
        <w:rPr>
          <w:rFonts w:ascii="Times New Roman" w:hAnsi="Times New Roman" w:cs="Times New Roman"/>
          <w:sz w:val="28"/>
          <w:szCs w:val="28"/>
        </w:rPr>
        <w:t>dienai</w:t>
      </w:r>
      <w:r w:rsidRPr="008B1310">
        <w:rPr>
          <w:rFonts w:ascii="Times New Roman" w:hAnsi="Times New Roman" w:cs="Times New Roman"/>
          <w:sz w:val="28"/>
          <w:szCs w:val="28"/>
        </w:rPr>
        <w:t>, amata atlīdzību aprēķina atbilstoši amata atlīdzības takses apmēram, kāds n</w:t>
      </w:r>
      <w:r w:rsidR="00727E15">
        <w:rPr>
          <w:rFonts w:ascii="Times New Roman" w:hAnsi="Times New Roman" w:cs="Times New Roman"/>
          <w:sz w:val="28"/>
          <w:szCs w:val="28"/>
        </w:rPr>
        <w:t>oteikts Ministru kabineta 2004.gada 28.decembra noteikumu Nr.1075 "</w:t>
      </w:r>
      <w:r w:rsidRPr="008B1310">
        <w:rPr>
          <w:rFonts w:ascii="Times New Roman" w:hAnsi="Times New Roman" w:cs="Times New Roman"/>
          <w:sz w:val="28"/>
          <w:szCs w:val="28"/>
        </w:rPr>
        <w:t>Noteikumi par zvērinātu tiesu izpi</w:t>
      </w:r>
      <w:r w:rsidR="00727E15">
        <w:rPr>
          <w:rFonts w:ascii="Times New Roman" w:hAnsi="Times New Roman" w:cs="Times New Roman"/>
          <w:sz w:val="28"/>
          <w:szCs w:val="28"/>
        </w:rPr>
        <w:t>ldītāju amata atlīdzības taksēm"</w:t>
      </w:r>
      <w:r w:rsidR="000F2DF2">
        <w:rPr>
          <w:rFonts w:ascii="Times New Roman" w:hAnsi="Times New Roman" w:cs="Times New Roman"/>
          <w:sz w:val="28"/>
          <w:szCs w:val="28"/>
        </w:rPr>
        <w:t xml:space="preserve"> 2.</w:t>
      </w:r>
      <w:r w:rsidRPr="008B1310">
        <w:rPr>
          <w:rFonts w:ascii="Times New Roman" w:hAnsi="Times New Roman" w:cs="Times New Roman"/>
          <w:sz w:val="28"/>
          <w:szCs w:val="28"/>
        </w:rPr>
        <w:t>punktā;</w:t>
      </w:r>
    </w:p>
    <w:p w14:paraId="4FB2106D" w14:textId="70040D8B"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12.2. ja atlīdzības kopsumma par amata darbībām, kas veiktas līdz šo noteikumu spēkā stāšanās </w:t>
      </w:r>
      <w:r w:rsidR="000F2DF2">
        <w:rPr>
          <w:rFonts w:ascii="Times New Roman" w:hAnsi="Times New Roman" w:cs="Times New Roman"/>
          <w:sz w:val="28"/>
          <w:szCs w:val="28"/>
        </w:rPr>
        <w:t>dienai</w:t>
      </w:r>
      <w:r w:rsidR="00727E15">
        <w:rPr>
          <w:rFonts w:ascii="Times New Roman" w:hAnsi="Times New Roman" w:cs="Times New Roman"/>
          <w:sz w:val="28"/>
          <w:szCs w:val="28"/>
        </w:rPr>
        <w:t>, pārsniedz šo noteikumu 3.</w:t>
      </w:r>
      <w:r w:rsidRPr="008B1310">
        <w:rPr>
          <w:rFonts w:ascii="Times New Roman" w:hAnsi="Times New Roman" w:cs="Times New Roman"/>
          <w:sz w:val="28"/>
          <w:szCs w:val="28"/>
        </w:rPr>
        <w:t xml:space="preserve">punktā </w:t>
      </w:r>
      <w:r w:rsidR="000F2DF2">
        <w:rPr>
          <w:rFonts w:ascii="Times New Roman" w:hAnsi="Times New Roman" w:cs="Times New Roman"/>
          <w:sz w:val="28"/>
          <w:szCs w:val="28"/>
        </w:rPr>
        <w:t>minēto</w:t>
      </w:r>
      <w:r w:rsidRPr="008B1310">
        <w:rPr>
          <w:rFonts w:ascii="Times New Roman" w:hAnsi="Times New Roman" w:cs="Times New Roman"/>
          <w:sz w:val="28"/>
          <w:szCs w:val="28"/>
        </w:rPr>
        <w:t xml:space="preserve"> atlīdzības apmēru, par turpmāk</w:t>
      </w:r>
      <w:r w:rsidR="000F2DF2">
        <w:rPr>
          <w:rFonts w:ascii="Times New Roman" w:hAnsi="Times New Roman" w:cs="Times New Roman"/>
          <w:sz w:val="28"/>
          <w:szCs w:val="28"/>
        </w:rPr>
        <w:t>ajām</w:t>
      </w:r>
      <w:r w:rsidRPr="008B1310">
        <w:rPr>
          <w:rFonts w:ascii="Times New Roman" w:hAnsi="Times New Roman" w:cs="Times New Roman"/>
          <w:sz w:val="28"/>
          <w:szCs w:val="28"/>
        </w:rPr>
        <w:t xml:space="preserve"> amata darbībām atlīdzību nepiemēro</w:t>
      </w:r>
      <w:r w:rsidR="005460B5">
        <w:rPr>
          <w:rFonts w:ascii="Times New Roman" w:hAnsi="Times New Roman" w:cs="Times New Roman"/>
          <w:sz w:val="28"/>
          <w:szCs w:val="28"/>
        </w:rPr>
        <w:t>, bet,</w:t>
      </w:r>
      <w:r w:rsidRPr="008B1310">
        <w:rPr>
          <w:rFonts w:ascii="Times New Roman" w:hAnsi="Times New Roman" w:cs="Times New Roman"/>
          <w:sz w:val="28"/>
          <w:szCs w:val="28"/>
        </w:rPr>
        <w:t xml:space="preserve"> </w:t>
      </w:r>
      <w:r w:rsidR="005460B5">
        <w:rPr>
          <w:rFonts w:ascii="Times New Roman" w:hAnsi="Times New Roman" w:cs="Times New Roman"/>
          <w:sz w:val="28"/>
          <w:szCs w:val="28"/>
        </w:rPr>
        <w:t>j</w:t>
      </w:r>
      <w:r w:rsidRPr="008B1310">
        <w:rPr>
          <w:rFonts w:ascii="Times New Roman" w:hAnsi="Times New Roman" w:cs="Times New Roman"/>
          <w:sz w:val="28"/>
          <w:szCs w:val="28"/>
        </w:rPr>
        <w:t xml:space="preserve">a atlīdzības kopsumma </w:t>
      </w:r>
      <w:r w:rsidR="000F2DF2">
        <w:rPr>
          <w:rFonts w:ascii="Times New Roman" w:hAnsi="Times New Roman" w:cs="Times New Roman"/>
          <w:sz w:val="28"/>
          <w:szCs w:val="28"/>
        </w:rPr>
        <w:t>ir mazāka</w:t>
      </w:r>
      <w:r w:rsidRPr="008B1310">
        <w:rPr>
          <w:rFonts w:ascii="Times New Roman" w:hAnsi="Times New Roman" w:cs="Times New Roman"/>
          <w:sz w:val="28"/>
          <w:szCs w:val="28"/>
        </w:rPr>
        <w:t>, par turpmāk</w:t>
      </w:r>
      <w:r w:rsidR="000F2DF2">
        <w:rPr>
          <w:rFonts w:ascii="Times New Roman" w:hAnsi="Times New Roman" w:cs="Times New Roman"/>
          <w:sz w:val="28"/>
          <w:szCs w:val="28"/>
        </w:rPr>
        <w:t>ajām</w:t>
      </w:r>
      <w:r w:rsidRPr="008B1310">
        <w:rPr>
          <w:rFonts w:ascii="Times New Roman" w:hAnsi="Times New Roman" w:cs="Times New Roman"/>
          <w:sz w:val="28"/>
          <w:szCs w:val="28"/>
        </w:rPr>
        <w:t xml:space="preserve"> amata darbībām atlīdzīb</w:t>
      </w:r>
      <w:r w:rsidR="00B205CF">
        <w:rPr>
          <w:rFonts w:ascii="Times New Roman" w:hAnsi="Times New Roman" w:cs="Times New Roman"/>
          <w:sz w:val="28"/>
          <w:szCs w:val="28"/>
        </w:rPr>
        <w:t>u</w:t>
      </w:r>
      <w:r w:rsidRPr="008B1310">
        <w:rPr>
          <w:rFonts w:ascii="Times New Roman" w:hAnsi="Times New Roman" w:cs="Times New Roman"/>
          <w:sz w:val="28"/>
          <w:szCs w:val="28"/>
        </w:rPr>
        <w:t xml:space="preserve"> aprēķina atb</w:t>
      </w:r>
      <w:r w:rsidR="00727E15">
        <w:rPr>
          <w:rFonts w:ascii="Times New Roman" w:hAnsi="Times New Roman" w:cs="Times New Roman"/>
          <w:sz w:val="28"/>
          <w:szCs w:val="28"/>
        </w:rPr>
        <w:t>ilstoši Ministru kabineta 2004.gada 28.decembra noteikumu Nr.1075 "</w:t>
      </w:r>
      <w:r w:rsidRPr="008B1310">
        <w:rPr>
          <w:rFonts w:ascii="Times New Roman" w:hAnsi="Times New Roman" w:cs="Times New Roman"/>
          <w:sz w:val="28"/>
          <w:szCs w:val="28"/>
        </w:rPr>
        <w:t>Noteikumi par zvērinātu tiesu izpi</w:t>
      </w:r>
      <w:r w:rsidR="00727E15">
        <w:rPr>
          <w:rFonts w:ascii="Times New Roman" w:hAnsi="Times New Roman" w:cs="Times New Roman"/>
          <w:sz w:val="28"/>
          <w:szCs w:val="28"/>
        </w:rPr>
        <w:t>ldītāju amata atlīdzības taksēm" 2.</w:t>
      </w:r>
      <w:r w:rsidRPr="008B1310">
        <w:rPr>
          <w:rFonts w:ascii="Times New Roman" w:hAnsi="Times New Roman" w:cs="Times New Roman"/>
          <w:sz w:val="28"/>
          <w:szCs w:val="28"/>
        </w:rPr>
        <w:t>punkt</w:t>
      </w:r>
      <w:r w:rsidR="000F2DF2">
        <w:rPr>
          <w:rFonts w:ascii="Times New Roman" w:hAnsi="Times New Roman" w:cs="Times New Roman"/>
          <w:sz w:val="28"/>
          <w:szCs w:val="28"/>
        </w:rPr>
        <w:t>am</w:t>
      </w:r>
      <w:r w:rsidRPr="008B1310">
        <w:rPr>
          <w:rFonts w:ascii="Times New Roman" w:hAnsi="Times New Roman" w:cs="Times New Roman"/>
          <w:sz w:val="28"/>
          <w:szCs w:val="28"/>
        </w:rPr>
        <w:t>, ciktāl atlīdzības kopsu</w:t>
      </w:r>
      <w:r w:rsidR="00727E15">
        <w:rPr>
          <w:rFonts w:ascii="Times New Roman" w:hAnsi="Times New Roman" w:cs="Times New Roman"/>
          <w:sz w:val="28"/>
          <w:szCs w:val="28"/>
        </w:rPr>
        <w:t>mma nepārsniedz šo noteikumu 3.</w:t>
      </w:r>
      <w:r w:rsidRPr="008B1310">
        <w:rPr>
          <w:rFonts w:ascii="Times New Roman" w:hAnsi="Times New Roman" w:cs="Times New Roman"/>
          <w:sz w:val="28"/>
          <w:szCs w:val="28"/>
        </w:rPr>
        <w:t>pun</w:t>
      </w:r>
      <w:r w:rsidR="00727E15">
        <w:rPr>
          <w:rFonts w:ascii="Times New Roman" w:hAnsi="Times New Roman" w:cs="Times New Roman"/>
          <w:sz w:val="28"/>
          <w:szCs w:val="28"/>
        </w:rPr>
        <w:t xml:space="preserve">ktā </w:t>
      </w:r>
      <w:r w:rsidR="000F2DF2">
        <w:rPr>
          <w:rFonts w:ascii="Times New Roman" w:hAnsi="Times New Roman" w:cs="Times New Roman"/>
          <w:sz w:val="28"/>
          <w:szCs w:val="28"/>
        </w:rPr>
        <w:t>minēto</w:t>
      </w:r>
      <w:r w:rsidR="00727E15">
        <w:rPr>
          <w:rFonts w:ascii="Times New Roman" w:hAnsi="Times New Roman" w:cs="Times New Roman"/>
          <w:sz w:val="28"/>
          <w:szCs w:val="28"/>
        </w:rPr>
        <w:t xml:space="preserve"> atlīdzības apmēru</w:t>
      </w:r>
      <w:r w:rsidR="000F2DF2">
        <w:rPr>
          <w:rFonts w:ascii="Times New Roman" w:hAnsi="Times New Roman" w:cs="Times New Roman"/>
          <w:sz w:val="28"/>
          <w:szCs w:val="28"/>
        </w:rPr>
        <w:t>;</w:t>
      </w:r>
    </w:p>
    <w:p w14:paraId="4FB2106E" w14:textId="2FD33BBD" w:rsidR="00BA23E4" w:rsidRPr="008B1310" w:rsidRDefault="00BA23E4" w:rsidP="008B1310">
      <w:pPr>
        <w:pStyle w:val="NoSpacing"/>
        <w:ind w:firstLine="720"/>
        <w:jc w:val="both"/>
        <w:rPr>
          <w:rFonts w:ascii="Times New Roman" w:hAnsi="Times New Roman" w:cs="Times New Roman"/>
          <w:sz w:val="28"/>
          <w:szCs w:val="28"/>
        </w:rPr>
      </w:pPr>
      <w:r w:rsidRPr="008B1310">
        <w:rPr>
          <w:rFonts w:ascii="Times New Roman" w:hAnsi="Times New Roman" w:cs="Times New Roman"/>
          <w:sz w:val="28"/>
          <w:szCs w:val="28"/>
        </w:rPr>
        <w:t xml:space="preserve">12.3. amata atlīdzību procentos no atgūtās summas aprēķina atbilstoši noteikumiem, kas ir spēkā sprieduma izpildes izdevumu aprēķina sastādīšanas </w:t>
      </w:r>
      <w:r w:rsidR="000F2DF2">
        <w:rPr>
          <w:rFonts w:ascii="Times New Roman" w:hAnsi="Times New Roman" w:cs="Times New Roman"/>
          <w:sz w:val="28"/>
          <w:szCs w:val="28"/>
        </w:rPr>
        <w:t>dienā</w:t>
      </w:r>
      <w:r w:rsidRPr="008B1310">
        <w:rPr>
          <w:rFonts w:ascii="Times New Roman" w:hAnsi="Times New Roman" w:cs="Times New Roman"/>
          <w:sz w:val="28"/>
          <w:szCs w:val="28"/>
        </w:rPr>
        <w:t>.</w:t>
      </w:r>
    </w:p>
    <w:p w14:paraId="4FB2106F" w14:textId="77777777" w:rsidR="00FA58DC" w:rsidRPr="008B1310" w:rsidRDefault="00FA58DC" w:rsidP="00727E15">
      <w:pPr>
        <w:pStyle w:val="NoSpacing"/>
        <w:ind w:firstLine="709"/>
        <w:jc w:val="both"/>
        <w:rPr>
          <w:rFonts w:ascii="Times New Roman" w:hAnsi="Times New Roman" w:cs="Times New Roman"/>
          <w:sz w:val="28"/>
          <w:szCs w:val="28"/>
        </w:rPr>
      </w:pPr>
    </w:p>
    <w:p w14:paraId="4FB21070" w14:textId="6F8A591A" w:rsidR="00FA58DC" w:rsidRPr="008B1310" w:rsidRDefault="008B3C41" w:rsidP="008B1310">
      <w:pPr>
        <w:pStyle w:val="NoSpacing"/>
        <w:ind w:firstLine="709"/>
        <w:jc w:val="both"/>
        <w:rPr>
          <w:rFonts w:ascii="Times New Roman" w:hAnsi="Times New Roman" w:cs="Times New Roman"/>
          <w:sz w:val="28"/>
          <w:szCs w:val="28"/>
        </w:rPr>
      </w:pPr>
      <w:r w:rsidRPr="008B1310">
        <w:rPr>
          <w:rFonts w:ascii="Times New Roman" w:hAnsi="Times New Roman" w:cs="Times New Roman"/>
          <w:sz w:val="28"/>
          <w:szCs w:val="28"/>
        </w:rPr>
        <w:t>13. </w:t>
      </w:r>
      <w:r w:rsidR="00727E15">
        <w:rPr>
          <w:rFonts w:ascii="Times New Roman" w:hAnsi="Times New Roman" w:cs="Times New Roman"/>
          <w:sz w:val="28"/>
          <w:szCs w:val="28"/>
        </w:rPr>
        <w:t>Šo noteikumu 6.13.</w:t>
      </w:r>
      <w:r w:rsidR="00AA6A72" w:rsidRPr="008B1310">
        <w:rPr>
          <w:rFonts w:ascii="Times New Roman" w:hAnsi="Times New Roman" w:cs="Times New Roman"/>
          <w:sz w:val="28"/>
          <w:szCs w:val="28"/>
        </w:rPr>
        <w:t>apakšpunkts stājas spēkā vienlaikus ar grozījumiem Tiesu izpildītāju likumā, kas paredz noteikt zvērinātiem tiesu izpildītājiem bezmantinieka mantas pārņemšanas un pārdošanas procesu administrēšanas funkciju.</w:t>
      </w:r>
    </w:p>
    <w:p w14:paraId="4FB21071" w14:textId="77777777" w:rsidR="00BA23E4" w:rsidRPr="008B1310" w:rsidRDefault="00BA23E4" w:rsidP="00727E15">
      <w:pPr>
        <w:ind w:firstLine="709"/>
        <w:jc w:val="both"/>
        <w:rPr>
          <w:sz w:val="28"/>
          <w:szCs w:val="28"/>
        </w:rPr>
      </w:pPr>
    </w:p>
    <w:p w14:paraId="4FB21072" w14:textId="36CF0B52" w:rsidR="00BA23E4" w:rsidRPr="008B1310" w:rsidRDefault="00BA23E4" w:rsidP="00727E15">
      <w:pPr>
        <w:ind w:firstLine="709"/>
        <w:jc w:val="both"/>
        <w:rPr>
          <w:sz w:val="28"/>
          <w:szCs w:val="28"/>
        </w:rPr>
      </w:pPr>
      <w:r w:rsidRPr="008B1310">
        <w:rPr>
          <w:sz w:val="28"/>
          <w:szCs w:val="28"/>
        </w:rPr>
        <w:t>1</w:t>
      </w:r>
      <w:r w:rsidR="008B3C41" w:rsidRPr="008B1310">
        <w:rPr>
          <w:sz w:val="28"/>
          <w:szCs w:val="28"/>
        </w:rPr>
        <w:t>4</w:t>
      </w:r>
      <w:r w:rsidRPr="008B1310">
        <w:rPr>
          <w:sz w:val="28"/>
          <w:szCs w:val="28"/>
        </w:rPr>
        <w:t>. Atzīt par spēku zaudējušiem Ministru kabineta</w:t>
      </w:r>
      <w:r w:rsidR="00880ED5">
        <w:rPr>
          <w:sz w:val="28"/>
          <w:szCs w:val="28"/>
        </w:rPr>
        <w:t xml:space="preserve"> 2004.gada 28.decembra noteikumus Nr.1075 "</w:t>
      </w:r>
      <w:r w:rsidRPr="008B1310">
        <w:rPr>
          <w:sz w:val="28"/>
          <w:szCs w:val="28"/>
        </w:rPr>
        <w:t>Noteikumi par zvērinātu tiesu izpi</w:t>
      </w:r>
      <w:r w:rsidR="00880ED5">
        <w:rPr>
          <w:sz w:val="28"/>
          <w:szCs w:val="28"/>
        </w:rPr>
        <w:t>ldītāju amata atlīdzības taksēm"</w:t>
      </w:r>
      <w:r w:rsidRPr="008B1310">
        <w:rPr>
          <w:sz w:val="28"/>
          <w:szCs w:val="28"/>
        </w:rPr>
        <w:t xml:space="preserve"> (Latvijas Vēstnesis 2004, 210.nr.; 2008, 178.nr.).</w:t>
      </w:r>
    </w:p>
    <w:p w14:paraId="4FB21073" w14:textId="77777777" w:rsidR="00BA23E4" w:rsidRPr="00B205CF" w:rsidRDefault="00BA23E4" w:rsidP="00880ED5">
      <w:pPr>
        <w:tabs>
          <w:tab w:val="left" w:pos="6521"/>
          <w:tab w:val="left" w:pos="6840"/>
        </w:tabs>
        <w:ind w:firstLine="709"/>
      </w:pPr>
    </w:p>
    <w:p w14:paraId="47B53947" w14:textId="77777777" w:rsidR="00880ED5" w:rsidRDefault="00880ED5" w:rsidP="00880ED5">
      <w:pPr>
        <w:tabs>
          <w:tab w:val="left" w:pos="6521"/>
          <w:tab w:val="left" w:pos="6840"/>
        </w:tabs>
        <w:ind w:firstLine="709"/>
      </w:pPr>
    </w:p>
    <w:p w14:paraId="71C5813A" w14:textId="77777777" w:rsidR="0066368D" w:rsidRPr="00B205CF" w:rsidRDefault="0066368D" w:rsidP="00880ED5">
      <w:pPr>
        <w:tabs>
          <w:tab w:val="left" w:pos="6521"/>
          <w:tab w:val="left" w:pos="6840"/>
        </w:tabs>
        <w:ind w:firstLine="709"/>
      </w:pPr>
    </w:p>
    <w:p w14:paraId="4FB21074" w14:textId="24880AEF" w:rsidR="00BA23E4" w:rsidRPr="008B1310" w:rsidRDefault="00880ED5" w:rsidP="00880ED5">
      <w:pPr>
        <w:tabs>
          <w:tab w:val="left" w:pos="6480"/>
          <w:tab w:val="left" w:pos="6521"/>
        </w:tabs>
        <w:ind w:firstLine="709"/>
        <w:jc w:val="both"/>
        <w:rPr>
          <w:sz w:val="28"/>
          <w:szCs w:val="28"/>
        </w:rPr>
      </w:pPr>
      <w:r>
        <w:rPr>
          <w:sz w:val="28"/>
          <w:szCs w:val="28"/>
        </w:rPr>
        <w:t>Ministru prezidents</w:t>
      </w:r>
      <w:r>
        <w:rPr>
          <w:sz w:val="28"/>
          <w:szCs w:val="28"/>
        </w:rPr>
        <w:tab/>
        <w:t>V.</w:t>
      </w:r>
      <w:r w:rsidR="00BA23E4" w:rsidRPr="008B1310">
        <w:rPr>
          <w:sz w:val="28"/>
          <w:szCs w:val="28"/>
        </w:rPr>
        <w:t>Dombrovskis</w:t>
      </w:r>
    </w:p>
    <w:p w14:paraId="5B6CA367" w14:textId="77777777" w:rsidR="0066368D" w:rsidRDefault="0066368D" w:rsidP="0066368D">
      <w:pPr>
        <w:pStyle w:val="PlainText"/>
        <w:spacing w:after="0"/>
        <w:rPr>
          <w:rFonts w:ascii="Times New Roman" w:hAnsi="Times New Roman" w:cs="Times New Roman"/>
          <w:sz w:val="28"/>
          <w:szCs w:val="28"/>
        </w:rPr>
      </w:pPr>
    </w:p>
    <w:p w14:paraId="0E3606CB" w14:textId="77777777" w:rsidR="0066368D" w:rsidRDefault="0066368D" w:rsidP="0066368D">
      <w:pPr>
        <w:pStyle w:val="PlainText"/>
        <w:spacing w:after="0"/>
        <w:rPr>
          <w:rFonts w:ascii="Times New Roman" w:hAnsi="Times New Roman" w:cs="Times New Roman"/>
          <w:sz w:val="28"/>
          <w:szCs w:val="28"/>
        </w:rPr>
      </w:pPr>
      <w:r>
        <w:rPr>
          <w:rFonts w:ascii="Times New Roman" w:hAnsi="Times New Roman" w:cs="Times New Roman"/>
          <w:sz w:val="28"/>
          <w:szCs w:val="28"/>
        </w:rPr>
        <w:t xml:space="preserve">Tieslietu ministra </w:t>
      </w:r>
    </w:p>
    <w:p w14:paraId="49AF52FE" w14:textId="77777777" w:rsidR="0066368D" w:rsidRDefault="0066368D" w:rsidP="0066368D">
      <w:pPr>
        <w:pStyle w:val="PlainText"/>
        <w:spacing w:after="0"/>
        <w:rPr>
          <w:rFonts w:ascii="Times New Roman" w:hAnsi="Times New Roman" w:cs="Times New Roman"/>
          <w:sz w:val="28"/>
          <w:szCs w:val="28"/>
        </w:rPr>
      </w:pPr>
      <w:r>
        <w:rPr>
          <w:rFonts w:ascii="Times New Roman" w:hAnsi="Times New Roman" w:cs="Times New Roman"/>
          <w:sz w:val="28"/>
          <w:szCs w:val="28"/>
        </w:rPr>
        <w:t>pienākumu izpildītāja,</w:t>
      </w:r>
    </w:p>
    <w:p w14:paraId="4FB21076" w14:textId="663A08B3" w:rsidR="00BA23E4" w:rsidRPr="0066368D" w:rsidRDefault="0066368D" w:rsidP="0066368D">
      <w:pPr>
        <w:tabs>
          <w:tab w:val="left" w:pos="6480"/>
          <w:tab w:val="left" w:pos="6521"/>
        </w:tabs>
        <w:ind w:firstLine="709"/>
        <w:jc w:val="both"/>
        <w:rPr>
          <w:sz w:val="28"/>
          <w:szCs w:val="28"/>
        </w:rPr>
      </w:pPr>
      <w:r>
        <w:rPr>
          <w:sz w:val="28"/>
          <w:szCs w:val="28"/>
        </w:rPr>
        <w:t xml:space="preserve">kultūras ministre                        </w:t>
      </w:r>
      <w:r>
        <w:rPr>
          <w:sz w:val="28"/>
          <w:szCs w:val="28"/>
        </w:rPr>
        <w:tab/>
      </w:r>
      <w:r>
        <w:rPr>
          <w:sz w:val="28"/>
          <w:szCs w:val="28"/>
        </w:rPr>
        <w:t>Ž.Jaunzeme-Grende</w:t>
      </w:r>
    </w:p>
    <w:sectPr w:rsidR="00BA23E4" w:rsidRPr="0066368D" w:rsidSect="00972E6D">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1080" w14:textId="77777777" w:rsidR="00F01F1A" w:rsidRDefault="00F01F1A" w:rsidP="00395F8A">
      <w:r>
        <w:separator/>
      </w:r>
    </w:p>
  </w:endnote>
  <w:endnote w:type="continuationSeparator" w:id="0">
    <w:p w14:paraId="4FB21081" w14:textId="77777777" w:rsidR="00F01F1A" w:rsidRDefault="00F01F1A" w:rsidP="0039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1FFA" w14:textId="01365E87" w:rsidR="00F01F1A" w:rsidRPr="00972E6D" w:rsidRDefault="00F01F1A">
    <w:pPr>
      <w:pStyle w:val="Footer"/>
      <w:rPr>
        <w:sz w:val="16"/>
        <w:szCs w:val="16"/>
      </w:rPr>
    </w:pPr>
    <w:r w:rsidRPr="00972E6D">
      <w:rPr>
        <w:sz w:val="16"/>
        <w:szCs w:val="16"/>
      </w:rPr>
      <w:t>N1236_2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3B07" w14:textId="45EBE0C8" w:rsidR="00F01F1A" w:rsidRPr="00972E6D" w:rsidRDefault="00F01F1A">
    <w:pPr>
      <w:pStyle w:val="Footer"/>
      <w:rPr>
        <w:sz w:val="16"/>
        <w:szCs w:val="16"/>
      </w:rPr>
    </w:pPr>
    <w:r w:rsidRPr="00972E6D">
      <w:rPr>
        <w:sz w:val="16"/>
        <w:szCs w:val="16"/>
      </w:rPr>
      <w:t>N1236_2</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sidR="0066368D">
      <w:rPr>
        <w:noProof/>
        <w:sz w:val="16"/>
        <w:szCs w:val="16"/>
      </w:rPr>
      <w:t>1119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2107E" w14:textId="77777777" w:rsidR="00F01F1A" w:rsidRDefault="00F01F1A" w:rsidP="00395F8A">
      <w:r>
        <w:separator/>
      </w:r>
    </w:p>
  </w:footnote>
  <w:footnote w:type="continuationSeparator" w:id="0">
    <w:p w14:paraId="4FB2107F" w14:textId="77777777" w:rsidR="00F01F1A" w:rsidRDefault="00F01F1A" w:rsidP="0039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082" w14:textId="77777777" w:rsidR="00F01F1A" w:rsidRDefault="00F01F1A" w:rsidP="00154C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B21083" w14:textId="77777777" w:rsidR="00F01F1A" w:rsidRDefault="00F01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084" w14:textId="77777777" w:rsidR="00F01F1A" w:rsidRDefault="00F01F1A" w:rsidP="00154C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68D">
      <w:rPr>
        <w:rStyle w:val="PageNumber"/>
        <w:noProof/>
      </w:rPr>
      <w:t>2</w:t>
    </w:r>
    <w:r>
      <w:rPr>
        <w:rStyle w:val="PageNumber"/>
      </w:rPr>
      <w:fldChar w:fldCharType="end"/>
    </w:r>
  </w:p>
  <w:p w14:paraId="4FB21085" w14:textId="77777777" w:rsidR="00F01F1A" w:rsidRDefault="00F01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BB2C" w14:textId="639E0D90" w:rsidR="00F01F1A" w:rsidRDefault="00F01F1A">
    <w:pPr>
      <w:pStyle w:val="Header"/>
    </w:pPr>
    <w:r>
      <w:rPr>
        <w:noProof/>
      </w:rPr>
      <w:drawing>
        <wp:inline distT="0" distB="0" distL="0" distR="0" wp14:anchorId="11BA6FAE" wp14:editId="7952413F">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0D2"/>
    <w:multiLevelType w:val="hybridMultilevel"/>
    <w:tmpl w:val="4906DF72"/>
    <w:lvl w:ilvl="0" w:tplc="A3B614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23E4"/>
    <w:rsid w:val="0002073E"/>
    <w:rsid w:val="0006363F"/>
    <w:rsid w:val="000652BF"/>
    <w:rsid w:val="000B0B81"/>
    <w:rsid w:val="000B4C2B"/>
    <w:rsid w:val="000C46C4"/>
    <w:rsid w:val="000E59A6"/>
    <w:rsid w:val="000F2DF2"/>
    <w:rsid w:val="00107B91"/>
    <w:rsid w:val="00110AF7"/>
    <w:rsid w:val="00121F76"/>
    <w:rsid w:val="001255FF"/>
    <w:rsid w:val="00133874"/>
    <w:rsid w:val="00154CAF"/>
    <w:rsid w:val="00163D30"/>
    <w:rsid w:val="001720B8"/>
    <w:rsid w:val="00180B9D"/>
    <w:rsid w:val="00183BFC"/>
    <w:rsid w:val="00197180"/>
    <w:rsid w:val="001F04F7"/>
    <w:rsid w:val="001F17A0"/>
    <w:rsid w:val="0021717E"/>
    <w:rsid w:val="002173AE"/>
    <w:rsid w:val="00225D74"/>
    <w:rsid w:val="002374ED"/>
    <w:rsid w:val="00265D50"/>
    <w:rsid w:val="00286447"/>
    <w:rsid w:val="00291988"/>
    <w:rsid w:val="002A36E5"/>
    <w:rsid w:val="002C481A"/>
    <w:rsid w:val="002E146E"/>
    <w:rsid w:val="002E5C8D"/>
    <w:rsid w:val="002F0221"/>
    <w:rsid w:val="002F4304"/>
    <w:rsid w:val="00305B62"/>
    <w:rsid w:val="00307E0E"/>
    <w:rsid w:val="00312201"/>
    <w:rsid w:val="00313946"/>
    <w:rsid w:val="003178F5"/>
    <w:rsid w:val="00332F56"/>
    <w:rsid w:val="00343412"/>
    <w:rsid w:val="003457A7"/>
    <w:rsid w:val="0034775C"/>
    <w:rsid w:val="003533D7"/>
    <w:rsid w:val="00353596"/>
    <w:rsid w:val="00371A4B"/>
    <w:rsid w:val="00375D16"/>
    <w:rsid w:val="003840FD"/>
    <w:rsid w:val="00395F8A"/>
    <w:rsid w:val="003970C1"/>
    <w:rsid w:val="003A2636"/>
    <w:rsid w:val="003A582F"/>
    <w:rsid w:val="003B1E97"/>
    <w:rsid w:val="003B259C"/>
    <w:rsid w:val="003B3B44"/>
    <w:rsid w:val="003C533E"/>
    <w:rsid w:val="003C5E0D"/>
    <w:rsid w:val="003E2A79"/>
    <w:rsid w:val="003E37BD"/>
    <w:rsid w:val="00434044"/>
    <w:rsid w:val="004527B2"/>
    <w:rsid w:val="0046300E"/>
    <w:rsid w:val="00485BC7"/>
    <w:rsid w:val="0048686A"/>
    <w:rsid w:val="00496DC2"/>
    <w:rsid w:val="004A4EE4"/>
    <w:rsid w:val="004B5F21"/>
    <w:rsid w:val="004C2B0B"/>
    <w:rsid w:val="004C2CF3"/>
    <w:rsid w:val="00506659"/>
    <w:rsid w:val="005069AC"/>
    <w:rsid w:val="0051283B"/>
    <w:rsid w:val="00522D8C"/>
    <w:rsid w:val="00527B31"/>
    <w:rsid w:val="005460B5"/>
    <w:rsid w:val="00570254"/>
    <w:rsid w:val="00574243"/>
    <w:rsid w:val="005757F8"/>
    <w:rsid w:val="0058193B"/>
    <w:rsid w:val="005A63FB"/>
    <w:rsid w:val="005B0367"/>
    <w:rsid w:val="005B6EB6"/>
    <w:rsid w:val="005C2BB1"/>
    <w:rsid w:val="005E1DBD"/>
    <w:rsid w:val="005E73AB"/>
    <w:rsid w:val="00614473"/>
    <w:rsid w:val="00620F5B"/>
    <w:rsid w:val="00631C7A"/>
    <w:rsid w:val="006506F4"/>
    <w:rsid w:val="006550AC"/>
    <w:rsid w:val="0066368D"/>
    <w:rsid w:val="00666FCF"/>
    <w:rsid w:val="00672839"/>
    <w:rsid w:val="00673C8B"/>
    <w:rsid w:val="006812F9"/>
    <w:rsid w:val="006E1335"/>
    <w:rsid w:val="006F17CA"/>
    <w:rsid w:val="006F48DF"/>
    <w:rsid w:val="00701475"/>
    <w:rsid w:val="0070371D"/>
    <w:rsid w:val="00722CC2"/>
    <w:rsid w:val="00727E15"/>
    <w:rsid w:val="00743974"/>
    <w:rsid w:val="007470B3"/>
    <w:rsid w:val="0075742C"/>
    <w:rsid w:val="00757D1D"/>
    <w:rsid w:val="00770C79"/>
    <w:rsid w:val="00794816"/>
    <w:rsid w:val="007A0223"/>
    <w:rsid w:val="007A261C"/>
    <w:rsid w:val="007A54CF"/>
    <w:rsid w:val="007B35AD"/>
    <w:rsid w:val="007D2BB2"/>
    <w:rsid w:val="007D786D"/>
    <w:rsid w:val="007F45E0"/>
    <w:rsid w:val="0080503A"/>
    <w:rsid w:val="00815992"/>
    <w:rsid w:val="00823859"/>
    <w:rsid w:val="00825B63"/>
    <w:rsid w:val="00826C95"/>
    <w:rsid w:val="00840156"/>
    <w:rsid w:val="008461D3"/>
    <w:rsid w:val="00852C8E"/>
    <w:rsid w:val="00880ED5"/>
    <w:rsid w:val="008B1310"/>
    <w:rsid w:val="008B2B47"/>
    <w:rsid w:val="008B3C41"/>
    <w:rsid w:val="008B4D66"/>
    <w:rsid w:val="008C5D77"/>
    <w:rsid w:val="00902EEF"/>
    <w:rsid w:val="009137A2"/>
    <w:rsid w:val="009158BD"/>
    <w:rsid w:val="00917D78"/>
    <w:rsid w:val="009249CC"/>
    <w:rsid w:val="00933D38"/>
    <w:rsid w:val="009351AA"/>
    <w:rsid w:val="0095052D"/>
    <w:rsid w:val="00964868"/>
    <w:rsid w:val="00972E6D"/>
    <w:rsid w:val="00973F7F"/>
    <w:rsid w:val="00977BD7"/>
    <w:rsid w:val="009822DA"/>
    <w:rsid w:val="009A1C13"/>
    <w:rsid w:val="009A774D"/>
    <w:rsid w:val="009B0258"/>
    <w:rsid w:val="009E0A87"/>
    <w:rsid w:val="009E4FAD"/>
    <w:rsid w:val="009F02F0"/>
    <w:rsid w:val="009F07EA"/>
    <w:rsid w:val="009F709D"/>
    <w:rsid w:val="00A20461"/>
    <w:rsid w:val="00A3529A"/>
    <w:rsid w:val="00A46DED"/>
    <w:rsid w:val="00A51C39"/>
    <w:rsid w:val="00A53040"/>
    <w:rsid w:val="00A55D77"/>
    <w:rsid w:val="00A55E91"/>
    <w:rsid w:val="00A86D5E"/>
    <w:rsid w:val="00A9168B"/>
    <w:rsid w:val="00AA6A72"/>
    <w:rsid w:val="00AB3C08"/>
    <w:rsid w:val="00AB4CD1"/>
    <w:rsid w:val="00AC27C9"/>
    <w:rsid w:val="00AD60C7"/>
    <w:rsid w:val="00AF575F"/>
    <w:rsid w:val="00AF622A"/>
    <w:rsid w:val="00B07887"/>
    <w:rsid w:val="00B12FFF"/>
    <w:rsid w:val="00B205CF"/>
    <w:rsid w:val="00B26876"/>
    <w:rsid w:val="00B32718"/>
    <w:rsid w:val="00B63952"/>
    <w:rsid w:val="00B65656"/>
    <w:rsid w:val="00B772F6"/>
    <w:rsid w:val="00B960BB"/>
    <w:rsid w:val="00BA0A49"/>
    <w:rsid w:val="00BA23E4"/>
    <w:rsid w:val="00BA738B"/>
    <w:rsid w:val="00BA7E38"/>
    <w:rsid w:val="00BB3D77"/>
    <w:rsid w:val="00BC3204"/>
    <w:rsid w:val="00BD1B47"/>
    <w:rsid w:val="00BF110F"/>
    <w:rsid w:val="00C23A6B"/>
    <w:rsid w:val="00C27732"/>
    <w:rsid w:val="00C3551D"/>
    <w:rsid w:val="00C80D33"/>
    <w:rsid w:val="00C90E14"/>
    <w:rsid w:val="00C95EE5"/>
    <w:rsid w:val="00CA5F4A"/>
    <w:rsid w:val="00CB1780"/>
    <w:rsid w:val="00CC094E"/>
    <w:rsid w:val="00CC3006"/>
    <w:rsid w:val="00CC4DE1"/>
    <w:rsid w:val="00CD0AC5"/>
    <w:rsid w:val="00CD2C76"/>
    <w:rsid w:val="00CD7D04"/>
    <w:rsid w:val="00CE33A0"/>
    <w:rsid w:val="00CE5906"/>
    <w:rsid w:val="00CF0DC4"/>
    <w:rsid w:val="00D16476"/>
    <w:rsid w:val="00D22BE7"/>
    <w:rsid w:val="00D23DE6"/>
    <w:rsid w:val="00D313A8"/>
    <w:rsid w:val="00D50338"/>
    <w:rsid w:val="00D651B3"/>
    <w:rsid w:val="00D72247"/>
    <w:rsid w:val="00D82450"/>
    <w:rsid w:val="00D8539A"/>
    <w:rsid w:val="00D94138"/>
    <w:rsid w:val="00DB49E7"/>
    <w:rsid w:val="00DC684E"/>
    <w:rsid w:val="00DC6E28"/>
    <w:rsid w:val="00DD4C3A"/>
    <w:rsid w:val="00DE4427"/>
    <w:rsid w:val="00E3627C"/>
    <w:rsid w:val="00E4429D"/>
    <w:rsid w:val="00E501E2"/>
    <w:rsid w:val="00E55826"/>
    <w:rsid w:val="00E76AD7"/>
    <w:rsid w:val="00E86960"/>
    <w:rsid w:val="00E90E0C"/>
    <w:rsid w:val="00EA07CB"/>
    <w:rsid w:val="00EA577F"/>
    <w:rsid w:val="00EB198E"/>
    <w:rsid w:val="00EB77B3"/>
    <w:rsid w:val="00ED077D"/>
    <w:rsid w:val="00EE00E8"/>
    <w:rsid w:val="00EF75CA"/>
    <w:rsid w:val="00F01F1A"/>
    <w:rsid w:val="00F04904"/>
    <w:rsid w:val="00F123D1"/>
    <w:rsid w:val="00F161BF"/>
    <w:rsid w:val="00F227B0"/>
    <w:rsid w:val="00F236FB"/>
    <w:rsid w:val="00F35B4F"/>
    <w:rsid w:val="00F37286"/>
    <w:rsid w:val="00F5091F"/>
    <w:rsid w:val="00F5181E"/>
    <w:rsid w:val="00F5443E"/>
    <w:rsid w:val="00F546AB"/>
    <w:rsid w:val="00F55AF5"/>
    <w:rsid w:val="00F611BF"/>
    <w:rsid w:val="00F724AE"/>
    <w:rsid w:val="00F77280"/>
    <w:rsid w:val="00FA58DC"/>
    <w:rsid w:val="00FC4064"/>
    <w:rsid w:val="00FC6D7B"/>
    <w:rsid w:val="00FE0898"/>
    <w:rsid w:val="00FE3466"/>
    <w:rsid w:val="00FF1684"/>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4"/>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BA23E4"/>
    <w:pPr>
      <w:spacing w:before="100" w:beforeAutospacing="1" w:after="100" w:afterAutospacing="1"/>
    </w:pPr>
  </w:style>
  <w:style w:type="paragraph" w:styleId="Header">
    <w:name w:val="header"/>
    <w:basedOn w:val="Normal"/>
    <w:link w:val="HeaderChar"/>
    <w:rsid w:val="00BA23E4"/>
    <w:pPr>
      <w:tabs>
        <w:tab w:val="center" w:pos="4153"/>
        <w:tab w:val="right" w:pos="8306"/>
      </w:tabs>
    </w:pPr>
  </w:style>
  <w:style w:type="character" w:customStyle="1" w:styleId="HeaderChar">
    <w:name w:val="Header Char"/>
    <w:basedOn w:val="DefaultParagraphFont"/>
    <w:link w:val="Header"/>
    <w:rsid w:val="00BA23E4"/>
    <w:rPr>
      <w:rFonts w:eastAsia="Times New Roman"/>
      <w:szCs w:val="24"/>
      <w:lang w:eastAsia="lv-LV"/>
    </w:rPr>
  </w:style>
  <w:style w:type="character" w:styleId="PageNumber">
    <w:name w:val="page number"/>
    <w:basedOn w:val="DefaultParagraphFont"/>
    <w:rsid w:val="00BA23E4"/>
  </w:style>
  <w:style w:type="paragraph" w:customStyle="1" w:styleId="naisf">
    <w:name w:val="naisf"/>
    <w:basedOn w:val="Normal"/>
    <w:rsid w:val="00BA23E4"/>
    <w:pPr>
      <w:spacing w:before="100" w:beforeAutospacing="1" w:after="100" w:afterAutospacing="1"/>
    </w:pPr>
  </w:style>
  <w:style w:type="paragraph" w:styleId="NoSpacing">
    <w:name w:val="No Spacing"/>
    <w:uiPriority w:val="1"/>
    <w:qFormat/>
    <w:rsid w:val="00BA23E4"/>
    <w:pPr>
      <w:spacing w:after="0" w:line="240" w:lineRule="auto"/>
    </w:pPr>
    <w:rPr>
      <w:rFonts w:asciiTheme="minorHAnsi" w:hAnsiTheme="minorHAnsi" w:cstheme="minorBidi"/>
      <w:sz w:val="22"/>
      <w:szCs w:val="22"/>
    </w:rPr>
  </w:style>
  <w:style w:type="table" w:styleId="TableGrid">
    <w:name w:val="Table Grid"/>
    <w:basedOn w:val="TableNormal"/>
    <w:uiPriority w:val="59"/>
    <w:rsid w:val="00BA23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F7F"/>
    <w:rPr>
      <w:rFonts w:ascii="Tahoma" w:hAnsi="Tahoma" w:cs="Tahoma"/>
      <w:sz w:val="16"/>
      <w:szCs w:val="16"/>
    </w:rPr>
  </w:style>
  <w:style w:type="character" w:customStyle="1" w:styleId="BalloonTextChar">
    <w:name w:val="Balloon Text Char"/>
    <w:basedOn w:val="DefaultParagraphFont"/>
    <w:link w:val="BalloonText"/>
    <w:uiPriority w:val="99"/>
    <w:semiHidden/>
    <w:rsid w:val="00973F7F"/>
    <w:rPr>
      <w:rFonts w:ascii="Tahoma" w:eastAsia="Times New Roman" w:hAnsi="Tahoma" w:cs="Tahoma"/>
      <w:sz w:val="16"/>
      <w:szCs w:val="16"/>
      <w:lang w:eastAsia="lv-LV"/>
    </w:rPr>
  </w:style>
  <w:style w:type="paragraph" w:styleId="Footer">
    <w:name w:val="footer"/>
    <w:basedOn w:val="Normal"/>
    <w:link w:val="FooterChar"/>
    <w:uiPriority w:val="99"/>
    <w:unhideWhenUsed/>
    <w:rsid w:val="00C95EE5"/>
    <w:pPr>
      <w:tabs>
        <w:tab w:val="center" w:pos="4153"/>
        <w:tab w:val="right" w:pos="8306"/>
      </w:tabs>
    </w:pPr>
  </w:style>
  <w:style w:type="character" w:customStyle="1" w:styleId="FooterChar">
    <w:name w:val="Footer Char"/>
    <w:basedOn w:val="DefaultParagraphFont"/>
    <w:link w:val="Footer"/>
    <w:uiPriority w:val="99"/>
    <w:rsid w:val="00C95EE5"/>
    <w:rPr>
      <w:rFonts w:eastAsia="Times New Roman"/>
      <w:szCs w:val="24"/>
      <w:lang w:eastAsia="lv-LV"/>
    </w:rPr>
  </w:style>
  <w:style w:type="paragraph" w:styleId="PlainText">
    <w:name w:val="Plain Text"/>
    <w:basedOn w:val="Normal"/>
    <w:link w:val="PlainTextChar"/>
    <w:uiPriority w:val="99"/>
    <w:unhideWhenUsed/>
    <w:rsid w:val="0066368D"/>
    <w:pPr>
      <w:spacing w:after="120"/>
      <w:ind w:firstLine="720"/>
      <w:jc w:val="both"/>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66368D"/>
    <w:rPr>
      <w:rFonts w:ascii="Courier New"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1135</Words>
  <Characters>7157</Characters>
  <Application>Microsoft Office Word</Application>
  <DocSecurity>0</DocSecurity>
  <Lines>193</Lines>
  <Paragraphs>109</Paragraphs>
  <ScaleCrop>false</ScaleCrop>
  <HeadingPairs>
    <vt:vector size="2" baseType="variant">
      <vt:variant>
        <vt:lpstr>Title</vt:lpstr>
      </vt:variant>
      <vt:variant>
        <vt:i4>1</vt:i4>
      </vt:variant>
    </vt:vector>
  </HeadingPairs>
  <TitlesOfParts>
    <vt:vector size="1" baseType="lpstr">
      <vt:lpstr>Noteikumi par zvērinātu tiesu izpildītāju amata atlīdzības taksēm</vt:lpstr>
    </vt:vector>
  </TitlesOfParts>
  <Company>Tieslietu Ministrija</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zvērinātu tiesu izpildītāju amata atlīdzības taksēm</dc:title>
  <dc:subject>MK noteikumi</dc:subject>
  <dc:creator>Tieslietu ministrija</dc:creator>
  <cp:keywords/>
  <dc:description>evija.timpare@tm.gov.lv_x000d_
67036829</dc:description>
  <cp:lastModifiedBy>Gita Sniega</cp:lastModifiedBy>
  <cp:revision>20</cp:revision>
  <cp:lastPrinted>2012-06-26T05:20:00Z</cp:lastPrinted>
  <dcterms:created xsi:type="dcterms:W3CDTF">2012-04-02T06:31:00Z</dcterms:created>
  <dcterms:modified xsi:type="dcterms:W3CDTF">2012-06-26T05:20:00Z</dcterms:modified>
</cp:coreProperties>
</file>