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16" w:rsidRDefault="00055F16" w:rsidP="00522D67">
      <w:pPr>
        <w:rPr>
          <w:sz w:val="28"/>
          <w:szCs w:val="28"/>
        </w:rPr>
      </w:pPr>
    </w:p>
    <w:p w:rsidR="00055F16" w:rsidRPr="00522D67" w:rsidRDefault="00055F16" w:rsidP="00522D67">
      <w:pPr>
        <w:rPr>
          <w:sz w:val="28"/>
          <w:szCs w:val="28"/>
        </w:rPr>
      </w:pPr>
    </w:p>
    <w:p w:rsidR="00055F16" w:rsidRPr="00522D67" w:rsidRDefault="00055F16" w:rsidP="00522D67">
      <w:pPr>
        <w:rPr>
          <w:sz w:val="28"/>
          <w:szCs w:val="28"/>
        </w:rPr>
      </w:pPr>
    </w:p>
    <w:p w:rsidR="00055F16" w:rsidRPr="00522D67" w:rsidRDefault="00055F16" w:rsidP="00522D67">
      <w:pPr>
        <w:rPr>
          <w:sz w:val="28"/>
          <w:szCs w:val="28"/>
        </w:rPr>
      </w:pPr>
    </w:p>
    <w:p w:rsidR="00055F16" w:rsidRPr="00522D67" w:rsidRDefault="00055F16" w:rsidP="00522D67">
      <w:pPr>
        <w:rPr>
          <w:sz w:val="28"/>
          <w:szCs w:val="28"/>
        </w:rPr>
      </w:pPr>
    </w:p>
    <w:p w:rsidR="00055F16" w:rsidRPr="00522D67" w:rsidRDefault="00055F16" w:rsidP="00522D67">
      <w:pPr>
        <w:tabs>
          <w:tab w:val="left" w:pos="6521"/>
        </w:tabs>
        <w:rPr>
          <w:sz w:val="28"/>
          <w:szCs w:val="28"/>
        </w:rPr>
      </w:pPr>
      <w:r w:rsidRPr="00522D67">
        <w:rPr>
          <w:sz w:val="28"/>
          <w:szCs w:val="28"/>
        </w:rPr>
        <w:t>2012.gada</w:t>
      </w:r>
      <w:r>
        <w:rPr>
          <w:sz w:val="28"/>
          <w:szCs w:val="28"/>
        </w:rPr>
        <w:t xml:space="preserve"> 21.februārī</w:t>
      </w:r>
      <w:r w:rsidRPr="00522D67">
        <w:rPr>
          <w:sz w:val="28"/>
          <w:szCs w:val="28"/>
        </w:rPr>
        <w:tab/>
        <w:t>Noteikumi Nr.</w:t>
      </w:r>
      <w:r>
        <w:rPr>
          <w:sz w:val="28"/>
          <w:szCs w:val="28"/>
        </w:rPr>
        <w:t>123</w:t>
      </w:r>
    </w:p>
    <w:p w:rsidR="00055F16" w:rsidRPr="00522D67" w:rsidRDefault="00055F16" w:rsidP="00522D67">
      <w:pPr>
        <w:tabs>
          <w:tab w:val="left" w:pos="6521"/>
        </w:tabs>
        <w:rPr>
          <w:sz w:val="28"/>
          <w:szCs w:val="28"/>
        </w:rPr>
      </w:pPr>
      <w:r w:rsidRPr="00522D67">
        <w:rPr>
          <w:sz w:val="28"/>
          <w:szCs w:val="28"/>
        </w:rPr>
        <w:t>Rīgā</w:t>
      </w:r>
      <w:r w:rsidRPr="00522D67">
        <w:rPr>
          <w:sz w:val="28"/>
          <w:szCs w:val="28"/>
        </w:rPr>
        <w:tab/>
        <w:t>(prot. Nr.</w:t>
      </w:r>
      <w:r>
        <w:rPr>
          <w:sz w:val="28"/>
          <w:szCs w:val="28"/>
        </w:rPr>
        <w:t>10 23</w:t>
      </w:r>
      <w:r w:rsidRPr="00522D67">
        <w:rPr>
          <w:sz w:val="28"/>
          <w:szCs w:val="28"/>
        </w:rPr>
        <w:t>.§)</w:t>
      </w:r>
    </w:p>
    <w:p w:rsidR="00055F16" w:rsidRPr="00522D67" w:rsidRDefault="00055F16" w:rsidP="00494935">
      <w:pPr>
        <w:ind w:firstLine="720"/>
        <w:jc w:val="both"/>
        <w:rPr>
          <w:sz w:val="28"/>
          <w:szCs w:val="28"/>
        </w:rPr>
      </w:pPr>
      <w:bookmarkStart w:id="0" w:name="OLE_LINK7"/>
      <w:bookmarkStart w:id="1" w:name="OLE_LINK8"/>
    </w:p>
    <w:p w:rsidR="00055F16" w:rsidRPr="00522D67" w:rsidRDefault="00055F16" w:rsidP="00522D67">
      <w:pPr>
        <w:jc w:val="center"/>
        <w:rPr>
          <w:b/>
          <w:sz w:val="28"/>
          <w:szCs w:val="28"/>
        </w:rPr>
      </w:pPr>
      <w:r w:rsidRPr="00522D67">
        <w:rPr>
          <w:b/>
          <w:bCs/>
          <w:sz w:val="28"/>
          <w:szCs w:val="28"/>
        </w:rPr>
        <w:t>Grozījumi Ministru kabineta 2011.gada 30.augusta noteikumos Nr.</w:t>
      </w:r>
      <w:r>
        <w:rPr>
          <w:b/>
          <w:bCs/>
          <w:sz w:val="28"/>
          <w:szCs w:val="28"/>
        </w:rPr>
        <w:t>670 "</w:t>
      </w:r>
      <w:r w:rsidRPr="00522D67">
        <w:rPr>
          <w:b/>
          <w:bCs/>
          <w:sz w:val="28"/>
          <w:szCs w:val="28"/>
        </w:rPr>
        <w:t>Noteikumi par izpildu darbību veikšanai nepieciešamo izdevumu apmēru un to maksāšanas kārtību</w:t>
      </w:r>
      <w:r>
        <w:rPr>
          <w:b/>
          <w:bCs/>
          <w:sz w:val="28"/>
          <w:szCs w:val="28"/>
        </w:rPr>
        <w:t>"</w:t>
      </w:r>
    </w:p>
    <w:bookmarkEnd w:id="0"/>
    <w:bookmarkEnd w:id="1"/>
    <w:p w:rsidR="00055F16" w:rsidRPr="00522D67" w:rsidRDefault="00055F16" w:rsidP="00494935">
      <w:pPr>
        <w:ind w:firstLine="720"/>
        <w:jc w:val="both"/>
        <w:rPr>
          <w:sz w:val="28"/>
          <w:szCs w:val="28"/>
        </w:rPr>
      </w:pPr>
    </w:p>
    <w:p w:rsidR="00055F16" w:rsidRDefault="00055F16" w:rsidP="00522D67">
      <w:pPr>
        <w:jc w:val="right"/>
        <w:rPr>
          <w:sz w:val="28"/>
          <w:szCs w:val="28"/>
        </w:rPr>
      </w:pPr>
      <w:r>
        <w:rPr>
          <w:sz w:val="28"/>
          <w:szCs w:val="28"/>
        </w:rPr>
        <w:t>Izdoti saskaņā ar</w:t>
      </w:r>
    </w:p>
    <w:p w:rsidR="00055F16" w:rsidRPr="00522D67" w:rsidRDefault="00055F16" w:rsidP="00522D67">
      <w:pPr>
        <w:jc w:val="right"/>
        <w:rPr>
          <w:sz w:val="28"/>
          <w:szCs w:val="28"/>
        </w:rPr>
      </w:pPr>
      <w:r w:rsidRPr="00522D67">
        <w:rPr>
          <w:sz w:val="28"/>
          <w:szCs w:val="28"/>
        </w:rPr>
        <w:t>Civilprocesa likuma</w:t>
      </w:r>
    </w:p>
    <w:p w:rsidR="00055F16" w:rsidRDefault="00055F16" w:rsidP="00522D67">
      <w:pPr>
        <w:pStyle w:val="naislab"/>
        <w:spacing w:before="0" w:beforeAutospacing="0" w:after="0" w:afterAutospacing="0"/>
        <w:jc w:val="right"/>
        <w:rPr>
          <w:sz w:val="28"/>
          <w:szCs w:val="28"/>
        </w:rPr>
      </w:pPr>
      <w:r>
        <w:rPr>
          <w:sz w:val="28"/>
          <w:szCs w:val="28"/>
        </w:rPr>
        <w:t>567.panta ceturto daļu un</w:t>
      </w:r>
    </w:p>
    <w:p w:rsidR="00055F16" w:rsidRPr="00522D67" w:rsidRDefault="00055F16" w:rsidP="00522D67">
      <w:pPr>
        <w:pStyle w:val="naislab"/>
        <w:spacing w:before="0" w:beforeAutospacing="0" w:after="0" w:afterAutospacing="0"/>
        <w:jc w:val="right"/>
        <w:rPr>
          <w:sz w:val="28"/>
          <w:szCs w:val="28"/>
        </w:rPr>
      </w:pPr>
      <w:r w:rsidRPr="00522D67">
        <w:rPr>
          <w:sz w:val="28"/>
          <w:szCs w:val="28"/>
        </w:rPr>
        <w:t>620.</w:t>
      </w:r>
      <w:r w:rsidRPr="00522D67">
        <w:rPr>
          <w:sz w:val="28"/>
          <w:szCs w:val="28"/>
          <w:vertAlign w:val="superscript"/>
        </w:rPr>
        <w:t>10</w:t>
      </w:r>
      <w:r w:rsidRPr="00494935">
        <w:rPr>
          <w:sz w:val="28"/>
          <w:szCs w:val="28"/>
          <w:vertAlign w:val="superscript"/>
        </w:rPr>
        <w:t> </w:t>
      </w:r>
      <w:r w:rsidRPr="00522D67">
        <w:rPr>
          <w:sz w:val="28"/>
          <w:szCs w:val="28"/>
        </w:rPr>
        <w:t>panta otro daļu</w:t>
      </w:r>
    </w:p>
    <w:p w:rsidR="00055F16" w:rsidRPr="00522D67" w:rsidRDefault="00055F16" w:rsidP="00522D67">
      <w:pPr>
        <w:ind w:firstLine="720"/>
        <w:jc w:val="both"/>
        <w:rPr>
          <w:sz w:val="28"/>
          <w:szCs w:val="28"/>
        </w:rPr>
      </w:pPr>
    </w:p>
    <w:p w:rsidR="00055F16" w:rsidRPr="00522D67" w:rsidRDefault="00055F16" w:rsidP="0044774B">
      <w:pPr>
        <w:ind w:firstLine="720"/>
        <w:jc w:val="both"/>
        <w:rPr>
          <w:bCs/>
          <w:sz w:val="28"/>
          <w:szCs w:val="28"/>
        </w:rPr>
      </w:pPr>
      <w:r w:rsidRPr="00522D67">
        <w:rPr>
          <w:sz w:val="28"/>
          <w:szCs w:val="28"/>
        </w:rPr>
        <w:t xml:space="preserve">Izdarīt </w:t>
      </w:r>
      <w:r w:rsidRPr="00522D67">
        <w:rPr>
          <w:bCs/>
          <w:sz w:val="28"/>
          <w:szCs w:val="28"/>
        </w:rPr>
        <w:t>Ministru kabineta 2011.gada 30.augusta noteikumos Nr.6</w:t>
      </w:r>
      <w:r>
        <w:rPr>
          <w:bCs/>
          <w:sz w:val="28"/>
          <w:szCs w:val="28"/>
        </w:rPr>
        <w:t>70 "</w:t>
      </w:r>
      <w:r w:rsidRPr="00522D67">
        <w:rPr>
          <w:bCs/>
          <w:sz w:val="28"/>
          <w:szCs w:val="28"/>
        </w:rPr>
        <w:t>Noteikumi par izpildu darbību veikšanai nepieciešamo izdevumu apmēru un to maksāšanas kārtību</w:t>
      </w:r>
      <w:r>
        <w:rPr>
          <w:bCs/>
          <w:sz w:val="28"/>
          <w:szCs w:val="28"/>
        </w:rPr>
        <w:t>"</w:t>
      </w:r>
      <w:r w:rsidRPr="00522D67">
        <w:rPr>
          <w:bCs/>
          <w:sz w:val="28"/>
          <w:szCs w:val="28"/>
        </w:rPr>
        <w:t xml:space="preserve"> </w:t>
      </w:r>
      <w:r w:rsidRPr="00522D67">
        <w:rPr>
          <w:sz w:val="28"/>
          <w:szCs w:val="28"/>
        </w:rPr>
        <w:t>(Latvijas Vēstnesis, 2011</w:t>
      </w:r>
      <w:r>
        <w:rPr>
          <w:sz w:val="28"/>
          <w:szCs w:val="28"/>
        </w:rPr>
        <w:t>,</w:t>
      </w:r>
      <w:r w:rsidRPr="00522D67">
        <w:rPr>
          <w:sz w:val="28"/>
          <w:szCs w:val="28"/>
        </w:rPr>
        <w:t xml:space="preserve"> 137.nr.) šādus grozījumus:</w:t>
      </w:r>
    </w:p>
    <w:p w:rsidR="00055F16" w:rsidRPr="00522D67" w:rsidRDefault="00055F16" w:rsidP="0044774B">
      <w:pPr>
        <w:ind w:firstLine="720"/>
        <w:jc w:val="both"/>
        <w:rPr>
          <w:sz w:val="28"/>
          <w:szCs w:val="28"/>
        </w:rPr>
      </w:pPr>
    </w:p>
    <w:p w:rsidR="00055F16" w:rsidRDefault="00055F16" w:rsidP="0044774B">
      <w:pPr>
        <w:pStyle w:val="ListParagraph"/>
        <w:ind w:left="0" w:firstLine="720"/>
        <w:jc w:val="both"/>
        <w:rPr>
          <w:sz w:val="28"/>
          <w:szCs w:val="28"/>
        </w:rPr>
      </w:pPr>
      <w:r w:rsidRPr="00522D67">
        <w:rPr>
          <w:sz w:val="28"/>
          <w:szCs w:val="28"/>
        </w:rPr>
        <w:t>1. Izteikt norādi, uz kāda likuma pamata noteikumi izdoti, šādā redakcijā:</w:t>
      </w:r>
    </w:p>
    <w:p w:rsidR="00055F16" w:rsidRPr="00522D67" w:rsidRDefault="00055F16" w:rsidP="0044774B">
      <w:pPr>
        <w:pStyle w:val="ListParagraph"/>
        <w:ind w:left="0" w:firstLine="720"/>
        <w:jc w:val="both"/>
        <w:rPr>
          <w:sz w:val="28"/>
          <w:szCs w:val="28"/>
        </w:rPr>
      </w:pPr>
    </w:p>
    <w:p w:rsidR="00055F16" w:rsidRPr="00522D67" w:rsidRDefault="00055F16" w:rsidP="0044774B">
      <w:pPr>
        <w:pStyle w:val="BodyText2"/>
        <w:spacing w:line="240" w:lineRule="auto"/>
        <w:ind w:firstLine="720"/>
        <w:jc w:val="both"/>
        <w:rPr>
          <w:b w:val="0"/>
          <w:szCs w:val="28"/>
        </w:rPr>
      </w:pPr>
      <w:r>
        <w:rPr>
          <w:b w:val="0"/>
          <w:szCs w:val="28"/>
        </w:rPr>
        <w:t>"</w:t>
      </w:r>
      <w:r w:rsidRPr="00522D67">
        <w:rPr>
          <w:b w:val="0"/>
          <w:szCs w:val="28"/>
        </w:rPr>
        <w:t>Izdoti sask</w:t>
      </w:r>
      <w:r>
        <w:rPr>
          <w:b w:val="0"/>
          <w:szCs w:val="28"/>
        </w:rPr>
        <w:t>aņā ar Civilprocesa likuma 567.</w:t>
      </w:r>
      <w:r w:rsidRPr="00522D67">
        <w:rPr>
          <w:b w:val="0"/>
          <w:szCs w:val="28"/>
        </w:rPr>
        <w:t>panta ceturto daļu un 620.</w:t>
      </w:r>
      <w:r w:rsidRPr="00522D67">
        <w:rPr>
          <w:b w:val="0"/>
          <w:szCs w:val="28"/>
          <w:vertAlign w:val="superscript"/>
        </w:rPr>
        <w:t>10</w:t>
      </w:r>
      <w:r w:rsidRPr="00522D67">
        <w:rPr>
          <w:b w:val="0"/>
          <w:szCs w:val="28"/>
        </w:rPr>
        <w:t> panta otro daļu</w:t>
      </w:r>
      <w:r>
        <w:rPr>
          <w:b w:val="0"/>
          <w:szCs w:val="28"/>
        </w:rPr>
        <w:t>".</w:t>
      </w:r>
    </w:p>
    <w:p w:rsidR="00055F16" w:rsidRPr="00522D67" w:rsidRDefault="00055F16" w:rsidP="0044774B">
      <w:pPr>
        <w:ind w:firstLine="720"/>
        <w:jc w:val="both"/>
        <w:rPr>
          <w:sz w:val="28"/>
          <w:szCs w:val="28"/>
        </w:rPr>
      </w:pPr>
    </w:p>
    <w:p w:rsidR="00055F16" w:rsidRPr="00522D67" w:rsidRDefault="00055F16" w:rsidP="0044774B">
      <w:pPr>
        <w:pStyle w:val="BodyText2"/>
        <w:spacing w:line="240" w:lineRule="auto"/>
        <w:ind w:firstLine="720"/>
        <w:jc w:val="both"/>
        <w:rPr>
          <w:b w:val="0"/>
          <w:szCs w:val="28"/>
        </w:rPr>
      </w:pPr>
      <w:r>
        <w:rPr>
          <w:b w:val="0"/>
          <w:szCs w:val="28"/>
        </w:rPr>
        <w:t>2. Izteikt 1.</w:t>
      </w:r>
      <w:r w:rsidRPr="00522D67">
        <w:rPr>
          <w:b w:val="0"/>
          <w:szCs w:val="28"/>
        </w:rPr>
        <w:t>punktu šādā redakcijā:</w:t>
      </w:r>
    </w:p>
    <w:p w:rsidR="00055F16" w:rsidRPr="00522D67" w:rsidRDefault="00055F16" w:rsidP="0044774B">
      <w:pPr>
        <w:ind w:firstLine="720"/>
        <w:jc w:val="both"/>
        <w:rPr>
          <w:sz w:val="28"/>
          <w:szCs w:val="28"/>
        </w:rPr>
      </w:pPr>
    </w:p>
    <w:p w:rsidR="00055F16" w:rsidRPr="00522D67" w:rsidRDefault="00055F16" w:rsidP="0044774B">
      <w:pPr>
        <w:ind w:firstLine="720"/>
        <w:jc w:val="both"/>
        <w:rPr>
          <w:sz w:val="28"/>
          <w:szCs w:val="28"/>
        </w:rPr>
      </w:pPr>
      <w:r>
        <w:rPr>
          <w:sz w:val="28"/>
          <w:szCs w:val="28"/>
        </w:rPr>
        <w:t>"</w:t>
      </w:r>
      <w:r w:rsidRPr="00522D67">
        <w:rPr>
          <w:sz w:val="28"/>
          <w:szCs w:val="28"/>
        </w:rPr>
        <w:t>1. Noteikumi nosaka izpildu darbību veikšanai nepieciešamo izdevumu apmēru un to maksā</w:t>
      </w:r>
      <w:bookmarkStart w:id="2" w:name="_GoBack"/>
      <w:bookmarkEnd w:id="2"/>
      <w:r w:rsidRPr="00522D67">
        <w:rPr>
          <w:sz w:val="28"/>
          <w:szCs w:val="28"/>
        </w:rPr>
        <w:t>šanas kārtību, kā arī ar nolēmuma izpildes nodrošināšanu saistīto izdevumu apmēru un maksāšanas kārtību l</w:t>
      </w:r>
      <w:r w:rsidRPr="00522D67">
        <w:rPr>
          <w:sz w:val="28"/>
          <w:szCs w:val="28"/>
          <w:lang w:eastAsia="en-US"/>
        </w:rPr>
        <w:t>ietās par bērna nogādāšanu atpakaļ uz valsti, kurā ir viņa dzīvesvieta.</w:t>
      </w:r>
      <w:r>
        <w:rPr>
          <w:sz w:val="28"/>
          <w:szCs w:val="28"/>
        </w:rPr>
        <w:t>"</w:t>
      </w:r>
    </w:p>
    <w:p w:rsidR="00055F16" w:rsidRPr="00522D67" w:rsidRDefault="00055F16" w:rsidP="0044774B">
      <w:pPr>
        <w:pStyle w:val="BodyText2"/>
        <w:spacing w:line="240" w:lineRule="auto"/>
        <w:ind w:firstLine="720"/>
        <w:jc w:val="both"/>
        <w:rPr>
          <w:b w:val="0"/>
          <w:szCs w:val="28"/>
        </w:rPr>
      </w:pPr>
    </w:p>
    <w:p w:rsidR="00055F16" w:rsidRPr="00522D67" w:rsidRDefault="00055F16" w:rsidP="0044774B">
      <w:pPr>
        <w:ind w:firstLine="720"/>
        <w:jc w:val="both"/>
        <w:rPr>
          <w:sz w:val="28"/>
          <w:szCs w:val="28"/>
        </w:rPr>
      </w:pPr>
      <w:r w:rsidRPr="00522D67">
        <w:rPr>
          <w:sz w:val="28"/>
          <w:szCs w:val="28"/>
        </w:rPr>
        <w:t>3. Papildināt II</w:t>
      </w:r>
      <w:r>
        <w:rPr>
          <w:sz w:val="28"/>
          <w:szCs w:val="28"/>
        </w:rPr>
        <w:t xml:space="preserve"> </w:t>
      </w:r>
      <w:r w:rsidRPr="00522D67">
        <w:rPr>
          <w:sz w:val="28"/>
          <w:szCs w:val="28"/>
        </w:rPr>
        <w:t>nodaļu ar 6.</w:t>
      </w:r>
      <w:r w:rsidRPr="00522D67">
        <w:rPr>
          <w:sz w:val="28"/>
          <w:szCs w:val="28"/>
          <w:vertAlign w:val="superscript"/>
        </w:rPr>
        <w:t>1 </w:t>
      </w:r>
      <w:r w:rsidRPr="00522D67">
        <w:rPr>
          <w:sz w:val="28"/>
          <w:szCs w:val="28"/>
        </w:rPr>
        <w:t>punktu šādā redakcijā:</w:t>
      </w:r>
    </w:p>
    <w:p w:rsidR="00055F16" w:rsidRPr="00522D67" w:rsidRDefault="00055F16" w:rsidP="0044774B">
      <w:pPr>
        <w:ind w:firstLine="720"/>
        <w:jc w:val="both"/>
        <w:rPr>
          <w:sz w:val="28"/>
          <w:szCs w:val="28"/>
          <w:lang w:eastAsia="en-US"/>
        </w:rPr>
      </w:pPr>
    </w:p>
    <w:p w:rsidR="00055F16" w:rsidRPr="00522D67" w:rsidRDefault="00055F16" w:rsidP="0044774B">
      <w:pPr>
        <w:ind w:firstLine="720"/>
        <w:jc w:val="both"/>
        <w:rPr>
          <w:sz w:val="28"/>
          <w:szCs w:val="28"/>
          <w:lang w:eastAsia="en-US"/>
        </w:rPr>
      </w:pPr>
      <w:r>
        <w:rPr>
          <w:sz w:val="28"/>
          <w:szCs w:val="28"/>
          <w:lang w:eastAsia="en-US"/>
        </w:rPr>
        <w:t>"</w:t>
      </w:r>
      <w:r w:rsidRPr="00522D67">
        <w:rPr>
          <w:sz w:val="28"/>
          <w:szCs w:val="28"/>
          <w:lang w:eastAsia="en-US"/>
        </w:rPr>
        <w:t>6</w:t>
      </w:r>
      <w:r>
        <w:rPr>
          <w:sz w:val="28"/>
          <w:szCs w:val="28"/>
          <w:lang w:eastAsia="en-US"/>
        </w:rPr>
        <w:t>.</w:t>
      </w:r>
      <w:r w:rsidRPr="00522D67">
        <w:rPr>
          <w:sz w:val="28"/>
          <w:szCs w:val="28"/>
          <w:vertAlign w:val="superscript"/>
          <w:lang w:eastAsia="en-US"/>
        </w:rPr>
        <w:t>1</w:t>
      </w:r>
      <w:r w:rsidRPr="00522D67">
        <w:rPr>
          <w:sz w:val="28"/>
          <w:szCs w:val="28"/>
          <w:lang w:eastAsia="en-US"/>
        </w:rPr>
        <w:t> Lietās par bērna nogādāšanu atpakaļ uz valsti, kurā ir viņa dzīves</w:t>
      </w:r>
      <w:r>
        <w:rPr>
          <w:sz w:val="28"/>
          <w:szCs w:val="28"/>
          <w:lang w:eastAsia="en-US"/>
        </w:rPr>
        <w:softHyphen/>
      </w:r>
      <w:r w:rsidRPr="00572124">
        <w:rPr>
          <w:spacing w:val="-2"/>
          <w:sz w:val="28"/>
          <w:szCs w:val="28"/>
          <w:lang w:eastAsia="en-US"/>
        </w:rPr>
        <w:t>vieta, ja piedzinējs nolēmuma izpildē nepiedalās, papildus š</w:t>
      </w:r>
      <w:r>
        <w:rPr>
          <w:spacing w:val="-2"/>
          <w:sz w:val="28"/>
          <w:szCs w:val="28"/>
          <w:lang w:eastAsia="en-US"/>
        </w:rPr>
        <w:t>ajā</w:t>
      </w:r>
      <w:r w:rsidRPr="00572124">
        <w:rPr>
          <w:spacing w:val="-2"/>
          <w:sz w:val="28"/>
          <w:szCs w:val="28"/>
          <w:lang w:eastAsia="en-US"/>
        </w:rPr>
        <w:t xml:space="preserve"> </w:t>
      </w:r>
      <w:r>
        <w:rPr>
          <w:spacing w:val="-2"/>
          <w:sz w:val="28"/>
          <w:szCs w:val="28"/>
          <w:lang w:eastAsia="en-US"/>
        </w:rPr>
        <w:t>nodaļā minētajam</w:t>
      </w:r>
      <w:r w:rsidRPr="00572124">
        <w:rPr>
          <w:spacing w:val="-2"/>
          <w:sz w:val="28"/>
          <w:szCs w:val="28"/>
          <w:lang w:eastAsia="en-US"/>
        </w:rPr>
        <w:t xml:space="preserve"> ar nolēmuma izpildes nodrošināšanu saistītos izdevumus</w:t>
      </w:r>
      <w:r w:rsidRPr="00522D67">
        <w:rPr>
          <w:sz w:val="28"/>
          <w:szCs w:val="28"/>
          <w:lang w:eastAsia="en-US"/>
        </w:rPr>
        <w:t xml:space="preserve"> sedz šādā apmērā:</w:t>
      </w:r>
    </w:p>
    <w:p w:rsidR="00055F16" w:rsidRPr="00522D67" w:rsidRDefault="00055F16" w:rsidP="00522D67">
      <w:pPr>
        <w:ind w:firstLine="709"/>
        <w:jc w:val="both"/>
        <w:rPr>
          <w:sz w:val="28"/>
          <w:szCs w:val="28"/>
          <w:lang w:eastAsia="en-US"/>
        </w:rPr>
      </w:pPr>
      <w:r w:rsidRPr="00522D67">
        <w:rPr>
          <w:sz w:val="28"/>
          <w:szCs w:val="28"/>
          <w:lang w:eastAsia="en-US"/>
        </w:rPr>
        <w:t>6.</w:t>
      </w:r>
      <w:r w:rsidRPr="00522D67">
        <w:rPr>
          <w:sz w:val="28"/>
          <w:szCs w:val="28"/>
          <w:vertAlign w:val="superscript"/>
          <w:lang w:eastAsia="en-US"/>
        </w:rPr>
        <w:t>1</w:t>
      </w:r>
      <w:r>
        <w:rPr>
          <w:sz w:val="28"/>
          <w:szCs w:val="28"/>
          <w:vertAlign w:val="superscript"/>
          <w:lang w:eastAsia="en-US"/>
        </w:rPr>
        <w:t> </w:t>
      </w:r>
      <w:r w:rsidRPr="00522D67">
        <w:rPr>
          <w:sz w:val="28"/>
          <w:szCs w:val="28"/>
          <w:lang w:eastAsia="en-US"/>
        </w:rPr>
        <w:t>1. par izdevumiem, kas saistīti ar bērna uzturēšanos krīzes centrā vai citos drošos apstākļos</w:t>
      </w:r>
      <w:r>
        <w:rPr>
          <w:sz w:val="28"/>
          <w:szCs w:val="28"/>
          <w:lang w:eastAsia="en-US"/>
        </w:rPr>
        <w:t xml:space="preserve">, </w:t>
      </w:r>
      <w:r w:rsidRPr="00522D67">
        <w:rPr>
          <w:sz w:val="28"/>
          <w:szCs w:val="28"/>
          <w:lang w:eastAsia="en-US"/>
        </w:rPr>
        <w:t>– atbilstoši pakalpojuma sniedzēja izcenojumam;</w:t>
      </w:r>
    </w:p>
    <w:p w:rsidR="00055F16" w:rsidRPr="00522D67" w:rsidRDefault="00055F16" w:rsidP="00522D67">
      <w:pPr>
        <w:ind w:firstLine="720"/>
        <w:jc w:val="both"/>
        <w:rPr>
          <w:sz w:val="28"/>
          <w:szCs w:val="28"/>
        </w:rPr>
      </w:pPr>
      <w:r w:rsidRPr="00522D67">
        <w:rPr>
          <w:sz w:val="28"/>
          <w:szCs w:val="28"/>
          <w:lang w:eastAsia="en-US"/>
        </w:rPr>
        <w:t>6.</w:t>
      </w:r>
      <w:r w:rsidRPr="00522D67">
        <w:rPr>
          <w:sz w:val="28"/>
          <w:szCs w:val="28"/>
          <w:vertAlign w:val="superscript"/>
          <w:lang w:eastAsia="en-US"/>
        </w:rPr>
        <w:t>1</w:t>
      </w:r>
      <w:r>
        <w:rPr>
          <w:sz w:val="28"/>
          <w:szCs w:val="28"/>
          <w:vertAlign w:val="superscript"/>
          <w:lang w:eastAsia="en-US"/>
        </w:rPr>
        <w:t> </w:t>
      </w:r>
      <w:r w:rsidRPr="00522D67">
        <w:rPr>
          <w:sz w:val="28"/>
          <w:szCs w:val="28"/>
          <w:lang w:eastAsia="en-US"/>
        </w:rPr>
        <w:t xml:space="preserve">2. par ceļa izdevumiem, kas saistīti ar bērna nogādāšanu atpakaļ uz valsti, kurā ir viņa dzīvesvieta, tai skaitā, </w:t>
      </w:r>
      <w:r>
        <w:rPr>
          <w:sz w:val="28"/>
          <w:szCs w:val="28"/>
          <w:lang w:eastAsia="en-US"/>
        </w:rPr>
        <w:t xml:space="preserve">ja </w:t>
      </w:r>
      <w:r w:rsidRPr="00522D67">
        <w:rPr>
          <w:sz w:val="28"/>
          <w:szCs w:val="28"/>
          <w:lang w:eastAsia="en-US"/>
        </w:rPr>
        <w:t>nepieciešam</w:t>
      </w:r>
      <w:r>
        <w:rPr>
          <w:sz w:val="28"/>
          <w:szCs w:val="28"/>
          <w:lang w:eastAsia="en-US"/>
        </w:rPr>
        <w:t>s,</w:t>
      </w:r>
      <w:r w:rsidRPr="00522D67">
        <w:rPr>
          <w:sz w:val="28"/>
          <w:szCs w:val="28"/>
          <w:lang w:eastAsia="en-US"/>
        </w:rPr>
        <w:t xml:space="preserve"> par ceļa izdevumiem turp un atpakaļ bāriņtiesas pārstāvim</w:t>
      </w:r>
      <w:r>
        <w:rPr>
          <w:sz w:val="28"/>
          <w:szCs w:val="28"/>
          <w:lang w:eastAsia="en-US"/>
        </w:rPr>
        <w:t xml:space="preserve"> (</w:t>
      </w:r>
      <w:r w:rsidRPr="00522D67">
        <w:rPr>
          <w:sz w:val="28"/>
          <w:szCs w:val="28"/>
        </w:rPr>
        <w:t xml:space="preserve">neatkarīgi no izmantojamā </w:t>
      </w:r>
      <w:r w:rsidRPr="009F14C3">
        <w:rPr>
          <w:spacing w:val="-3"/>
          <w:sz w:val="28"/>
          <w:szCs w:val="28"/>
        </w:rPr>
        <w:t>transport</w:t>
      </w:r>
      <w:r w:rsidRPr="009F14C3">
        <w:rPr>
          <w:spacing w:val="-3"/>
          <w:sz w:val="28"/>
          <w:szCs w:val="28"/>
        </w:rPr>
        <w:softHyphen/>
        <w:t xml:space="preserve">līdzekļa veida) </w:t>
      </w:r>
      <w:r w:rsidRPr="009F14C3">
        <w:rPr>
          <w:spacing w:val="-3"/>
          <w:sz w:val="28"/>
          <w:szCs w:val="28"/>
          <w:lang w:eastAsia="en-US"/>
        </w:rPr>
        <w:t>– atbilstoši pakalpojuma sniedzēja izcenojumam, bet nepārsniedzot</w:t>
      </w:r>
      <w:r w:rsidRPr="00522D67">
        <w:rPr>
          <w:sz w:val="28"/>
          <w:szCs w:val="28"/>
          <w:lang w:eastAsia="en-US"/>
        </w:rPr>
        <w:t xml:space="preserve"> maksu</w:t>
      </w:r>
      <w:r w:rsidRPr="00522D67">
        <w:rPr>
          <w:sz w:val="28"/>
          <w:szCs w:val="28"/>
        </w:rPr>
        <w:t xml:space="preserve">, kāda izvēlētajam transportlīdzeklim noteikta par biļeti ekonomiskajā klasē. Šajā </w:t>
      </w:r>
      <w:r>
        <w:rPr>
          <w:sz w:val="28"/>
          <w:szCs w:val="28"/>
        </w:rPr>
        <w:t>apakš</w:t>
      </w:r>
      <w:r w:rsidRPr="00522D67">
        <w:rPr>
          <w:sz w:val="28"/>
          <w:szCs w:val="28"/>
        </w:rPr>
        <w:t>punktā noteikto ierobežojumu attiecībā uz maksas apmēru var neievērot, ja tas konkrētajā izpildu lietā būtiski kavētu nolēmuma izpildes nodrošināšanu vai varētu radīt kaitējumu bērna interešu aizsardzībai</w:t>
      </w:r>
      <w:r>
        <w:rPr>
          <w:sz w:val="28"/>
          <w:szCs w:val="28"/>
        </w:rPr>
        <w:t>;</w:t>
      </w:r>
    </w:p>
    <w:p w:rsidR="00055F16" w:rsidRPr="00522D67" w:rsidRDefault="00055F16" w:rsidP="00522D67">
      <w:pPr>
        <w:ind w:firstLine="720"/>
        <w:jc w:val="both"/>
        <w:rPr>
          <w:sz w:val="28"/>
          <w:szCs w:val="28"/>
          <w:lang w:eastAsia="en-US"/>
        </w:rPr>
      </w:pPr>
      <w:r w:rsidRPr="00522D67">
        <w:rPr>
          <w:sz w:val="28"/>
          <w:szCs w:val="28"/>
          <w:lang w:eastAsia="en-US"/>
        </w:rPr>
        <w:t>6.</w:t>
      </w:r>
      <w:r w:rsidRPr="00522D67">
        <w:rPr>
          <w:sz w:val="28"/>
          <w:szCs w:val="28"/>
          <w:vertAlign w:val="superscript"/>
          <w:lang w:eastAsia="en-US"/>
        </w:rPr>
        <w:t>1</w:t>
      </w:r>
      <w:r>
        <w:rPr>
          <w:sz w:val="28"/>
          <w:szCs w:val="28"/>
          <w:vertAlign w:val="superscript"/>
          <w:lang w:eastAsia="en-US"/>
        </w:rPr>
        <w:t> </w:t>
      </w:r>
      <w:r w:rsidRPr="00522D67">
        <w:rPr>
          <w:sz w:val="28"/>
          <w:szCs w:val="28"/>
          <w:lang w:eastAsia="en-US"/>
        </w:rPr>
        <w:t>3. par tulka pakalpojumiem</w:t>
      </w:r>
      <w:r>
        <w:rPr>
          <w:sz w:val="28"/>
          <w:szCs w:val="28"/>
          <w:lang w:eastAsia="en-US"/>
        </w:rPr>
        <w:t xml:space="preserve"> </w:t>
      </w:r>
      <w:r w:rsidRPr="00522D67">
        <w:rPr>
          <w:sz w:val="28"/>
          <w:szCs w:val="28"/>
          <w:lang w:eastAsia="en-US"/>
        </w:rPr>
        <w:t>– atbilstoši pakalpojuma sniedzēja izceno</w:t>
      </w:r>
      <w:r>
        <w:rPr>
          <w:sz w:val="28"/>
          <w:szCs w:val="28"/>
          <w:lang w:eastAsia="en-US"/>
        </w:rPr>
        <w:softHyphen/>
      </w:r>
      <w:r w:rsidRPr="00522D67">
        <w:rPr>
          <w:sz w:val="28"/>
          <w:szCs w:val="28"/>
          <w:lang w:eastAsia="en-US"/>
        </w:rPr>
        <w:t>jumam;</w:t>
      </w:r>
    </w:p>
    <w:p w:rsidR="00055F16" w:rsidRPr="00522D67" w:rsidRDefault="00055F16" w:rsidP="00522D67">
      <w:pPr>
        <w:ind w:firstLine="720"/>
        <w:jc w:val="both"/>
        <w:rPr>
          <w:sz w:val="28"/>
          <w:szCs w:val="28"/>
          <w:lang w:eastAsia="en-US"/>
        </w:rPr>
      </w:pPr>
      <w:r w:rsidRPr="00522D67">
        <w:rPr>
          <w:sz w:val="28"/>
          <w:szCs w:val="28"/>
          <w:lang w:eastAsia="en-US"/>
        </w:rPr>
        <w:t>6.</w:t>
      </w:r>
      <w:r w:rsidRPr="00522D67">
        <w:rPr>
          <w:sz w:val="28"/>
          <w:szCs w:val="28"/>
          <w:vertAlign w:val="superscript"/>
          <w:lang w:eastAsia="en-US"/>
        </w:rPr>
        <w:t>1</w:t>
      </w:r>
      <w:r>
        <w:rPr>
          <w:sz w:val="28"/>
          <w:szCs w:val="28"/>
          <w:vertAlign w:val="superscript"/>
          <w:lang w:eastAsia="en-US"/>
        </w:rPr>
        <w:t> </w:t>
      </w:r>
      <w:r w:rsidRPr="00522D67">
        <w:rPr>
          <w:sz w:val="28"/>
          <w:szCs w:val="28"/>
          <w:lang w:eastAsia="en-US"/>
        </w:rPr>
        <w:t>4. par psihologa pakalpojumiem</w:t>
      </w:r>
      <w:r>
        <w:rPr>
          <w:sz w:val="28"/>
          <w:szCs w:val="28"/>
          <w:lang w:eastAsia="en-US"/>
        </w:rPr>
        <w:t xml:space="preserve"> –</w:t>
      </w:r>
      <w:r w:rsidRPr="00522D67">
        <w:rPr>
          <w:sz w:val="28"/>
          <w:szCs w:val="28"/>
          <w:lang w:eastAsia="en-US"/>
        </w:rPr>
        <w:t xml:space="preserve"> atbilstoši pakalpojuma sniedzēja izcenojumam;</w:t>
      </w:r>
    </w:p>
    <w:p w:rsidR="00055F16" w:rsidRPr="00522D67" w:rsidRDefault="00055F16" w:rsidP="00522D67">
      <w:pPr>
        <w:ind w:firstLine="720"/>
        <w:jc w:val="both"/>
        <w:rPr>
          <w:sz w:val="28"/>
          <w:szCs w:val="28"/>
        </w:rPr>
      </w:pPr>
      <w:r w:rsidRPr="00522D67">
        <w:rPr>
          <w:sz w:val="28"/>
          <w:szCs w:val="28"/>
          <w:lang w:eastAsia="en-US"/>
        </w:rPr>
        <w:t>6.</w:t>
      </w:r>
      <w:r w:rsidRPr="00522D67">
        <w:rPr>
          <w:sz w:val="28"/>
          <w:szCs w:val="28"/>
          <w:vertAlign w:val="superscript"/>
          <w:lang w:eastAsia="en-US"/>
        </w:rPr>
        <w:t>1</w:t>
      </w:r>
      <w:r>
        <w:rPr>
          <w:sz w:val="28"/>
          <w:szCs w:val="28"/>
          <w:vertAlign w:val="superscript"/>
          <w:lang w:eastAsia="en-US"/>
        </w:rPr>
        <w:t> </w:t>
      </w:r>
      <w:r w:rsidRPr="00522D67">
        <w:rPr>
          <w:sz w:val="28"/>
          <w:szCs w:val="28"/>
          <w:lang w:eastAsia="en-US"/>
        </w:rPr>
        <w:t>5. par citiem izdevumiem, kas zvērinātam tiesu izpildītājam vai bāriņ</w:t>
      </w:r>
      <w:r>
        <w:rPr>
          <w:sz w:val="28"/>
          <w:szCs w:val="28"/>
          <w:lang w:eastAsia="en-US"/>
        </w:rPr>
        <w:softHyphen/>
      </w:r>
      <w:r w:rsidRPr="00522D67">
        <w:rPr>
          <w:sz w:val="28"/>
          <w:szCs w:val="28"/>
          <w:lang w:eastAsia="en-US"/>
        </w:rPr>
        <w:t>tiesai radušies, nodrošinot nolēmuma izpildi</w:t>
      </w:r>
      <w:r>
        <w:rPr>
          <w:sz w:val="28"/>
          <w:szCs w:val="28"/>
          <w:lang w:eastAsia="en-US"/>
        </w:rPr>
        <w:t>,</w:t>
      </w:r>
      <w:r w:rsidRPr="00522D67">
        <w:rPr>
          <w:sz w:val="28"/>
          <w:szCs w:val="28"/>
          <w:lang w:eastAsia="en-US"/>
        </w:rPr>
        <w:t> – atbilstoši preces pārdevēja vai pakalpojuma sniedzēja izcenojumiem.</w:t>
      </w:r>
      <w:r>
        <w:rPr>
          <w:sz w:val="28"/>
          <w:szCs w:val="28"/>
          <w:lang w:eastAsia="en-US"/>
        </w:rPr>
        <w:t>"</w:t>
      </w:r>
    </w:p>
    <w:p w:rsidR="00055F16" w:rsidRPr="00522D67" w:rsidRDefault="00055F16" w:rsidP="00F52E12">
      <w:pPr>
        <w:pStyle w:val="BodyText2"/>
        <w:spacing w:line="240" w:lineRule="auto"/>
        <w:ind w:firstLine="709"/>
        <w:jc w:val="both"/>
        <w:rPr>
          <w:b w:val="0"/>
          <w:szCs w:val="28"/>
        </w:rPr>
      </w:pPr>
    </w:p>
    <w:p w:rsidR="00055F16" w:rsidRPr="00522D67" w:rsidRDefault="00055F16" w:rsidP="00F52E12">
      <w:pPr>
        <w:ind w:firstLine="709"/>
        <w:jc w:val="both"/>
        <w:rPr>
          <w:sz w:val="28"/>
          <w:szCs w:val="28"/>
        </w:rPr>
      </w:pPr>
      <w:r w:rsidRPr="00522D67">
        <w:rPr>
          <w:sz w:val="28"/>
          <w:szCs w:val="28"/>
        </w:rPr>
        <w:t>4.</w:t>
      </w:r>
      <w:r w:rsidRPr="00522D67">
        <w:rPr>
          <w:b/>
          <w:sz w:val="28"/>
          <w:szCs w:val="28"/>
        </w:rPr>
        <w:t xml:space="preserve"> </w:t>
      </w:r>
      <w:r>
        <w:rPr>
          <w:sz w:val="28"/>
          <w:szCs w:val="28"/>
        </w:rPr>
        <w:t>Izteikt 7.</w:t>
      </w:r>
      <w:r w:rsidRPr="00522D67">
        <w:rPr>
          <w:sz w:val="28"/>
          <w:szCs w:val="28"/>
        </w:rPr>
        <w:t>punktu šādā redakcijā:</w:t>
      </w:r>
    </w:p>
    <w:p w:rsidR="00055F16" w:rsidRPr="00522D67" w:rsidRDefault="00055F16" w:rsidP="00522D67">
      <w:pPr>
        <w:pStyle w:val="BodyText2"/>
        <w:spacing w:line="240" w:lineRule="auto"/>
        <w:ind w:firstLine="720"/>
        <w:jc w:val="both"/>
        <w:rPr>
          <w:b w:val="0"/>
          <w:szCs w:val="28"/>
        </w:rPr>
      </w:pPr>
    </w:p>
    <w:p w:rsidR="00055F16" w:rsidRPr="00522D67" w:rsidRDefault="00055F16" w:rsidP="00522D67">
      <w:pPr>
        <w:pStyle w:val="BodyText2"/>
        <w:spacing w:line="240" w:lineRule="auto"/>
        <w:ind w:firstLine="720"/>
        <w:jc w:val="both"/>
        <w:rPr>
          <w:b w:val="0"/>
          <w:szCs w:val="28"/>
        </w:rPr>
      </w:pPr>
      <w:r>
        <w:rPr>
          <w:b w:val="0"/>
          <w:szCs w:val="28"/>
        </w:rPr>
        <w:t>"</w:t>
      </w:r>
      <w:r w:rsidRPr="00522D67">
        <w:rPr>
          <w:b w:val="0"/>
          <w:szCs w:val="28"/>
        </w:rPr>
        <w:t>7. Izpildu darbību veikšanai nepieciešamos izdevumus, kā arī naudas summu to izdevumu segšanai, kas saistīti ar bērna nogādāšanu atpakaļ uz valsti, kurā ir viņa dzīvesvieta, pēc zvērināta tiesu izpildītāja pieprasījuma iemaksā zvērināta tiesu izpildītāja depozīta kontā Valsts kasē</w:t>
      </w:r>
      <w:r>
        <w:rPr>
          <w:b w:val="0"/>
          <w:szCs w:val="28"/>
        </w:rPr>
        <w:t>."</w:t>
      </w:r>
    </w:p>
    <w:p w:rsidR="00055F16" w:rsidRPr="00522D67" w:rsidRDefault="00055F16" w:rsidP="00F52E12">
      <w:pPr>
        <w:tabs>
          <w:tab w:val="left" w:pos="6840"/>
        </w:tabs>
        <w:ind w:firstLine="709"/>
        <w:rPr>
          <w:sz w:val="28"/>
          <w:szCs w:val="28"/>
        </w:rPr>
      </w:pPr>
    </w:p>
    <w:p w:rsidR="00055F16" w:rsidRDefault="00055F16" w:rsidP="00F52E12">
      <w:pPr>
        <w:tabs>
          <w:tab w:val="left" w:pos="6840"/>
        </w:tabs>
        <w:ind w:firstLine="709"/>
        <w:rPr>
          <w:sz w:val="28"/>
          <w:szCs w:val="28"/>
        </w:rPr>
      </w:pPr>
    </w:p>
    <w:p w:rsidR="00055F16" w:rsidRPr="00522D67" w:rsidRDefault="00055F16" w:rsidP="00F52E12">
      <w:pPr>
        <w:tabs>
          <w:tab w:val="left" w:pos="6840"/>
        </w:tabs>
        <w:ind w:firstLine="709"/>
        <w:rPr>
          <w:sz w:val="28"/>
          <w:szCs w:val="28"/>
        </w:rPr>
      </w:pPr>
    </w:p>
    <w:p w:rsidR="00055F16" w:rsidRPr="00522D67" w:rsidRDefault="00055F16" w:rsidP="00494935">
      <w:pPr>
        <w:tabs>
          <w:tab w:val="left" w:pos="6804"/>
        </w:tabs>
        <w:ind w:firstLine="709"/>
        <w:jc w:val="both"/>
        <w:rPr>
          <w:sz w:val="28"/>
          <w:szCs w:val="28"/>
        </w:rPr>
      </w:pPr>
      <w:r>
        <w:rPr>
          <w:sz w:val="28"/>
          <w:szCs w:val="28"/>
        </w:rPr>
        <w:t xml:space="preserve">Ministru prezidents </w:t>
      </w:r>
      <w:r>
        <w:rPr>
          <w:sz w:val="28"/>
          <w:szCs w:val="28"/>
        </w:rPr>
        <w:tab/>
        <w:t>V.</w:t>
      </w:r>
      <w:r w:rsidRPr="00522D67">
        <w:rPr>
          <w:sz w:val="28"/>
          <w:szCs w:val="28"/>
        </w:rPr>
        <w:t>Dombrovskis</w:t>
      </w:r>
    </w:p>
    <w:p w:rsidR="00055F16" w:rsidRDefault="00055F16" w:rsidP="00494935">
      <w:pPr>
        <w:pStyle w:val="naisf"/>
        <w:tabs>
          <w:tab w:val="left" w:pos="6804"/>
        </w:tabs>
        <w:spacing w:before="0" w:beforeAutospacing="0" w:after="0" w:afterAutospacing="0"/>
        <w:ind w:firstLine="709"/>
        <w:rPr>
          <w:sz w:val="28"/>
          <w:szCs w:val="28"/>
        </w:rPr>
      </w:pPr>
    </w:p>
    <w:p w:rsidR="00055F16" w:rsidRDefault="00055F16" w:rsidP="00494935">
      <w:pPr>
        <w:pStyle w:val="naisf"/>
        <w:tabs>
          <w:tab w:val="left" w:pos="6804"/>
        </w:tabs>
        <w:spacing w:before="0" w:beforeAutospacing="0" w:after="0" w:afterAutospacing="0"/>
        <w:ind w:firstLine="709"/>
        <w:rPr>
          <w:sz w:val="28"/>
          <w:szCs w:val="28"/>
        </w:rPr>
      </w:pPr>
    </w:p>
    <w:p w:rsidR="00055F16" w:rsidRPr="00522D67" w:rsidRDefault="00055F16" w:rsidP="00494935">
      <w:pPr>
        <w:pStyle w:val="naisf"/>
        <w:tabs>
          <w:tab w:val="left" w:pos="6804"/>
        </w:tabs>
        <w:spacing w:before="0" w:beforeAutospacing="0" w:after="0" w:afterAutospacing="0"/>
        <w:ind w:firstLine="709"/>
        <w:rPr>
          <w:sz w:val="28"/>
          <w:szCs w:val="28"/>
        </w:rPr>
      </w:pPr>
    </w:p>
    <w:p w:rsidR="00055F16" w:rsidRPr="00522D67" w:rsidRDefault="00055F16" w:rsidP="00494935">
      <w:pPr>
        <w:pStyle w:val="naisf"/>
        <w:tabs>
          <w:tab w:val="left" w:pos="6804"/>
        </w:tabs>
        <w:spacing w:before="0" w:beforeAutospacing="0" w:after="0" w:afterAutospacing="0"/>
        <w:ind w:firstLine="709"/>
        <w:rPr>
          <w:sz w:val="28"/>
          <w:szCs w:val="28"/>
        </w:rPr>
      </w:pPr>
      <w:r>
        <w:rPr>
          <w:sz w:val="28"/>
          <w:szCs w:val="28"/>
        </w:rPr>
        <w:t>Tieslietu ministrs</w:t>
      </w:r>
      <w:r>
        <w:rPr>
          <w:sz w:val="28"/>
          <w:szCs w:val="28"/>
        </w:rPr>
        <w:tab/>
        <w:t>G.</w:t>
      </w:r>
      <w:r w:rsidRPr="00522D67">
        <w:rPr>
          <w:sz w:val="28"/>
          <w:szCs w:val="28"/>
        </w:rPr>
        <w:t>Bērziņš</w:t>
      </w:r>
    </w:p>
    <w:sectPr w:rsidR="00055F16" w:rsidRPr="00522D67" w:rsidSect="00C12069">
      <w:headerReference w:type="even" r:id="rId6"/>
      <w:headerReference w:type="default" r:id="rId7"/>
      <w:footerReference w:type="default" r:id="rId8"/>
      <w:headerReference w:type="first" r:id="rId9"/>
      <w:footerReference w:type="first" r:id="rId10"/>
      <w:pgSz w:w="11907" w:h="16840" w:code="9"/>
      <w:pgMar w:top="1418" w:right="1134"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F16" w:rsidRDefault="00055F16" w:rsidP="00034A73">
      <w:r>
        <w:separator/>
      </w:r>
    </w:p>
  </w:endnote>
  <w:endnote w:type="continuationSeparator" w:id="0">
    <w:p w:rsidR="00055F16" w:rsidRDefault="00055F16" w:rsidP="00034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Pr="00D324CD" w:rsidRDefault="00055F16">
    <w:pPr>
      <w:pStyle w:val="Footer"/>
      <w:rPr>
        <w:sz w:val="16"/>
        <w:szCs w:val="16"/>
      </w:rPr>
    </w:pPr>
    <w:r w:rsidRPr="00D324CD">
      <w:rPr>
        <w:sz w:val="16"/>
        <w:szCs w:val="16"/>
      </w:rPr>
      <w:t>N0185_2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Pr="00D324CD" w:rsidRDefault="00055F16">
    <w:pPr>
      <w:pStyle w:val="Footer"/>
      <w:rPr>
        <w:sz w:val="16"/>
        <w:szCs w:val="16"/>
      </w:rPr>
    </w:pPr>
    <w:r w:rsidRPr="00D324CD">
      <w:rPr>
        <w:sz w:val="16"/>
        <w:szCs w:val="16"/>
      </w:rPr>
      <w:t>N0185_2</w:t>
    </w:r>
    <w:r>
      <w:rPr>
        <w:sz w:val="16"/>
        <w:szCs w:val="16"/>
      </w:rPr>
      <w:t xml:space="preserve">   v_sk. = </w:t>
    </w:r>
    <w:fldSimple w:instr=" NUMWORDS  \* MERGEFORMAT ">
      <w:r>
        <w:rPr>
          <w:noProof/>
          <w:sz w:val="16"/>
          <w:szCs w:val="16"/>
        </w:rPr>
        <w:t>352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F16" w:rsidRDefault="00055F16" w:rsidP="00034A73">
      <w:r>
        <w:separator/>
      </w:r>
    </w:p>
  </w:footnote>
  <w:footnote w:type="continuationSeparator" w:id="0">
    <w:p w:rsidR="00055F16" w:rsidRDefault="00055F16" w:rsidP="00034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Default="00055F16" w:rsidP="00970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5F16" w:rsidRDefault="00055F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Default="00055F16" w:rsidP="00970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5F16" w:rsidRDefault="00055F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16" w:rsidRDefault="00055F16" w:rsidP="00C12069">
    <w:pPr>
      <w:pStyle w:val="Header"/>
      <w:jc w:val="center"/>
    </w:pPr>
    <w:r w:rsidRPr="00E337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A73"/>
    <w:rsid w:val="000121B7"/>
    <w:rsid w:val="0002073E"/>
    <w:rsid w:val="00034A73"/>
    <w:rsid w:val="00055F16"/>
    <w:rsid w:val="0006363F"/>
    <w:rsid w:val="000B0B81"/>
    <w:rsid w:val="000C46C4"/>
    <w:rsid w:val="000E59A6"/>
    <w:rsid w:val="00107B91"/>
    <w:rsid w:val="00110AF7"/>
    <w:rsid w:val="00121F76"/>
    <w:rsid w:val="001255FF"/>
    <w:rsid w:val="00133874"/>
    <w:rsid w:val="00163D30"/>
    <w:rsid w:val="00170DB6"/>
    <w:rsid w:val="00180B9D"/>
    <w:rsid w:val="00183BFC"/>
    <w:rsid w:val="00186EE3"/>
    <w:rsid w:val="00197180"/>
    <w:rsid w:val="001B050B"/>
    <w:rsid w:val="001F04F7"/>
    <w:rsid w:val="001F17A0"/>
    <w:rsid w:val="0021717E"/>
    <w:rsid w:val="002173AE"/>
    <w:rsid w:val="00225D74"/>
    <w:rsid w:val="002374ED"/>
    <w:rsid w:val="002522DA"/>
    <w:rsid w:val="00286447"/>
    <w:rsid w:val="00291988"/>
    <w:rsid w:val="002A36E5"/>
    <w:rsid w:val="002E146E"/>
    <w:rsid w:val="002F0221"/>
    <w:rsid w:val="00305B62"/>
    <w:rsid w:val="00307E0E"/>
    <w:rsid w:val="003178F5"/>
    <w:rsid w:val="00332F56"/>
    <w:rsid w:val="003533D7"/>
    <w:rsid w:val="00353596"/>
    <w:rsid w:val="00371A4B"/>
    <w:rsid w:val="00375D16"/>
    <w:rsid w:val="003840FD"/>
    <w:rsid w:val="003A582F"/>
    <w:rsid w:val="003B1E97"/>
    <w:rsid w:val="003B259C"/>
    <w:rsid w:val="003B3B44"/>
    <w:rsid w:val="003C5E0D"/>
    <w:rsid w:val="003E03C4"/>
    <w:rsid w:val="003E37BD"/>
    <w:rsid w:val="00434044"/>
    <w:rsid w:val="0044774B"/>
    <w:rsid w:val="0046300E"/>
    <w:rsid w:val="00467C4E"/>
    <w:rsid w:val="00485BC7"/>
    <w:rsid w:val="00494935"/>
    <w:rsid w:val="00496DC2"/>
    <w:rsid w:val="004B5F21"/>
    <w:rsid w:val="004C2B0B"/>
    <w:rsid w:val="004C2CF3"/>
    <w:rsid w:val="00506659"/>
    <w:rsid w:val="005069AC"/>
    <w:rsid w:val="0051283B"/>
    <w:rsid w:val="00522D67"/>
    <w:rsid w:val="00527B31"/>
    <w:rsid w:val="00570254"/>
    <w:rsid w:val="00572124"/>
    <w:rsid w:val="00574243"/>
    <w:rsid w:val="005757F8"/>
    <w:rsid w:val="00587393"/>
    <w:rsid w:val="005A63FB"/>
    <w:rsid w:val="005B6EB6"/>
    <w:rsid w:val="005E73AB"/>
    <w:rsid w:val="00614473"/>
    <w:rsid w:val="00620F5B"/>
    <w:rsid w:val="00631C7A"/>
    <w:rsid w:val="00637240"/>
    <w:rsid w:val="006506F4"/>
    <w:rsid w:val="006550AC"/>
    <w:rsid w:val="00666FCF"/>
    <w:rsid w:val="00672839"/>
    <w:rsid w:val="00673C8B"/>
    <w:rsid w:val="006812F9"/>
    <w:rsid w:val="006E1335"/>
    <w:rsid w:val="006F17CA"/>
    <w:rsid w:val="006F48DF"/>
    <w:rsid w:val="00711A34"/>
    <w:rsid w:val="00722CC2"/>
    <w:rsid w:val="00743974"/>
    <w:rsid w:val="007470B3"/>
    <w:rsid w:val="0075742C"/>
    <w:rsid w:val="00770C79"/>
    <w:rsid w:val="00794816"/>
    <w:rsid w:val="007A0223"/>
    <w:rsid w:val="007A261C"/>
    <w:rsid w:val="007A54CF"/>
    <w:rsid w:val="007B35AD"/>
    <w:rsid w:val="007D786D"/>
    <w:rsid w:val="007F45E0"/>
    <w:rsid w:val="0080503A"/>
    <w:rsid w:val="00815992"/>
    <w:rsid w:val="00825B63"/>
    <w:rsid w:val="00826C95"/>
    <w:rsid w:val="00840156"/>
    <w:rsid w:val="00852C8E"/>
    <w:rsid w:val="008B2B47"/>
    <w:rsid w:val="008B4D66"/>
    <w:rsid w:val="008C5D77"/>
    <w:rsid w:val="00902EEF"/>
    <w:rsid w:val="009137A2"/>
    <w:rsid w:val="009158BD"/>
    <w:rsid w:val="009249CC"/>
    <w:rsid w:val="00933D38"/>
    <w:rsid w:val="009351AA"/>
    <w:rsid w:val="0095052D"/>
    <w:rsid w:val="00970AAF"/>
    <w:rsid w:val="00977BD7"/>
    <w:rsid w:val="009822DA"/>
    <w:rsid w:val="009A1C13"/>
    <w:rsid w:val="009A774D"/>
    <w:rsid w:val="009B0258"/>
    <w:rsid w:val="009E0A87"/>
    <w:rsid w:val="009F02F0"/>
    <w:rsid w:val="009F07EA"/>
    <w:rsid w:val="009F14C3"/>
    <w:rsid w:val="009F709D"/>
    <w:rsid w:val="00A20461"/>
    <w:rsid w:val="00A3529A"/>
    <w:rsid w:val="00A46DED"/>
    <w:rsid w:val="00A51C39"/>
    <w:rsid w:val="00A53040"/>
    <w:rsid w:val="00A55D77"/>
    <w:rsid w:val="00A55E91"/>
    <w:rsid w:val="00A86D5E"/>
    <w:rsid w:val="00A9168B"/>
    <w:rsid w:val="00A91B8E"/>
    <w:rsid w:val="00AB3C08"/>
    <w:rsid w:val="00AC27C9"/>
    <w:rsid w:val="00AD60C7"/>
    <w:rsid w:val="00AF575F"/>
    <w:rsid w:val="00AF622A"/>
    <w:rsid w:val="00B07887"/>
    <w:rsid w:val="00B26876"/>
    <w:rsid w:val="00B63952"/>
    <w:rsid w:val="00BA35B0"/>
    <w:rsid w:val="00BA738B"/>
    <w:rsid w:val="00BA7E38"/>
    <w:rsid w:val="00BB3D77"/>
    <w:rsid w:val="00BC3204"/>
    <w:rsid w:val="00BD1B47"/>
    <w:rsid w:val="00BF110F"/>
    <w:rsid w:val="00C12069"/>
    <w:rsid w:val="00C23A6B"/>
    <w:rsid w:val="00C27732"/>
    <w:rsid w:val="00C3551D"/>
    <w:rsid w:val="00C80D33"/>
    <w:rsid w:val="00C90E14"/>
    <w:rsid w:val="00CA5F4A"/>
    <w:rsid w:val="00CB1780"/>
    <w:rsid w:val="00CC094E"/>
    <w:rsid w:val="00CC3006"/>
    <w:rsid w:val="00CC4DE1"/>
    <w:rsid w:val="00CD0AC5"/>
    <w:rsid w:val="00CD7D04"/>
    <w:rsid w:val="00CE33A0"/>
    <w:rsid w:val="00CF0DC4"/>
    <w:rsid w:val="00D16476"/>
    <w:rsid w:val="00D22BE7"/>
    <w:rsid w:val="00D313A8"/>
    <w:rsid w:val="00D324CD"/>
    <w:rsid w:val="00D34B68"/>
    <w:rsid w:val="00D362F4"/>
    <w:rsid w:val="00D50338"/>
    <w:rsid w:val="00D651B3"/>
    <w:rsid w:val="00D72247"/>
    <w:rsid w:val="00D82450"/>
    <w:rsid w:val="00D94138"/>
    <w:rsid w:val="00DB49E7"/>
    <w:rsid w:val="00DC684E"/>
    <w:rsid w:val="00DC6E28"/>
    <w:rsid w:val="00DE4427"/>
    <w:rsid w:val="00E2230B"/>
    <w:rsid w:val="00E33786"/>
    <w:rsid w:val="00E55826"/>
    <w:rsid w:val="00E76AD7"/>
    <w:rsid w:val="00EA07CB"/>
    <w:rsid w:val="00EA577F"/>
    <w:rsid w:val="00EA712C"/>
    <w:rsid w:val="00EB198E"/>
    <w:rsid w:val="00EB77B3"/>
    <w:rsid w:val="00EF75CA"/>
    <w:rsid w:val="00F04904"/>
    <w:rsid w:val="00F227B0"/>
    <w:rsid w:val="00F236FB"/>
    <w:rsid w:val="00F35B4F"/>
    <w:rsid w:val="00F3642C"/>
    <w:rsid w:val="00F37286"/>
    <w:rsid w:val="00F5091F"/>
    <w:rsid w:val="00F5181E"/>
    <w:rsid w:val="00F52E12"/>
    <w:rsid w:val="00F5443E"/>
    <w:rsid w:val="00F546AB"/>
    <w:rsid w:val="00F55AF5"/>
    <w:rsid w:val="00F611BF"/>
    <w:rsid w:val="00F77280"/>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A73"/>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rsid w:val="00034A73"/>
    <w:pPr>
      <w:widowControl w:val="0"/>
      <w:adjustRightInd w:val="0"/>
      <w:spacing w:line="360" w:lineRule="atLeast"/>
      <w:jc w:val="center"/>
      <w:textAlignment w:val="baseline"/>
    </w:pPr>
    <w:rPr>
      <w:b/>
      <w:bCs/>
      <w:sz w:val="28"/>
      <w:szCs w:val="20"/>
      <w:lang w:eastAsia="en-US"/>
    </w:rPr>
  </w:style>
  <w:style w:type="character" w:customStyle="1" w:styleId="BodyText2Char">
    <w:name w:val="Body Text 2 Char"/>
    <w:basedOn w:val="DefaultParagraphFont"/>
    <w:link w:val="BodyText2"/>
    <w:uiPriority w:val="99"/>
    <w:semiHidden/>
    <w:locked/>
    <w:rsid w:val="00034A73"/>
    <w:rPr>
      <w:rFonts w:eastAsia="Times New Roman" w:cs="Times New Roman"/>
      <w:b/>
      <w:bCs/>
      <w:sz w:val="20"/>
      <w:szCs w:val="20"/>
    </w:rPr>
  </w:style>
  <w:style w:type="paragraph" w:customStyle="1" w:styleId="naislab">
    <w:name w:val="naislab"/>
    <w:basedOn w:val="Normal"/>
    <w:uiPriority w:val="99"/>
    <w:rsid w:val="00034A73"/>
    <w:pPr>
      <w:spacing w:before="100" w:beforeAutospacing="1" w:after="100" w:afterAutospacing="1"/>
    </w:pPr>
  </w:style>
  <w:style w:type="paragraph" w:styleId="Header">
    <w:name w:val="header"/>
    <w:basedOn w:val="Normal"/>
    <w:link w:val="HeaderChar"/>
    <w:uiPriority w:val="99"/>
    <w:rsid w:val="00034A73"/>
    <w:pPr>
      <w:tabs>
        <w:tab w:val="center" w:pos="4153"/>
        <w:tab w:val="right" w:pos="8306"/>
      </w:tabs>
    </w:pPr>
  </w:style>
  <w:style w:type="character" w:customStyle="1" w:styleId="HeaderChar">
    <w:name w:val="Header Char"/>
    <w:basedOn w:val="DefaultParagraphFont"/>
    <w:link w:val="Header"/>
    <w:uiPriority w:val="99"/>
    <w:locked/>
    <w:rsid w:val="00034A73"/>
    <w:rPr>
      <w:rFonts w:eastAsia="Times New Roman" w:cs="Times New Roman"/>
      <w:sz w:val="24"/>
      <w:szCs w:val="24"/>
      <w:lang w:eastAsia="lv-LV"/>
    </w:rPr>
  </w:style>
  <w:style w:type="character" w:styleId="PageNumber">
    <w:name w:val="page number"/>
    <w:basedOn w:val="DefaultParagraphFont"/>
    <w:uiPriority w:val="99"/>
    <w:rsid w:val="00034A73"/>
    <w:rPr>
      <w:rFonts w:cs="Times New Roman"/>
    </w:rPr>
  </w:style>
  <w:style w:type="paragraph" w:customStyle="1" w:styleId="naisf">
    <w:name w:val="naisf"/>
    <w:basedOn w:val="Normal"/>
    <w:uiPriority w:val="99"/>
    <w:rsid w:val="00034A73"/>
    <w:pPr>
      <w:spacing w:before="100" w:beforeAutospacing="1" w:after="100" w:afterAutospacing="1"/>
    </w:pPr>
  </w:style>
  <w:style w:type="paragraph" w:styleId="ListParagraph">
    <w:name w:val="List Paragraph"/>
    <w:basedOn w:val="Normal"/>
    <w:uiPriority w:val="99"/>
    <w:qFormat/>
    <w:rsid w:val="00034A73"/>
    <w:pPr>
      <w:ind w:left="720"/>
      <w:contextualSpacing/>
    </w:pPr>
  </w:style>
  <w:style w:type="paragraph" w:styleId="Footer">
    <w:name w:val="footer"/>
    <w:basedOn w:val="Normal"/>
    <w:link w:val="FooterChar"/>
    <w:uiPriority w:val="99"/>
    <w:rsid w:val="00034A73"/>
    <w:pPr>
      <w:tabs>
        <w:tab w:val="center" w:pos="4153"/>
        <w:tab w:val="right" w:pos="8306"/>
      </w:tabs>
    </w:pPr>
  </w:style>
  <w:style w:type="character" w:customStyle="1" w:styleId="FooterChar">
    <w:name w:val="Footer Char"/>
    <w:basedOn w:val="DefaultParagraphFont"/>
    <w:link w:val="Footer"/>
    <w:uiPriority w:val="99"/>
    <w:locked/>
    <w:rsid w:val="00034A73"/>
    <w:rPr>
      <w:rFonts w:eastAsia="Times New Roman" w:cs="Times New Roman"/>
      <w:sz w:val="24"/>
      <w:szCs w:val="24"/>
      <w:lang w:eastAsia="lv-LV"/>
    </w:rPr>
  </w:style>
  <w:style w:type="paragraph" w:styleId="BalloonText">
    <w:name w:val="Balloon Text"/>
    <w:basedOn w:val="Normal"/>
    <w:link w:val="BalloonTextChar"/>
    <w:uiPriority w:val="99"/>
    <w:semiHidden/>
    <w:rsid w:val="00C120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69"/>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2</Pages>
  <Words>1778</Words>
  <Characters>1015</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2011.gada 30.augusta noteikumos Nr.670 "Noteikumi par izpildu darbību veikšanai nepieciešamo izdevumu apmēru un to maksāšanas kārtību"</dc:title>
  <dc:subject>MK noteikumu projekts</dc:subject>
  <dc:creator>Tieslietu ministrija</dc:creator>
  <cp:keywords/>
  <dc:description>evija.timpare@tm.gov.lv67036829</dc:description>
  <cp:lastModifiedBy>Erna Ivanova</cp:lastModifiedBy>
  <cp:revision>13</cp:revision>
  <cp:lastPrinted>2012-02-08T09:55:00Z</cp:lastPrinted>
  <dcterms:created xsi:type="dcterms:W3CDTF">2011-11-24T11:22:00Z</dcterms:created>
  <dcterms:modified xsi:type="dcterms:W3CDTF">2012-02-22T11:56:00Z</dcterms:modified>
</cp:coreProperties>
</file>