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4CF" w:rsidRPr="00292568" w:rsidRDefault="004E54CF" w:rsidP="004E54CF">
      <w:pPr>
        <w:jc w:val="right"/>
        <w:rPr>
          <w:sz w:val="28"/>
          <w:szCs w:val="28"/>
        </w:rPr>
      </w:pPr>
      <w:r w:rsidRPr="00292568">
        <w:rPr>
          <w:sz w:val="28"/>
          <w:szCs w:val="28"/>
        </w:rPr>
        <w:t>1. pielikums</w:t>
      </w:r>
    </w:p>
    <w:p w:rsidR="004E54CF" w:rsidRPr="00292568" w:rsidRDefault="004E54CF" w:rsidP="004E54CF">
      <w:pPr>
        <w:jc w:val="right"/>
        <w:rPr>
          <w:sz w:val="28"/>
          <w:szCs w:val="28"/>
        </w:rPr>
      </w:pPr>
      <w:r w:rsidRPr="00292568">
        <w:rPr>
          <w:sz w:val="28"/>
          <w:szCs w:val="28"/>
        </w:rPr>
        <w:t>Ministru kabineta</w:t>
      </w:r>
    </w:p>
    <w:p w:rsidR="004E54CF" w:rsidRPr="00292568" w:rsidRDefault="004E54CF" w:rsidP="004E54CF">
      <w:pPr>
        <w:jc w:val="right"/>
        <w:rPr>
          <w:sz w:val="28"/>
          <w:szCs w:val="28"/>
        </w:rPr>
      </w:pPr>
      <w:r w:rsidRPr="00292568">
        <w:rPr>
          <w:sz w:val="28"/>
          <w:szCs w:val="28"/>
        </w:rPr>
        <w:t xml:space="preserve">2011. gada </w:t>
      </w:r>
      <w:r w:rsidRPr="00292568">
        <w:rPr>
          <w:sz w:val="28"/>
          <w:szCs w:val="28"/>
        </w:rPr>
        <w:tab/>
      </w:r>
      <w:r w:rsidRPr="00292568">
        <w:rPr>
          <w:sz w:val="28"/>
          <w:szCs w:val="28"/>
        </w:rPr>
        <w:tab/>
      </w:r>
      <w:r w:rsidRPr="00292568">
        <w:rPr>
          <w:sz w:val="28"/>
          <w:szCs w:val="28"/>
        </w:rPr>
        <w:tab/>
        <w:t xml:space="preserve"> </w:t>
      </w:r>
    </w:p>
    <w:p w:rsidR="004E54CF" w:rsidRPr="00292568" w:rsidRDefault="004E54CF" w:rsidP="004E54CF">
      <w:pPr>
        <w:jc w:val="right"/>
        <w:rPr>
          <w:sz w:val="28"/>
          <w:szCs w:val="28"/>
        </w:rPr>
      </w:pPr>
      <w:r w:rsidRPr="00292568">
        <w:rPr>
          <w:sz w:val="28"/>
          <w:szCs w:val="28"/>
        </w:rPr>
        <w:t>noteikumiem Nr.</w:t>
      </w:r>
      <w:r w:rsidRPr="00292568">
        <w:rPr>
          <w:sz w:val="28"/>
          <w:szCs w:val="28"/>
        </w:rPr>
        <w:tab/>
      </w:r>
    </w:p>
    <w:p w:rsidR="004E54CF" w:rsidRPr="00292568" w:rsidRDefault="004E54CF" w:rsidP="004E54CF">
      <w:pPr>
        <w:jc w:val="right"/>
        <w:rPr>
          <w:sz w:val="28"/>
          <w:szCs w:val="28"/>
        </w:rPr>
      </w:pPr>
    </w:p>
    <w:p w:rsidR="004E54CF" w:rsidRPr="00292568" w:rsidRDefault="004E54CF" w:rsidP="004E54CF">
      <w:pPr>
        <w:pStyle w:val="naisnod"/>
        <w:spacing w:before="0" w:beforeAutospacing="0" w:after="0" w:afterAutospacing="0"/>
        <w:jc w:val="center"/>
        <w:rPr>
          <w:b/>
          <w:sz w:val="28"/>
          <w:szCs w:val="28"/>
        </w:rPr>
      </w:pPr>
      <w:r w:rsidRPr="00292568">
        <w:rPr>
          <w:b/>
          <w:sz w:val="28"/>
          <w:szCs w:val="28"/>
        </w:rPr>
        <w:t xml:space="preserve">Zvērināta tiesu izpildītāja palīga eksāmena vērtējuma apraksts </w:t>
      </w:r>
    </w:p>
    <w:tbl>
      <w:tblPr>
        <w:tblpPr w:leftFromText="180" w:rightFromText="180" w:vertAnchor="text" w:horzAnchor="margin" w:tblpX="-210" w:tblpY="15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1"/>
        <w:gridCol w:w="1916"/>
        <w:gridCol w:w="6520"/>
      </w:tblGrid>
      <w:tr w:rsidR="004E54CF" w:rsidRPr="00292568" w:rsidTr="00D42B66">
        <w:trPr>
          <w:trHeight w:val="699"/>
        </w:trPr>
        <w:tc>
          <w:tcPr>
            <w:tcW w:w="1311" w:type="dxa"/>
            <w:vAlign w:val="center"/>
          </w:tcPr>
          <w:p w:rsidR="004E54CF" w:rsidRPr="00292568" w:rsidRDefault="004E54CF" w:rsidP="00D42B66">
            <w:pPr>
              <w:pStyle w:val="Subtitle"/>
              <w:rPr>
                <w:sz w:val="28"/>
                <w:szCs w:val="28"/>
              </w:rPr>
            </w:pPr>
            <w:r w:rsidRPr="00292568">
              <w:rPr>
                <w:sz w:val="28"/>
                <w:szCs w:val="28"/>
              </w:rPr>
              <w:t>Vērtējums</w:t>
            </w:r>
          </w:p>
        </w:tc>
        <w:tc>
          <w:tcPr>
            <w:tcW w:w="1916" w:type="dxa"/>
            <w:vAlign w:val="center"/>
          </w:tcPr>
          <w:p w:rsidR="004E54CF" w:rsidRPr="00292568" w:rsidRDefault="004E54CF" w:rsidP="00D42B66">
            <w:pPr>
              <w:pStyle w:val="Subtitle"/>
              <w:rPr>
                <w:sz w:val="28"/>
                <w:szCs w:val="28"/>
              </w:rPr>
            </w:pPr>
            <w:r w:rsidRPr="00292568">
              <w:rPr>
                <w:sz w:val="28"/>
                <w:szCs w:val="28"/>
              </w:rPr>
              <w:t>Apguves līmenis</w:t>
            </w:r>
          </w:p>
        </w:tc>
        <w:tc>
          <w:tcPr>
            <w:tcW w:w="6520" w:type="dxa"/>
            <w:vAlign w:val="center"/>
          </w:tcPr>
          <w:p w:rsidR="004E54CF" w:rsidRPr="00292568" w:rsidRDefault="004E54CF" w:rsidP="00D42B66">
            <w:pPr>
              <w:pStyle w:val="Subtitle"/>
              <w:rPr>
                <w:sz w:val="28"/>
                <w:szCs w:val="28"/>
              </w:rPr>
            </w:pPr>
            <w:r w:rsidRPr="00292568">
              <w:rPr>
                <w:sz w:val="28"/>
                <w:szCs w:val="28"/>
              </w:rPr>
              <w:t>Skaidrojums</w:t>
            </w:r>
          </w:p>
        </w:tc>
      </w:tr>
      <w:tr w:rsidR="004E54CF" w:rsidRPr="00292568" w:rsidTr="00D42B66">
        <w:trPr>
          <w:cantSplit/>
        </w:trPr>
        <w:tc>
          <w:tcPr>
            <w:tcW w:w="1311" w:type="dxa"/>
            <w:vAlign w:val="center"/>
          </w:tcPr>
          <w:p w:rsidR="004E54CF" w:rsidRPr="00292568" w:rsidRDefault="004E54CF" w:rsidP="00D42B66">
            <w:pPr>
              <w:pStyle w:val="Subtitle"/>
              <w:rPr>
                <w:b w:val="0"/>
                <w:sz w:val="28"/>
                <w:szCs w:val="28"/>
              </w:rPr>
            </w:pPr>
            <w:r w:rsidRPr="00292568">
              <w:rPr>
                <w:b w:val="0"/>
                <w:sz w:val="28"/>
                <w:szCs w:val="28"/>
              </w:rPr>
              <w:t>10</w:t>
            </w:r>
          </w:p>
        </w:tc>
        <w:tc>
          <w:tcPr>
            <w:tcW w:w="1916" w:type="dxa"/>
            <w:vAlign w:val="center"/>
          </w:tcPr>
          <w:p w:rsidR="004E54CF" w:rsidRPr="00292568" w:rsidRDefault="004E54CF" w:rsidP="00D42B66">
            <w:pPr>
              <w:pStyle w:val="Subtitle"/>
              <w:rPr>
                <w:b w:val="0"/>
                <w:sz w:val="28"/>
                <w:szCs w:val="28"/>
              </w:rPr>
            </w:pPr>
            <w:r w:rsidRPr="00292568">
              <w:rPr>
                <w:b w:val="0"/>
                <w:sz w:val="28"/>
                <w:szCs w:val="28"/>
              </w:rPr>
              <w:t>Izcili</w:t>
            </w:r>
          </w:p>
        </w:tc>
        <w:tc>
          <w:tcPr>
            <w:tcW w:w="6520" w:type="dxa"/>
          </w:tcPr>
          <w:p w:rsidR="004E54CF" w:rsidRPr="00292568" w:rsidRDefault="004E54CF" w:rsidP="00D42B66">
            <w:pPr>
              <w:pStyle w:val="Subtitle"/>
              <w:jc w:val="both"/>
              <w:rPr>
                <w:b w:val="0"/>
                <w:sz w:val="28"/>
                <w:szCs w:val="28"/>
              </w:rPr>
            </w:pPr>
            <w:r w:rsidRPr="00292568">
              <w:rPr>
                <w:b w:val="0"/>
                <w:sz w:val="28"/>
                <w:szCs w:val="28"/>
              </w:rPr>
              <w:t>Zināšanas pārsniedz noteikto nepieciešamo zināšanu apjomu un liecina par patstāvīgu padziļinātu zināšanu apguvi un ar zvērinātu tiesu izpildītāju amata darbību regulējošo normatīvo aktu saistītu problēmjautājumu dziļu izpratni.</w:t>
            </w:r>
          </w:p>
        </w:tc>
      </w:tr>
      <w:tr w:rsidR="004E54CF" w:rsidRPr="00292568" w:rsidTr="00D42B66">
        <w:trPr>
          <w:cantSplit/>
        </w:trPr>
        <w:tc>
          <w:tcPr>
            <w:tcW w:w="1311" w:type="dxa"/>
            <w:vAlign w:val="center"/>
          </w:tcPr>
          <w:p w:rsidR="004E54CF" w:rsidRPr="00292568" w:rsidRDefault="004E54CF" w:rsidP="00D42B66">
            <w:pPr>
              <w:pStyle w:val="Subtitle"/>
              <w:rPr>
                <w:b w:val="0"/>
                <w:sz w:val="28"/>
                <w:szCs w:val="28"/>
              </w:rPr>
            </w:pPr>
            <w:r w:rsidRPr="00292568">
              <w:rPr>
                <w:b w:val="0"/>
                <w:sz w:val="28"/>
                <w:szCs w:val="28"/>
              </w:rPr>
              <w:t>9</w:t>
            </w:r>
          </w:p>
        </w:tc>
        <w:tc>
          <w:tcPr>
            <w:tcW w:w="1916" w:type="dxa"/>
            <w:vAlign w:val="center"/>
          </w:tcPr>
          <w:p w:rsidR="004E54CF" w:rsidRPr="00292568" w:rsidRDefault="004E54CF" w:rsidP="00D42B66">
            <w:pPr>
              <w:pStyle w:val="Subtitle"/>
              <w:rPr>
                <w:b w:val="0"/>
                <w:sz w:val="28"/>
                <w:szCs w:val="28"/>
              </w:rPr>
            </w:pPr>
            <w:r w:rsidRPr="00292568">
              <w:rPr>
                <w:b w:val="0"/>
                <w:sz w:val="28"/>
                <w:szCs w:val="28"/>
              </w:rPr>
              <w:t>Teicami</w:t>
            </w:r>
          </w:p>
        </w:tc>
        <w:tc>
          <w:tcPr>
            <w:tcW w:w="6520" w:type="dxa"/>
          </w:tcPr>
          <w:p w:rsidR="004E54CF" w:rsidRPr="00292568" w:rsidRDefault="004E54CF" w:rsidP="00D42B66">
            <w:pPr>
              <w:pStyle w:val="Subtitle"/>
              <w:jc w:val="both"/>
              <w:rPr>
                <w:b w:val="0"/>
                <w:sz w:val="28"/>
                <w:szCs w:val="28"/>
              </w:rPr>
            </w:pPr>
            <w:r w:rsidRPr="00292568">
              <w:rPr>
                <w:b w:val="0"/>
                <w:sz w:val="28"/>
                <w:szCs w:val="28"/>
              </w:rPr>
              <w:t xml:space="preserve">Pilnīga izpratne par zvērinātu tiesu izpildītāju darbību regulējošajiem normatīvajiem aktiem un spēja zināšanas brīvi piemērot ar amata pienākumu veikšanu saistītu jautājumu risināšanā. </w:t>
            </w:r>
          </w:p>
        </w:tc>
      </w:tr>
      <w:tr w:rsidR="004E54CF" w:rsidRPr="00292568" w:rsidTr="00D42B66">
        <w:trPr>
          <w:cantSplit/>
        </w:trPr>
        <w:tc>
          <w:tcPr>
            <w:tcW w:w="1311" w:type="dxa"/>
            <w:vAlign w:val="center"/>
          </w:tcPr>
          <w:p w:rsidR="004E54CF" w:rsidRPr="00292568" w:rsidRDefault="004E54CF" w:rsidP="00D42B66">
            <w:pPr>
              <w:pStyle w:val="Subtitle"/>
              <w:rPr>
                <w:b w:val="0"/>
                <w:sz w:val="28"/>
                <w:szCs w:val="28"/>
              </w:rPr>
            </w:pPr>
            <w:r w:rsidRPr="00292568">
              <w:rPr>
                <w:b w:val="0"/>
                <w:sz w:val="28"/>
                <w:szCs w:val="28"/>
              </w:rPr>
              <w:t>8</w:t>
            </w:r>
          </w:p>
        </w:tc>
        <w:tc>
          <w:tcPr>
            <w:tcW w:w="1916" w:type="dxa"/>
            <w:vAlign w:val="center"/>
          </w:tcPr>
          <w:p w:rsidR="004E54CF" w:rsidRPr="00292568" w:rsidRDefault="004E54CF" w:rsidP="00D42B66">
            <w:pPr>
              <w:pStyle w:val="naiskr"/>
              <w:jc w:val="center"/>
              <w:rPr>
                <w:sz w:val="28"/>
                <w:szCs w:val="28"/>
              </w:rPr>
            </w:pPr>
            <w:r w:rsidRPr="00292568">
              <w:rPr>
                <w:sz w:val="28"/>
                <w:szCs w:val="28"/>
              </w:rPr>
              <w:t>Ļoti labi</w:t>
            </w:r>
          </w:p>
        </w:tc>
        <w:tc>
          <w:tcPr>
            <w:tcW w:w="6520" w:type="dxa"/>
          </w:tcPr>
          <w:p w:rsidR="004E54CF" w:rsidRPr="00292568" w:rsidRDefault="004E54CF" w:rsidP="00D42B66">
            <w:pPr>
              <w:pStyle w:val="naiskr"/>
              <w:jc w:val="both"/>
              <w:rPr>
                <w:sz w:val="28"/>
                <w:szCs w:val="28"/>
              </w:rPr>
            </w:pPr>
            <w:r w:rsidRPr="00292568">
              <w:rPr>
                <w:sz w:val="28"/>
                <w:szCs w:val="28"/>
              </w:rPr>
              <w:t>Pilnīga izpratne par zvērinātu tiesu izpildītāju amata darbību regulējošajiem normatīvajiem aktiem, iegūta prasme praktiski piemērot iegūtās zināšanas amata pienākumu veikšanā, taču vienlaikus trūkst dziļākas izpratnes un spējas šīs zināšanas ar izpratni lietot sarežģītāku problēmjautājumu risināšanā.</w:t>
            </w:r>
          </w:p>
        </w:tc>
      </w:tr>
      <w:tr w:rsidR="004E54CF" w:rsidRPr="00292568" w:rsidTr="00D42B66">
        <w:trPr>
          <w:cantSplit/>
        </w:trPr>
        <w:tc>
          <w:tcPr>
            <w:tcW w:w="1311" w:type="dxa"/>
            <w:vAlign w:val="center"/>
          </w:tcPr>
          <w:p w:rsidR="004E54CF" w:rsidRPr="00292568" w:rsidRDefault="004E54CF" w:rsidP="00D42B66">
            <w:pPr>
              <w:pStyle w:val="Subtitle"/>
              <w:rPr>
                <w:b w:val="0"/>
                <w:sz w:val="28"/>
                <w:szCs w:val="28"/>
              </w:rPr>
            </w:pPr>
            <w:r w:rsidRPr="00292568">
              <w:rPr>
                <w:b w:val="0"/>
                <w:sz w:val="28"/>
                <w:szCs w:val="28"/>
              </w:rPr>
              <w:t>7</w:t>
            </w:r>
          </w:p>
        </w:tc>
        <w:tc>
          <w:tcPr>
            <w:tcW w:w="1916" w:type="dxa"/>
            <w:vAlign w:val="center"/>
          </w:tcPr>
          <w:p w:rsidR="004E54CF" w:rsidRPr="00292568" w:rsidRDefault="004E54CF" w:rsidP="00D42B66">
            <w:pPr>
              <w:pStyle w:val="naiskr"/>
              <w:jc w:val="center"/>
              <w:rPr>
                <w:sz w:val="28"/>
                <w:szCs w:val="28"/>
              </w:rPr>
            </w:pPr>
            <w:r w:rsidRPr="00292568">
              <w:rPr>
                <w:sz w:val="28"/>
                <w:szCs w:val="28"/>
              </w:rPr>
              <w:t>Labi</w:t>
            </w:r>
          </w:p>
        </w:tc>
        <w:tc>
          <w:tcPr>
            <w:tcW w:w="6520" w:type="dxa"/>
          </w:tcPr>
          <w:p w:rsidR="004E54CF" w:rsidRPr="00292568" w:rsidRDefault="004E54CF" w:rsidP="00D42B66">
            <w:pPr>
              <w:pStyle w:val="naiskr"/>
              <w:jc w:val="both"/>
              <w:rPr>
                <w:sz w:val="28"/>
                <w:szCs w:val="28"/>
              </w:rPr>
            </w:pPr>
            <w:r w:rsidRPr="00292568">
              <w:rPr>
                <w:sz w:val="28"/>
                <w:szCs w:val="28"/>
              </w:rPr>
              <w:t>Izpratne par zvērinātu tiesu izpildītāju darbību regulējošajiem normatīvajiem aktiem, iegūta prasme piemērot iegūtās zināšanas amata pienākumu veikšanā, vienlaikus konstatējami arī atsevišķi mazāk svarīgi trūkumi dažu tēmu izpratnē.</w:t>
            </w:r>
          </w:p>
        </w:tc>
      </w:tr>
      <w:tr w:rsidR="004E54CF" w:rsidRPr="00292568" w:rsidTr="00D42B66">
        <w:trPr>
          <w:cantSplit/>
        </w:trPr>
        <w:tc>
          <w:tcPr>
            <w:tcW w:w="1311" w:type="dxa"/>
            <w:vAlign w:val="center"/>
          </w:tcPr>
          <w:p w:rsidR="004E54CF" w:rsidRPr="00292568" w:rsidRDefault="004E54CF" w:rsidP="00D42B66">
            <w:pPr>
              <w:pStyle w:val="Subtitle"/>
              <w:rPr>
                <w:b w:val="0"/>
                <w:sz w:val="28"/>
                <w:szCs w:val="28"/>
              </w:rPr>
            </w:pPr>
            <w:r w:rsidRPr="00292568">
              <w:rPr>
                <w:b w:val="0"/>
                <w:sz w:val="28"/>
                <w:szCs w:val="28"/>
              </w:rPr>
              <w:t>6</w:t>
            </w:r>
          </w:p>
        </w:tc>
        <w:tc>
          <w:tcPr>
            <w:tcW w:w="1916" w:type="dxa"/>
            <w:vAlign w:val="center"/>
          </w:tcPr>
          <w:p w:rsidR="004E54CF" w:rsidRPr="00292568" w:rsidRDefault="004E54CF" w:rsidP="00D42B66">
            <w:pPr>
              <w:pStyle w:val="Subtitle"/>
              <w:rPr>
                <w:b w:val="0"/>
                <w:sz w:val="28"/>
                <w:szCs w:val="28"/>
              </w:rPr>
            </w:pPr>
            <w:r w:rsidRPr="00292568">
              <w:rPr>
                <w:b w:val="0"/>
                <w:sz w:val="28"/>
                <w:szCs w:val="28"/>
              </w:rPr>
              <w:t>Gandrīz labi</w:t>
            </w:r>
          </w:p>
        </w:tc>
        <w:tc>
          <w:tcPr>
            <w:tcW w:w="6520" w:type="dxa"/>
          </w:tcPr>
          <w:p w:rsidR="004E54CF" w:rsidRPr="00292568" w:rsidRDefault="004E54CF" w:rsidP="00D42B66">
            <w:pPr>
              <w:pStyle w:val="Subtitle"/>
              <w:jc w:val="both"/>
              <w:rPr>
                <w:b w:val="0"/>
                <w:sz w:val="28"/>
                <w:szCs w:val="28"/>
              </w:rPr>
            </w:pPr>
            <w:r w:rsidRPr="00292568">
              <w:rPr>
                <w:b w:val="0"/>
                <w:sz w:val="28"/>
                <w:szCs w:val="28"/>
              </w:rPr>
              <w:t>Apmierinoša izpratne par zvērinātu tiesu izpildītāju darbību regulējošajiem normatīvajiem aktiem, taču konstatējama atsevišķu jautājumu nepietiekami dziļa izpratne un nespēja pielietot iegūtās zināšanas atsevišķu problēmjautājumu risināšanā.</w:t>
            </w:r>
          </w:p>
        </w:tc>
      </w:tr>
      <w:tr w:rsidR="004E54CF" w:rsidRPr="00292568" w:rsidTr="00D42B66">
        <w:trPr>
          <w:cantSplit/>
        </w:trPr>
        <w:tc>
          <w:tcPr>
            <w:tcW w:w="1311" w:type="dxa"/>
            <w:vAlign w:val="center"/>
          </w:tcPr>
          <w:p w:rsidR="004E54CF" w:rsidRPr="00292568" w:rsidRDefault="004E54CF" w:rsidP="00D42B66">
            <w:pPr>
              <w:pStyle w:val="Subtitle"/>
              <w:rPr>
                <w:b w:val="0"/>
                <w:sz w:val="28"/>
                <w:szCs w:val="28"/>
              </w:rPr>
            </w:pPr>
            <w:r w:rsidRPr="00292568">
              <w:rPr>
                <w:b w:val="0"/>
                <w:sz w:val="28"/>
                <w:szCs w:val="28"/>
              </w:rPr>
              <w:t>5</w:t>
            </w:r>
          </w:p>
        </w:tc>
        <w:tc>
          <w:tcPr>
            <w:tcW w:w="1916" w:type="dxa"/>
            <w:vAlign w:val="center"/>
          </w:tcPr>
          <w:p w:rsidR="004E54CF" w:rsidRPr="00292568" w:rsidRDefault="004E54CF" w:rsidP="00D42B66">
            <w:pPr>
              <w:pStyle w:val="Subtitle"/>
              <w:rPr>
                <w:b w:val="0"/>
                <w:sz w:val="28"/>
                <w:szCs w:val="28"/>
              </w:rPr>
            </w:pPr>
            <w:r w:rsidRPr="00292568">
              <w:rPr>
                <w:b w:val="0"/>
                <w:sz w:val="28"/>
                <w:szCs w:val="28"/>
              </w:rPr>
              <w:t>Viduvēji</w:t>
            </w:r>
          </w:p>
        </w:tc>
        <w:tc>
          <w:tcPr>
            <w:tcW w:w="6520" w:type="dxa"/>
          </w:tcPr>
          <w:p w:rsidR="004E54CF" w:rsidRPr="00292568" w:rsidRDefault="004E54CF" w:rsidP="00D42B66">
            <w:pPr>
              <w:pStyle w:val="Subtitle"/>
              <w:jc w:val="both"/>
              <w:rPr>
                <w:b w:val="0"/>
                <w:sz w:val="28"/>
                <w:szCs w:val="28"/>
              </w:rPr>
            </w:pPr>
            <w:r w:rsidRPr="00292568">
              <w:rPr>
                <w:b w:val="0"/>
                <w:sz w:val="28"/>
                <w:szCs w:val="28"/>
              </w:rPr>
              <w:t xml:space="preserve">Apmierinoša izpratne par biežāk lietojamajiem zvērinātu tiesu izpildītāju darbību regulējošajiem normatīvajiem aktiem, taču vienlaikus konstatējama vairāku būtisku jautājumu nepietiekama izpratne. </w:t>
            </w:r>
          </w:p>
        </w:tc>
      </w:tr>
      <w:tr w:rsidR="004E54CF" w:rsidRPr="00292568" w:rsidTr="00D42B66">
        <w:trPr>
          <w:cantSplit/>
        </w:trPr>
        <w:tc>
          <w:tcPr>
            <w:tcW w:w="1311" w:type="dxa"/>
            <w:vAlign w:val="center"/>
          </w:tcPr>
          <w:p w:rsidR="004E54CF" w:rsidRPr="00292568" w:rsidRDefault="004E54CF" w:rsidP="00D42B66">
            <w:pPr>
              <w:pStyle w:val="Subtitle"/>
              <w:rPr>
                <w:b w:val="0"/>
                <w:sz w:val="28"/>
                <w:szCs w:val="28"/>
              </w:rPr>
            </w:pPr>
            <w:r w:rsidRPr="00292568">
              <w:rPr>
                <w:b w:val="0"/>
                <w:sz w:val="28"/>
                <w:szCs w:val="28"/>
              </w:rPr>
              <w:t>4</w:t>
            </w:r>
          </w:p>
        </w:tc>
        <w:tc>
          <w:tcPr>
            <w:tcW w:w="1916" w:type="dxa"/>
            <w:vAlign w:val="center"/>
          </w:tcPr>
          <w:p w:rsidR="004E54CF" w:rsidRPr="00292568" w:rsidRDefault="004E54CF" w:rsidP="00D42B66">
            <w:pPr>
              <w:pStyle w:val="naiskr"/>
              <w:jc w:val="center"/>
              <w:rPr>
                <w:sz w:val="28"/>
                <w:szCs w:val="28"/>
              </w:rPr>
            </w:pPr>
            <w:r w:rsidRPr="00292568">
              <w:rPr>
                <w:sz w:val="28"/>
                <w:szCs w:val="28"/>
              </w:rPr>
              <w:t>Gandrīz viduvēji</w:t>
            </w:r>
          </w:p>
        </w:tc>
        <w:tc>
          <w:tcPr>
            <w:tcW w:w="6520" w:type="dxa"/>
          </w:tcPr>
          <w:p w:rsidR="004E54CF" w:rsidRPr="00292568" w:rsidRDefault="004E54CF" w:rsidP="00D42B66">
            <w:pPr>
              <w:pStyle w:val="naiskr"/>
              <w:jc w:val="both"/>
              <w:rPr>
                <w:sz w:val="28"/>
                <w:szCs w:val="28"/>
              </w:rPr>
            </w:pPr>
            <w:r w:rsidRPr="00292568">
              <w:rPr>
                <w:sz w:val="28"/>
                <w:szCs w:val="28"/>
              </w:rPr>
              <w:t>Kopumā</w:t>
            </w:r>
            <w:r w:rsidRPr="00292568">
              <w:rPr>
                <w:b/>
                <w:sz w:val="28"/>
                <w:szCs w:val="28"/>
              </w:rPr>
              <w:t xml:space="preserve"> </w:t>
            </w:r>
            <w:r w:rsidRPr="00292568">
              <w:rPr>
                <w:sz w:val="28"/>
                <w:szCs w:val="28"/>
              </w:rPr>
              <w:t xml:space="preserve">apmierinoša izpratne par biežāk lietojamajiem zvērinātu tiesu izpildītāju darbību regulējošajiem normatīvajiem aktiem, vienlaikus konstatējami būtiski trūkumi spējā piemērot iegūtās zināšanas praksē. </w:t>
            </w:r>
          </w:p>
        </w:tc>
      </w:tr>
      <w:tr w:rsidR="004E54CF" w:rsidRPr="00292568" w:rsidTr="00D42B66">
        <w:trPr>
          <w:cantSplit/>
        </w:trPr>
        <w:tc>
          <w:tcPr>
            <w:tcW w:w="1311" w:type="dxa"/>
            <w:vAlign w:val="center"/>
          </w:tcPr>
          <w:p w:rsidR="004E54CF" w:rsidRPr="00292568" w:rsidRDefault="004E54CF" w:rsidP="00D42B66">
            <w:pPr>
              <w:pStyle w:val="Subtitle"/>
              <w:rPr>
                <w:b w:val="0"/>
                <w:sz w:val="28"/>
                <w:szCs w:val="28"/>
              </w:rPr>
            </w:pPr>
            <w:r w:rsidRPr="00292568">
              <w:rPr>
                <w:b w:val="0"/>
                <w:sz w:val="28"/>
                <w:szCs w:val="28"/>
              </w:rPr>
              <w:lastRenderedPageBreak/>
              <w:t>3</w:t>
            </w:r>
          </w:p>
        </w:tc>
        <w:tc>
          <w:tcPr>
            <w:tcW w:w="1916" w:type="dxa"/>
            <w:vAlign w:val="center"/>
          </w:tcPr>
          <w:p w:rsidR="004E54CF" w:rsidRPr="00292568" w:rsidRDefault="004E54CF" w:rsidP="00D42B66">
            <w:pPr>
              <w:pStyle w:val="naiskr"/>
              <w:jc w:val="center"/>
              <w:rPr>
                <w:sz w:val="28"/>
                <w:szCs w:val="28"/>
              </w:rPr>
            </w:pPr>
            <w:r w:rsidRPr="00292568">
              <w:rPr>
                <w:sz w:val="28"/>
                <w:szCs w:val="28"/>
              </w:rPr>
              <w:t>Vāji</w:t>
            </w:r>
          </w:p>
        </w:tc>
        <w:tc>
          <w:tcPr>
            <w:tcW w:w="6520" w:type="dxa"/>
          </w:tcPr>
          <w:p w:rsidR="004E54CF" w:rsidRPr="00292568" w:rsidRDefault="004E54CF" w:rsidP="00D42B66">
            <w:pPr>
              <w:pStyle w:val="naiskr"/>
              <w:jc w:val="both"/>
              <w:rPr>
                <w:sz w:val="28"/>
                <w:szCs w:val="28"/>
              </w:rPr>
            </w:pPr>
            <w:r w:rsidRPr="00292568">
              <w:rPr>
                <w:sz w:val="28"/>
                <w:szCs w:val="28"/>
              </w:rPr>
              <w:t>Virspusējas zināšanas par zvērinātu tiesu izpildītāju darbību regulējošajiem normatīvajiem aktiem, trūkst prasmes tās praktiski izmantot amata pienākumu veikšanā.</w:t>
            </w:r>
          </w:p>
        </w:tc>
      </w:tr>
      <w:tr w:rsidR="004E54CF" w:rsidRPr="00292568" w:rsidTr="00D42B66">
        <w:trPr>
          <w:cantSplit/>
        </w:trPr>
        <w:tc>
          <w:tcPr>
            <w:tcW w:w="1311" w:type="dxa"/>
            <w:vAlign w:val="center"/>
          </w:tcPr>
          <w:p w:rsidR="004E54CF" w:rsidRPr="00292568" w:rsidRDefault="004E54CF" w:rsidP="00D42B66">
            <w:pPr>
              <w:pStyle w:val="Subtitle"/>
              <w:rPr>
                <w:b w:val="0"/>
                <w:sz w:val="28"/>
                <w:szCs w:val="28"/>
              </w:rPr>
            </w:pPr>
            <w:r w:rsidRPr="00292568">
              <w:rPr>
                <w:b w:val="0"/>
                <w:sz w:val="28"/>
                <w:szCs w:val="28"/>
              </w:rPr>
              <w:t>2</w:t>
            </w:r>
          </w:p>
        </w:tc>
        <w:tc>
          <w:tcPr>
            <w:tcW w:w="1916" w:type="dxa"/>
            <w:vAlign w:val="center"/>
          </w:tcPr>
          <w:p w:rsidR="004E54CF" w:rsidRPr="00292568" w:rsidRDefault="004E54CF" w:rsidP="00D42B66">
            <w:pPr>
              <w:pStyle w:val="naiskr"/>
              <w:jc w:val="center"/>
              <w:rPr>
                <w:sz w:val="28"/>
                <w:szCs w:val="28"/>
              </w:rPr>
            </w:pPr>
            <w:r w:rsidRPr="00292568">
              <w:rPr>
                <w:sz w:val="28"/>
                <w:szCs w:val="28"/>
              </w:rPr>
              <w:t>Ļoti vāji</w:t>
            </w:r>
          </w:p>
        </w:tc>
        <w:tc>
          <w:tcPr>
            <w:tcW w:w="6520" w:type="dxa"/>
          </w:tcPr>
          <w:p w:rsidR="004E54CF" w:rsidRPr="00292568" w:rsidRDefault="004E54CF" w:rsidP="00D42B66">
            <w:pPr>
              <w:pStyle w:val="naiskr"/>
              <w:jc w:val="both"/>
              <w:rPr>
                <w:sz w:val="28"/>
                <w:szCs w:val="28"/>
              </w:rPr>
            </w:pPr>
            <w:r w:rsidRPr="00292568">
              <w:rPr>
                <w:sz w:val="28"/>
                <w:szCs w:val="28"/>
              </w:rPr>
              <w:t>Virspusējas zināšanas par atsevišķiem zvērinātu tiesu izpildītāju darbību regulējošajiem normatīvajiem aktiem.</w:t>
            </w:r>
          </w:p>
        </w:tc>
      </w:tr>
      <w:tr w:rsidR="004E54CF" w:rsidRPr="00292568" w:rsidTr="00D42B66">
        <w:trPr>
          <w:cantSplit/>
        </w:trPr>
        <w:tc>
          <w:tcPr>
            <w:tcW w:w="1311" w:type="dxa"/>
            <w:vAlign w:val="center"/>
          </w:tcPr>
          <w:p w:rsidR="004E54CF" w:rsidRPr="00292568" w:rsidRDefault="004E54CF" w:rsidP="00D42B66">
            <w:pPr>
              <w:pStyle w:val="Subtitle"/>
              <w:rPr>
                <w:b w:val="0"/>
                <w:sz w:val="28"/>
                <w:szCs w:val="28"/>
              </w:rPr>
            </w:pPr>
            <w:r w:rsidRPr="00292568">
              <w:rPr>
                <w:b w:val="0"/>
                <w:sz w:val="28"/>
                <w:szCs w:val="28"/>
              </w:rPr>
              <w:t>1</w:t>
            </w:r>
          </w:p>
        </w:tc>
        <w:tc>
          <w:tcPr>
            <w:tcW w:w="1916" w:type="dxa"/>
            <w:vAlign w:val="center"/>
          </w:tcPr>
          <w:p w:rsidR="004E54CF" w:rsidRPr="00292568" w:rsidRDefault="004E54CF" w:rsidP="00D42B66">
            <w:pPr>
              <w:pStyle w:val="naiskr"/>
              <w:jc w:val="center"/>
              <w:rPr>
                <w:sz w:val="28"/>
                <w:szCs w:val="28"/>
              </w:rPr>
            </w:pPr>
            <w:r w:rsidRPr="00292568">
              <w:rPr>
                <w:sz w:val="28"/>
                <w:szCs w:val="28"/>
              </w:rPr>
              <w:t>Neapmierinoši</w:t>
            </w:r>
          </w:p>
        </w:tc>
        <w:tc>
          <w:tcPr>
            <w:tcW w:w="6520" w:type="dxa"/>
          </w:tcPr>
          <w:p w:rsidR="004E54CF" w:rsidRPr="00292568" w:rsidRDefault="004E54CF" w:rsidP="00D42B66">
            <w:pPr>
              <w:pStyle w:val="naiskr"/>
              <w:jc w:val="both"/>
              <w:rPr>
                <w:sz w:val="28"/>
                <w:szCs w:val="28"/>
              </w:rPr>
            </w:pPr>
            <w:r w:rsidRPr="00292568">
              <w:rPr>
                <w:sz w:val="28"/>
                <w:szCs w:val="28"/>
              </w:rPr>
              <w:t>Nav izpratnes par biežāk lietojamajiem zvērinātu tiesu izpildītāju darbību regulējošajiem normatīvajiem aktiem.</w:t>
            </w:r>
          </w:p>
        </w:tc>
      </w:tr>
    </w:tbl>
    <w:p w:rsidR="004E54CF" w:rsidRPr="00292568" w:rsidRDefault="004E54CF" w:rsidP="004E54CF">
      <w:pPr>
        <w:pStyle w:val="naisf"/>
        <w:spacing w:before="0" w:after="0"/>
        <w:ind w:firstLine="0"/>
        <w:rPr>
          <w:sz w:val="28"/>
          <w:szCs w:val="28"/>
        </w:rPr>
      </w:pPr>
    </w:p>
    <w:p w:rsidR="004E54CF" w:rsidRPr="00292568" w:rsidRDefault="004E54CF" w:rsidP="004E54CF">
      <w:pPr>
        <w:pStyle w:val="naisf"/>
        <w:spacing w:before="0" w:after="0"/>
        <w:ind w:firstLine="0"/>
        <w:rPr>
          <w:sz w:val="28"/>
          <w:szCs w:val="28"/>
        </w:rPr>
      </w:pPr>
      <w:r w:rsidRPr="00292568">
        <w:rPr>
          <w:sz w:val="28"/>
          <w:szCs w:val="28"/>
        </w:rPr>
        <w:t>Tieslietu ministrs</w:t>
      </w:r>
      <w:r w:rsidRPr="00292568">
        <w:rPr>
          <w:sz w:val="28"/>
          <w:szCs w:val="28"/>
        </w:rPr>
        <w:tab/>
      </w:r>
      <w:r w:rsidRPr="00292568">
        <w:rPr>
          <w:sz w:val="28"/>
          <w:szCs w:val="28"/>
        </w:rPr>
        <w:tab/>
      </w:r>
      <w:r w:rsidRPr="00292568">
        <w:rPr>
          <w:sz w:val="28"/>
          <w:szCs w:val="28"/>
        </w:rPr>
        <w:tab/>
      </w:r>
      <w:r w:rsidRPr="00292568">
        <w:rPr>
          <w:sz w:val="28"/>
          <w:szCs w:val="28"/>
        </w:rPr>
        <w:tab/>
      </w:r>
      <w:r w:rsidRPr="00292568">
        <w:rPr>
          <w:sz w:val="28"/>
          <w:szCs w:val="28"/>
        </w:rPr>
        <w:tab/>
      </w:r>
      <w:r w:rsidRPr="00292568">
        <w:rPr>
          <w:sz w:val="28"/>
          <w:szCs w:val="28"/>
        </w:rPr>
        <w:tab/>
      </w:r>
      <w:r w:rsidRPr="00292568">
        <w:rPr>
          <w:sz w:val="28"/>
          <w:szCs w:val="28"/>
        </w:rPr>
        <w:tab/>
      </w:r>
      <w:r w:rsidRPr="00292568">
        <w:rPr>
          <w:sz w:val="28"/>
          <w:szCs w:val="28"/>
        </w:rPr>
        <w:tab/>
        <w:t>A. </w:t>
      </w:r>
      <w:proofErr w:type="spellStart"/>
      <w:r w:rsidRPr="00292568">
        <w:rPr>
          <w:sz w:val="28"/>
          <w:szCs w:val="28"/>
        </w:rPr>
        <w:t>Štokenbergs</w:t>
      </w:r>
      <w:proofErr w:type="spellEnd"/>
    </w:p>
    <w:p w:rsidR="004E54CF" w:rsidRDefault="004E54CF" w:rsidP="004E54CF">
      <w:pPr>
        <w:pStyle w:val="naisf"/>
        <w:spacing w:before="0" w:after="0"/>
        <w:ind w:firstLine="0"/>
        <w:rPr>
          <w:sz w:val="28"/>
          <w:szCs w:val="28"/>
        </w:rPr>
      </w:pPr>
    </w:p>
    <w:p w:rsidR="004E54CF" w:rsidRPr="00292568" w:rsidRDefault="004E54CF" w:rsidP="004E54CF">
      <w:pPr>
        <w:pStyle w:val="naisf"/>
        <w:spacing w:before="0" w:after="0"/>
        <w:ind w:firstLine="0"/>
        <w:rPr>
          <w:sz w:val="28"/>
          <w:szCs w:val="28"/>
        </w:rPr>
      </w:pPr>
    </w:p>
    <w:p w:rsidR="004E54CF" w:rsidRPr="00292568" w:rsidRDefault="004E54CF" w:rsidP="004E54CF">
      <w:pPr>
        <w:pStyle w:val="naisf"/>
        <w:spacing w:before="0" w:after="0"/>
        <w:ind w:firstLine="0"/>
        <w:rPr>
          <w:sz w:val="28"/>
          <w:szCs w:val="28"/>
        </w:rPr>
      </w:pPr>
      <w:r w:rsidRPr="00292568">
        <w:rPr>
          <w:sz w:val="28"/>
          <w:szCs w:val="28"/>
        </w:rPr>
        <w:t>Tieslietu ministrs</w:t>
      </w:r>
      <w:r w:rsidRPr="00292568">
        <w:rPr>
          <w:sz w:val="28"/>
          <w:szCs w:val="28"/>
        </w:rPr>
        <w:tab/>
      </w:r>
      <w:r w:rsidRPr="00292568">
        <w:rPr>
          <w:sz w:val="28"/>
          <w:szCs w:val="28"/>
        </w:rPr>
        <w:tab/>
      </w:r>
      <w:r w:rsidRPr="00292568">
        <w:rPr>
          <w:sz w:val="28"/>
          <w:szCs w:val="28"/>
        </w:rPr>
        <w:tab/>
      </w:r>
      <w:r w:rsidRPr="00292568">
        <w:rPr>
          <w:sz w:val="28"/>
          <w:szCs w:val="28"/>
        </w:rPr>
        <w:tab/>
      </w:r>
      <w:r w:rsidRPr="00292568">
        <w:rPr>
          <w:sz w:val="28"/>
          <w:szCs w:val="28"/>
        </w:rPr>
        <w:tab/>
      </w:r>
      <w:r w:rsidRPr="00292568">
        <w:rPr>
          <w:sz w:val="28"/>
          <w:szCs w:val="28"/>
        </w:rPr>
        <w:tab/>
      </w:r>
      <w:r w:rsidRPr="00292568">
        <w:rPr>
          <w:sz w:val="28"/>
          <w:szCs w:val="28"/>
        </w:rPr>
        <w:tab/>
      </w:r>
      <w:r w:rsidRPr="00292568">
        <w:rPr>
          <w:sz w:val="28"/>
          <w:szCs w:val="28"/>
        </w:rPr>
        <w:tab/>
        <w:t>A. </w:t>
      </w:r>
      <w:proofErr w:type="spellStart"/>
      <w:r w:rsidRPr="00292568">
        <w:rPr>
          <w:sz w:val="28"/>
          <w:szCs w:val="28"/>
        </w:rPr>
        <w:t>Štokenbergs</w:t>
      </w:r>
      <w:proofErr w:type="spellEnd"/>
    </w:p>
    <w:p w:rsidR="004E54CF" w:rsidRPr="00292568" w:rsidRDefault="004E54CF" w:rsidP="004E54CF">
      <w:pPr>
        <w:pStyle w:val="naisf"/>
        <w:spacing w:before="0" w:after="0"/>
        <w:ind w:firstLine="0"/>
        <w:rPr>
          <w:sz w:val="28"/>
          <w:szCs w:val="28"/>
        </w:rPr>
      </w:pPr>
    </w:p>
    <w:p w:rsidR="004E54CF" w:rsidRDefault="004E54CF" w:rsidP="004E54CF">
      <w:pPr>
        <w:jc w:val="both"/>
      </w:pPr>
    </w:p>
    <w:p w:rsidR="004E54CF" w:rsidRDefault="004E54CF" w:rsidP="004E54CF">
      <w:pPr>
        <w:jc w:val="both"/>
      </w:pPr>
    </w:p>
    <w:p w:rsidR="004E54CF" w:rsidRDefault="004E54CF" w:rsidP="004E54CF">
      <w:pPr>
        <w:jc w:val="both"/>
      </w:pPr>
    </w:p>
    <w:p w:rsidR="004E54CF" w:rsidRDefault="004E54CF" w:rsidP="004E54CF">
      <w:pPr>
        <w:jc w:val="both"/>
      </w:pPr>
    </w:p>
    <w:p w:rsidR="004E54CF" w:rsidRDefault="004E54CF" w:rsidP="004E54CF">
      <w:pPr>
        <w:jc w:val="both"/>
      </w:pPr>
    </w:p>
    <w:p w:rsidR="004E54CF" w:rsidRDefault="004E54CF" w:rsidP="004E54CF">
      <w:pPr>
        <w:jc w:val="both"/>
      </w:pPr>
    </w:p>
    <w:p w:rsidR="004E54CF" w:rsidRDefault="004E54CF" w:rsidP="004E54CF">
      <w:pPr>
        <w:jc w:val="both"/>
      </w:pPr>
    </w:p>
    <w:p w:rsidR="004E54CF" w:rsidRDefault="004E54CF" w:rsidP="004E54CF">
      <w:pPr>
        <w:jc w:val="both"/>
      </w:pPr>
    </w:p>
    <w:p w:rsidR="004E54CF" w:rsidRDefault="004E54CF" w:rsidP="004E54CF">
      <w:pPr>
        <w:jc w:val="both"/>
      </w:pPr>
    </w:p>
    <w:p w:rsidR="004E54CF" w:rsidRDefault="004E54CF" w:rsidP="004E54CF">
      <w:pPr>
        <w:jc w:val="both"/>
      </w:pPr>
    </w:p>
    <w:p w:rsidR="004E54CF" w:rsidRDefault="004E54CF" w:rsidP="004E54CF">
      <w:pPr>
        <w:jc w:val="both"/>
      </w:pPr>
    </w:p>
    <w:p w:rsidR="004E54CF" w:rsidRDefault="004E54CF" w:rsidP="004E54CF">
      <w:pPr>
        <w:jc w:val="both"/>
      </w:pPr>
    </w:p>
    <w:p w:rsidR="004E54CF" w:rsidRDefault="004E54CF" w:rsidP="004E54CF">
      <w:pPr>
        <w:jc w:val="both"/>
      </w:pPr>
    </w:p>
    <w:p w:rsidR="004E54CF" w:rsidRDefault="004E54CF" w:rsidP="004E54CF">
      <w:pPr>
        <w:jc w:val="both"/>
      </w:pPr>
    </w:p>
    <w:p w:rsidR="004E54CF" w:rsidRDefault="004E54CF" w:rsidP="004E54CF">
      <w:pPr>
        <w:jc w:val="both"/>
      </w:pPr>
    </w:p>
    <w:p w:rsidR="004E54CF" w:rsidRDefault="004E54CF" w:rsidP="004E54CF">
      <w:pPr>
        <w:jc w:val="both"/>
      </w:pPr>
    </w:p>
    <w:p w:rsidR="004E54CF" w:rsidRDefault="004E54CF" w:rsidP="004E54CF">
      <w:pPr>
        <w:jc w:val="both"/>
      </w:pPr>
    </w:p>
    <w:p w:rsidR="004E54CF" w:rsidRDefault="004E54CF" w:rsidP="004E54CF">
      <w:pPr>
        <w:jc w:val="both"/>
      </w:pPr>
    </w:p>
    <w:p w:rsidR="004E54CF" w:rsidRDefault="004E54CF" w:rsidP="004E54CF">
      <w:pPr>
        <w:jc w:val="both"/>
      </w:pPr>
    </w:p>
    <w:p w:rsidR="004E54CF" w:rsidRDefault="004E54CF" w:rsidP="004E54CF">
      <w:pPr>
        <w:jc w:val="both"/>
      </w:pPr>
    </w:p>
    <w:p w:rsidR="004E54CF" w:rsidRPr="00770C33" w:rsidRDefault="004E54CF" w:rsidP="004E54CF">
      <w:pPr>
        <w:jc w:val="both"/>
      </w:pPr>
    </w:p>
    <w:p w:rsidR="004E54CF" w:rsidRPr="00770C33" w:rsidRDefault="000C53F4" w:rsidP="004E54CF">
      <w:r>
        <w:t>2</w:t>
      </w:r>
      <w:r w:rsidR="00AA2DB0">
        <w:t>3</w:t>
      </w:r>
      <w:r w:rsidR="004E54CF">
        <w:t>.0</w:t>
      </w:r>
      <w:r>
        <w:t>5</w:t>
      </w:r>
      <w:r w:rsidR="004E54CF">
        <w:t xml:space="preserve">.2011 </w:t>
      </w:r>
      <w:r w:rsidR="00AA2DB0">
        <w:t>9</w:t>
      </w:r>
      <w:r w:rsidR="004E54CF">
        <w:t>:</w:t>
      </w:r>
      <w:r w:rsidR="00AA2DB0">
        <w:t>57</w:t>
      </w:r>
    </w:p>
    <w:p w:rsidR="004E54CF" w:rsidRPr="00770C33" w:rsidRDefault="004E54CF" w:rsidP="004E54CF">
      <w:r>
        <w:t>2</w:t>
      </w:r>
      <w:r w:rsidR="000C53F4">
        <w:t>77</w:t>
      </w:r>
    </w:p>
    <w:p w:rsidR="004E54CF" w:rsidRPr="00770C33" w:rsidRDefault="004E54CF" w:rsidP="004E54CF">
      <w:r>
        <w:t>E. </w:t>
      </w:r>
      <w:r w:rsidRPr="00770C33">
        <w:t>Timpare</w:t>
      </w:r>
    </w:p>
    <w:p w:rsidR="004E54CF" w:rsidRPr="00770C33" w:rsidRDefault="004E54CF" w:rsidP="004E54CF">
      <w:r w:rsidRPr="00770C33">
        <w:t>67036829, evija.timpare@tm.gov.lv</w:t>
      </w:r>
    </w:p>
    <w:p w:rsidR="004E54CF" w:rsidRDefault="004E54CF" w:rsidP="004E54CF"/>
    <w:p w:rsidR="00F236FB" w:rsidRDefault="00F236FB"/>
    <w:sectPr w:rsidR="00F236FB" w:rsidSect="00292568">
      <w:headerReference w:type="default" r:id="rId6"/>
      <w:footerReference w:type="default" r:id="rId7"/>
      <w:footerReference w:type="first" r:id="rId8"/>
      <w:pgSz w:w="11906" w:h="16838" w:code="9"/>
      <w:pgMar w:top="1418" w:right="1134" w:bottom="1134" w:left="1701"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3F4" w:rsidRDefault="000C53F4" w:rsidP="000C53F4">
      <w:r>
        <w:separator/>
      </w:r>
    </w:p>
  </w:endnote>
  <w:endnote w:type="continuationSeparator" w:id="0">
    <w:p w:rsidR="000C53F4" w:rsidRDefault="000C53F4" w:rsidP="000C53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290" w:rsidRPr="005F1840" w:rsidRDefault="00D0153D" w:rsidP="00DA0669">
    <w:pPr>
      <w:jc w:val="both"/>
      <w:rPr>
        <w:b/>
      </w:rPr>
    </w:pPr>
    <w:fldSimple w:instr=" FILENAME   \* MERGEFORMAT ">
      <w:r w:rsidR="00A619E0">
        <w:rPr>
          <w:noProof/>
        </w:rPr>
        <w:t>TMNotp1_230511_eksamens</w:t>
      </w:r>
    </w:fldSimple>
    <w:r w:rsidR="00F87F96" w:rsidRPr="00020EC5">
      <w:t xml:space="preserve">; </w:t>
    </w:r>
    <w:r w:rsidR="00F87F96">
      <w:t>Ministru kabineta noteikumu</w:t>
    </w:r>
    <w:r w:rsidR="00F87F96" w:rsidRPr="00020EC5">
      <w:t xml:space="preserve"> </w:t>
    </w:r>
    <w:r w:rsidR="00F87F96">
      <w:t>projekta „Noteikumi par zvērināta tiesu izpildītāja palīga eksāmena kārtību un nepieciešamo zināšanu apjomu” pielikums Nr. 1</w:t>
    </w:r>
  </w:p>
  <w:p w:rsidR="00366290" w:rsidRDefault="00A619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290" w:rsidRPr="004D612D" w:rsidRDefault="00D0153D" w:rsidP="00DA0669">
    <w:pPr>
      <w:jc w:val="both"/>
      <w:rPr>
        <w:noProof/>
      </w:rPr>
    </w:pPr>
    <w:fldSimple w:instr=" FILENAME   \* MERGEFORMAT ">
      <w:r w:rsidR="00A619E0">
        <w:rPr>
          <w:noProof/>
        </w:rPr>
        <w:t>TMNotp1_230511_eksamens</w:t>
      </w:r>
    </w:fldSimple>
    <w:r w:rsidR="00F87F96" w:rsidRPr="00020EC5">
      <w:t xml:space="preserve">; </w:t>
    </w:r>
    <w:r w:rsidR="00F87F96">
      <w:t>Ministru kabineta noteikumu</w:t>
    </w:r>
    <w:r w:rsidR="00F87F96" w:rsidRPr="00020EC5">
      <w:t xml:space="preserve"> </w:t>
    </w:r>
    <w:r w:rsidR="00F87F96">
      <w:t>projekta „Noteikumi par zvērināta tiesu izpildītāja palīga eksāmena kārtību un nepieciešamo zināšanu apjomu” pielikums Nr. 1</w:t>
    </w:r>
  </w:p>
  <w:p w:rsidR="00366290" w:rsidRDefault="00A619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3F4" w:rsidRDefault="000C53F4" w:rsidP="000C53F4">
      <w:r>
        <w:separator/>
      </w:r>
    </w:p>
  </w:footnote>
  <w:footnote w:type="continuationSeparator" w:id="0">
    <w:p w:rsidR="000C53F4" w:rsidRDefault="000C53F4" w:rsidP="000C53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290" w:rsidRPr="00691A6B" w:rsidRDefault="00D0153D">
    <w:pPr>
      <w:pStyle w:val="Header"/>
      <w:jc w:val="center"/>
      <w:rPr>
        <w:sz w:val="24"/>
        <w:szCs w:val="24"/>
      </w:rPr>
    </w:pPr>
    <w:r w:rsidRPr="00691A6B">
      <w:rPr>
        <w:sz w:val="24"/>
        <w:szCs w:val="24"/>
      </w:rPr>
      <w:fldChar w:fldCharType="begin"/>
    </w:r>
    <w:r w:rsidR="00F87F96" w:rsidRPr="00691A6B">
      <w:rPr>
        <w:sz w:val="24"/>
        <w:szCs w:val="24"/>
      </w:rPr>
      <w:instrText xml:space="preserve"> PAGE   \* MERGEFORMAT </w:instrText>
    </w:r>
    <w:r w:rsidRPr="00691A6B">
      <w:rPr>
        <w:sz w:val="24"/>
        <w:szCs w:val="24"/>
      </w:rPr>
      <w:fldChar w:fldCharType="separate"/>
    </w:r>
    <w:r w:rsidR="00A619E0">
      <w:rPr>
        <w:noProof/>
        <w:sz w:val="24"/>
        <w:szCs w:val="24"/>
      </w:rPr>
      <w:t>2</w:t>
    </w:r>
    <w:r w:rsidRPr="00691A6B">
      <w:rPr>
        <w:sz w:val="24"/>
        <w:szCs w:val="24"/>
      </w:rPr>
      <w:fldChar w:fldCharType="end"/>
    </w:r>
  </w:p>
  <w:p w:rsidR="00366290" w:rsidRDefault="00A619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E54CF"/>
    <w:rsid w:val="0002073E"/>
    <w:rsid w:val="0006363F"/>
    <w:rsid w:val="000B0B81"/>
    <w:rsid w:val="000C46C4"/>
    <w:rsid w:val="000C53F4"/>
    <w:rsid w:val="000E59A6"/>
    <w:rsid w:val="00110AF7"/>
    <w:rsid w:val="00121F76"/>
    <w:rsid w:val="001255FF"/>
    <w:rsid w:val="00163D30"/>
    <w:rsid w:val="00180B9D"/>
    <w:rsid w:val="00183BFC"/>
    <w:rsid w:val="00197180"/>
    <w:rsid w:val="001F17A0"/>
    <w:rsid w:val="0021717E"/>
    <w:rsid w:val="002173AE"/>
    <w:rsid w:val="00225D74"/>
    <w:rsid w:val="002374ED"/>
    <w:rsid w:val="00286447"/>
    <w:rsid w:val="002A36E5"/>
    <w:rsid w:val="002E146E"/>
    <w:rsid w:val="002F0221"/>
    <w:rsid w:val="00305B62"/>
    <w:rsid w:val="00307E0E"/>
    <w:rsid w:val="003178F5"/>
    <w:rsid w:val="00332F56"/>
    <w:rsid w:val="00371A4B"/>
    <w:rsid w:val="00375D16"/>
    <w:rsid w:val="003840FD"/>
    <w:rsid w:val="003B1E97"/>
    <w:rsid w:val="003B259C"/>
    <w:rsid w:val="003B3B44"/>
    <w:rsid w:val="003C5E0D"/>
    <w:rsid w:val="003E37BD"/>
    <w:rsid w:val="00434044"/>
    <w:rsid w:val="0046300E"/>
    <w:rsid w:val="00485BC7"/>
    <w:rsid w:val="004B5F21"/>
    <w:rsid w:val="004C2B0B"/>
    <w:rsid w:val="004C2CF3"/>
    <w:rsid w:val="004E54CF"/>
    <w:rsid w:val="005069AC"/>
    <w:rsid w:val="0051283B"/>
    <w:rsid w:val="00527B31"/>
    <w:rsid w:val="00574243"/>
    <w:rsid w:val="005757F8"/>
    <w:rsid w:val="005A63FB"/>
    <w:rsid w:val="005B6EB6"/>
    <w:rsid w:val="005E73AB"/>
    <w:rsid w:val="00614473"/>
    <w:rsid w:val="00620F5B"/>
    <w:rsid w:val="00631C7A"/>
    <w:rsid w:val="006506F4"/>
    <w:rsid w:val="006550AC"/>
    <w:rsid w:val="00666FCF"/>
    <w:rsid w:val="00672839"/>
    <w:rsid w:val="00673C8B"/>
    <w:rsid w:val="006E1335"/>
    <w:rsid w:val="006F48DF"/>
    <w:rsid w:val="00722CC2"/>
    <w:rsid w:val="00743974"/>
    <w:rsid w:val="0075742C"/>
    <w:rsid w:val="00770C79"/>
    <w:rsid w:val="00794816"/>
    <w:rsid w:val="007A0223"/>
    <w:rsid w:val="007A261C"/>
    <w:rsid w:val="007A54CF"/>
    <w:rsid w:val="007B35AD"/>
    <w:rsid w:val="007D786D"/>
    <w:rsid w:val="007F45E0"/>
    <w:rsid w:val="00815992"/>
    <w:rsid w:val="00825B63"/>
    <w:rsid w:val="00840156"/>
    <w:rsid w:val="00852C8E"/>
    <w:rsid w:val="008B2B47"/>
    <w:rsid w:val="008B4D66"/>
    <w:rsid w:val="008C5D77"/>
    <w:rsid w:val="00902EEF"/>
    <w:rsid w:val="009137A2"/>
    <w:rsid w:val="009158BD"/>
    <w:rsid w:val="009249CC"/>
    <w:rsid w:val="00933D38"/>
    <w:rsid w:val="009351AA"/>
    <w:rsid w:val="0095052D"/>
    <w:rsid w:val="00977BD7"/>
    <w:rsid w:val="009A1C13"/>
    <w:rsid w:val="009A774D"/>
    <w:rsid w:val="009B0258"/>
    <w:rsid w:val="009E0A87"/>
    <w:rsid w:val="009F02F0"/>
    <w:rsid w:val="009F07EA"/>
    <w:rsid w:val="009F709D"/>
    <w:rsid w:val="00A3529A"/>
    <w:rsid w:val="00A46DED"/>
    <w:rsid w:val="00A51C39"/>
    <w:rsid w:val="00A53040"/>
    <w:rsid w:val="00A55E91"/>
    <w:rsid w:val="00A619E0"/>
    <w:rsid w:val="00A86D5E"/>
    <w:rsid w:val="00A9168B"/>
    <w:rsid w:val="00AA2DB0"/>
    <w:rsid w:val="00AB3C08"/>
    <w:rsid w:val="00AC27C9"/>
    <w:rsid w:val="00AD60C7"/>
    <w:rsid w:val="00AF622A"/>
    <w:rsid w:val="00B07887"/>
    <w:rsid w:val="00B26876"/>
    <w:rsid w:val="00B63952"/>
    <w:rsid w:val="00BA7E38"/>
    <w:rsid w:val="00BB3D77"/>
    <w:rsid w:val="00BC3204"/>
    <w:rsid w:val="00BD1B47"/>
    <w:rsid w:val="00BF110F"/>
    <w:rsid w:val="00C23A6B"/>
    <w:rsid w:val="00C27732"/>
    <w:rsid w:val="00C3551D"/>
    <w:rsid w:val="00C90E14"/>
    <w:rsid w:val="00CA5F4A"/>
    <w:rsid w:val="00CB1780"/>
    <w:rsid w:val="00CC094E"/>
    <w:rsid w:val="00CC3006"/>
    <w:rsid w:val="00CC4DE1"/>
    <w:rsid w:val="00CD0AC5"/>
    <w:rsid w:val="00CD7D04"/>
    <w:rsid w:val="00CE33A0"/>
    <w:rsid w:val="00CF0DC4"/>
    <w:rsid w:val="00D0153D"/>
    <w:rsid w:val="00D16476"/>
    <w:rsid w:val="00D22BE7"/>
    <w:rsid w:val="00D313A8"/>
    <w:rsid w:val="00D50338"/>
    <w:rsid w:val="00D651B3"/>
    <w:rsid w:val="00D72247"/>
    <w:rsid w:val="00D82450"/>
    <w:rsid w:val="00D94138"/>
    <w:rsid w:val="00DC684E"/>
    <w:rsid w:val="00DC6E28"/>
    <w:rsid w:val="00DE4427"/>
    <w:rsid w:val="00E55826"/>
    <w:rsid w:val="00E76AD7"/>
    <w:rsid w:val="00EA07CB"/>
    <w:rsid w:val="00EA577F"/>
    <w:rsid w:val="00EB198E"/>
    <w:rsid w:val="00EB77B3"/>
    <w:rsid w:val="00EF75CA"/>
    <w:rsid w:val="00F04904"/>
    <w:rsid w:val="00F227B0"/>
    <w:rsid w:val="00F236FB"/>
    <w:rsid w:val="00F35B4F"/>
    <w:rsid w:val="00F5091F"/>
    <w:rsid w:val="00F5181E"/>
    <w:rsid w:val="00F5443E"/>
    <w:rsid w:val="00F546AB"/>
    <w:rsid w:val="00F611BF"/>
    <w:rsid w:val="00F77280"/>
    <w:rsid w:val="00F87F96"/>
    <w:rsid w:val="00FC4064"/>
    <w:rsid w:val="00FC6D7B"/>
    <w:rsid w:val="00FF168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18"/>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4CF"/>
    <w:pPr>
      <w:spacing w:after="0" w:line="240" w:lineRule="auto"/>
    </w:pPr>
    <w:rPr>
      <w:rFonts w:eastAsia="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E54CF"/>
    <w:pPr>
      <w:jc w:val="center"/>
    </w:pPr>
    <w:rPr>
      <w:b/>
      <w:sz w:val="24"/>
    </w:rPr>
  </w:style>
  <w:style w:type="character" w:customStyle="1" w:styleId="SubtitleChar">
    <w:name w:val="Subtitle Char"/>
    <w:basedOn w:val="DefaultParagraphFont"/>
    <w:link w:val="Subtitle"/>
    <w:rsid w:val="004E54CF"/>
    <w:rPr>
      <w:rFonts w:eastAsia="Times New Roman"/>
      <w:b/>
      <w:szCs w:val="20"/>
      <w:lang w:eastAsia="lv-LV"/>
    </w:rPr>
  </w:style>
  <w:style w:type="paragraph" w:customStyle="1" w:styleId="naisnod">
    <w:name w:val="naisnod"/>
    <w:basedOn w:val="Normal"/>
    <w:rsid w:val="004E54CF"/>
    <w:pPr>
      <w:spacing w:before="100" w:beforeAutospacing="1" w:after="100" w:afterAutospacing="1"/>
    </w:pPr>
    <w:rPr>
      <w:sz w:val="24"/>
      <w:szCs w:val="24"/>
    </w:rPr>
  </w:style>
  <w:style w:type="paragraph" w:styleId="Footer">
    <w:name w:val="footer"/>
    <w:basedOn w:val="Normal"/>
    <w:link w:val="FooterChar"/>
    <w:uiPriority w:val="99"/>
    <w:rsid w:val="004E54CF"/>
    <w:pPr>
      <w:tabs>
        <w:tab w:val="center" w:pos="4153"/>
        <w:tab w:val="right" w:pos="8306"/>
      </w:tabs>
    </w:pPr>
  </w:style>
  <w:style w:type="character" w:customStyle="1" w:styleId="FooterChar">
    <w:name w:val="Footer Char"/>
    <w:basedOn w:val="DefaultParagraphFont"/>
    <w:link w:val="Footer"/>
    <w:uiPriority w:val="99"/>
    <w:rsid w:val="004E54CF"/>
    <w:rPr>
      <w:rFonts w:eastAsia="Times New Roman"/>
      <w:sz w:val="20"/>
      <w:szCs w:val="20"/>
      <w:lang w:eastAsia="lv-LV"/>
    </w:rPr>
  </w:style>
  <w:style w:type="paragraph" w:styleId="Header">
    <w:name w:val="header"/>
    <w:basedOn w:val="Normal"/>
    <w:link w:val="HeaderChar"/>
    <w:uiPriority w:val="99"/>
    <w:rsid w:val="004E54CF"/>
    <w:pPr>
      <w:tabs>
        <w:tab w:val="center" w:pos="4153"/>
        <w:tab w:val="right" w:pos="8306"/>
      </w:tabs>
    </w:pPr>
  </w:style>
  <w:style w:type="character" w:customStyle="1" w:styleId="HeaderChar">
    <w:name w:val="Header Char"/>
    <w:basedOn w:val="DefaultParagraphFont"/>
    <w:link w:val="Header"/>
    <w:uiPriority w:val="99"/>
    <w:rsid w:val="004E54CF"/>
    <w:rPr>
      <w:rFonts w:eastAsia="Times New Roman"/>
      <w:sz w:val="20"/>
      <w:szCs w:val="20"/>
      <w:lang w:eastAsia="lv-LV"/>
    </w:rPr>
  </w:style>
  <w:style w:type="paragraph" w:customStyle="1" w:styleId="naiskr">
    <w:name w:val="naiskr"/>
    <w:basedOn w:val="Normal"/>
    <w:rsid w:val="004E54CF"/>
    <w:pPr>
      <w:spacing w:before="100" w:beforeAutospacing="1" w:after="100" w:afterAutospacing="1"/>
    </w:pPr>
    <w:rPr>
      <w:sz w:val="24"/>
      <w:szCs w:val="24"/>
    </w:rPr>
  </w:style>
  <w:style w:type="paragraph" w:customStyle="1" w:styleId="naisf">
    <w:name w:val="naisf"/>
    <w:basedOn w:val="Normal"/>
    <w:rsid w:val="004E54CF"/>
    <w:pPr>
      <w:spacing w:before="75" w:after="75"/>
      <w:ind w:firstLine="375"/>
      <w:jc w:val="both"/>
    </w:pPr>
    <w:rPr>
      <w:sz w:val="24"/>
      <w:szCs w:val="24"/>
    </w:rPr>
  </w:style>
  <w:style w:type="paragraph" w:styleId="BalloonText">
    <w:name w:val="Balloon Text"/>
    <w:basedOn w:val="Normal"/>
    <w:link w:val="BalloonTextChar"/>
    <w:uiPriority w:val="99"/>
    <w:semiHidden/>
    <w:unhideWhenUsed/>
    <w:rsid w:val="00F87F96"/>
    <w:rPr>
      <w:rFonts w:ascii="Tahoma" w:hAnsi="Tahoma" w:cs="Tahoma"/>
      <w:sz w:val="16"/>
      <w:szCs w:val="16"/>
    </w:rPr>
  </w:style>
  <w:style w:type="character" w:customStyle="1" w:styleId="BalloonTextChar">
    <w:name w:val="Balloon Text Char"/>
    <w:basedOn w:val="DefaultParagraphFont"/>
    <w:link w:val="BalloonText"/>
    <w:uiPriority w:val="99"/>
    <w:semiHidden/>
    <w:rsid w:val="00F87F96"/>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284</Words>
  <Characters>2172</Characters>
  <Application>Microsoft Office Word</Application>
  <DocSecurity>0</DocSecurity>
  <Lines>114</Lines>
  <Paragraphs>50</Paragraphs>
  <ScaleCrop>false</ScaleCrop>
  <HeadingPairs>
    <vt:vector size="2" baseType="variant">
      <vt:variant>
        <vt:lpstr>Title</vt:lpstr>
      </vt:variant>
      <vt:variant>
        <vt:i4>1</vt:i4>
      </vt:variant>
    </vt:vector>
  </HeadingPairs>
  <TitlesOfParts>
    <vt:vector size="1" baseType="lpstr">
      <vt:lpstr>Noteikumi par zvērināta tiesu izpildītāja palīga eksāmena kārtību un nepieciešamo zināšanu apjomu</vt:lpstr>
    </vt:vector>
  </TitlesOfParts>
  <Company>Tieslietu Ministrija</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zvērināta tiesu izpildītāja palīga eksāmena kārtību un nepieciešamo zināšanu apjomu</dc:title>
  <dc:subject>Noteikumu projekta 1.pielikums</dc:subject>
  <dc:creator>Evija Timpare</dc:creator>
  <cp:keywords/>
  <dc:description>evija.timpare@tm.gov.lv_x000d_
67036829</dc:description>
  <cp:lastModifiedBy>et1401</cp:lastModifiedBy>
  <cp:revision>5</cp:revision>
  <cp:lastPrinted>2011-05-23T06:57:00Z</cp:lastPrinted>
  <dcterms:created xsi:type="dcterms:W3CDTF">2011-05-20T11:11:00Z</dcterms:created>
  <dcterms:modified xsi:type="dcterms:W3CDTF">2011-05-23T06:57:00Z</dcterms:modified>
</cp:coreProperties>
</file>