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49" w:rsidRPr="00DA0C94" w:rsidRDefault="008B4749" w:rsidP="00EF2476">
      <w:pPr>
        <w:spacing w:after="0" w:line="240" w:lineRule="auto"/>
        <w:ind w:right="57" w:firstLine="720"/>
        <w:jc w:val="right"/>
        <w:rPr>
          <w:rFonts w:ascii="Times New Roman" w:hAnsi="Times New Roman" w:cs="Times New Roman"/>
          <w:b/>
          <w:sz w:val="28"/>
          <w:szCs w:val="28"/>
        </w:rPr>
      </w:pPr>
      <w:r w:rsidRPr="00DA0C94">
        <w:rPr>
          <w:rFonts w:ascii="Times New Roman" w:hAnsi="Times New Roman" w:cs="Times New Roman"/>
          <w:b/>
          <w:sz w:val="28"/>
          <w:szCs w:val="28"/>
        </w:rPr>
        <w:t>Projekts</w:t>
      </w:r>
    </w:p>
    <w:p w:rsidR="008B4749" w:rsidRPr="00DA0C94" w:rsidRDefault="008B4749" w:rsidP="00EF2476">
      <w:pPr>
        <w:spacing w:after="0" w:line="240" w:lineRule="auto"/>
        <w:ind w:right="57" w:firstLine="720"/>
        <w:jc w:val="right"/>
        <w:rPr>
          <w:rFonts w:ascii="Times New Roman" w:hAnsi="Times New Roman" w:cs="Times New Roman"/>
          <w:b/>
          <w:sz w:val="28"/>
          <w:szCs w:val="28"/>
        </w:rPr>
      </w:pPr>
    </w:p>
    <w:p w:rsidR="008B4749" w:rsidRPr="00DA0C94" w:rsidRDefault="008B4749" w:rsidP="00EF2476">
      <w:pPr>
        <w:spacing w:after="0" w:line="240" w:lineRule="auto"/>
        <w:ind w:right="57" w:firstLine="720"/>
        <w:jc w:val="right"/>
        <w:rPr>
          <w:rFonts w:ascii="Times New Roman" w:hAnsi="Times New Roman" w:cs="Times New Roman"/>
          <w:sz w:val="28"/>
          <w:szCs w:val="28"/>
        </w:rPr>
      </w:pPr>
      <w:r w:rsidRPr="00DA0C94">
        <w:rPr>
          <w:rFonts w:ascii="Times New Roman" w:hAnsi="Times New Roman" w:cs="Times New Roman"/>
          <w:sz w:val="28"/>
          <w:szCs w:val="28"/>
        </w:rPr>
        <w:t xml:space="preserve"> (Ministru kabineta</w:t>
      </w:r>
    </w:p>
    <w:p w:rsidR="008B4749" w:rsidRPr="00DA0C94" w:rsidRDefault="008B4749" w:rsidP="00EF2476">
      <w:pPr>
        <w:spacing w:after="0" w:line="240" w:lineRule="auto"/>
        <w:ind w:right="57" w:firstLine="720"/>
        <w:jc w:val="center"/>
        <w:rPr>
          <w:rFonts w:ascii="Times New Roman" w:hAnsi="Times New Roman" w:cs="Times New Roman"/>
          <w:sz w:val="28"/>
          <w:szCs w:val="28"/>
        </w:rPr>
      </w:pPr>
      <w:r w:rsidRPr="00DA0C94">
        <w:rPr>
          <w:rFonts w:ascii="Times New Roman" w:hAnsi="Times New Roman" w:cs="Times New Roman"/>
          <w:sz w:val="28"/>
          <w:szCs w:val="28"/>
        </w:rPr>
        <w:t xml:space="preserve">                                               </w:t>
      </w:r>
      <w:r w:rsidR="007B3F54" w:rsidRPr="00DA0C94">
        <w:rPr>
          <w:rFonts w:ascii="Times New Roman" w:hAnsi="Times New Roman" w:cs="Times New Roman"/>
          <w:sz w:val="28"/>
          <w:szCs w:val="28"/>
        </w:rPr>
        <w:t xml:space="preserve">                            2012</w:t>
      </w:r>
      <w:r w:rsidRPr="00DA0C94">
        <w:rPr>
          <w:rFonts w:ascii="Times New Roman" w:hAnsi="Times New Roman" w:cs="Times New Roman"/>
          <w:sz w:val="28"/>
          <w:szCs w:val="28"/>
        </w:rPr>
        <w:t>. gada _________</w:t>
      </w:r>
    </w:p>
    <w:p w:rsidR="008B4749" w:rsidRPr="00DA0C94" w:rsidRDefault="008B4749" w:rsidP="00EF2476">
      <w:pPr>
        <w:spacing w:after="0" w:line="240" w:lineRule="auto"/>
        <w:ind w:right="57" w:firstLine="720"/>
        <w:jc w:val="right"/>
        <w:rPr>
          <w:rFonts w:ascii="Times New Roman" w:hAnsi="Times New Roman" w:cs="Times New Roman"/>
          <w:sz w:val="28"/>
          <w:szCs w:val="28"/>
        </w:rPr>
      </w:pPr>
      <w:r w:rsidRPr="00DA0C94">
        <w:rPr>
          <w:rFonts w:ascii="Times New Roman" w:hAnsi="Times New Roman" w:cs="Times New Roman"/>
          <w:sz w:val="28"/>
          <w:szCs w:val="28"/>
        </w:rPr>
        <w:t>rīkojums Nr.________)</w:t>
      </w:r>
    </w:p>
    <w:p w:rsidR="008B4749" w:rsidRPr="00DA0C94" w:rsidRDefault="008B4749" w:rsidP="00EF2476">
      <w:pPr>
        <w:spacing w:after="0" w:line="240" w:lineRule="auto"/>
        <w:ind w:right="57" w:firstLine="720"/>
        <w:rPr>
          <w:rFonts w:ascii="Times New Roman" w:hAnsi="Times New Roman" w:cs="Times New Roman"/>
          <w:sz w:val="24"/>
          <w:szCs w:val="24"/>
        </w:rPr>
      </w:pPr>
    </w:p>
    <w:p w:rsidR="008B4749" w:rsidRPr="00DA0C94" w:rsidRDefault="008B4749" w:rsidP="00EF2476">
      <w:pPr>
        <w:spacing w:after="0" w:line="240" w:lineRule="auto"/>
        <w:ind w:right="57" w:firstLine="720"/>
        <w:rPr>
          <w:sz w:val="28"/>
          <w:szCs w:val="28"/>
        </w:rPr>
      </w:pP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eastAsia="Times New Roman" w:hAnsi="Times New Roman"/>
          <w:b/>
          <w:sz w:val="24"/>
          <w:szCs w:val="24"/>
          <w:lang w:val="lv-LV"/>
        </w:rPr>
      </w:pP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8"/>
          <w:szCs w:val="28"/>
          <w:lang w:val="lv-LV"/>
        </w:rPr>
      </w:pPr>
      <w:r w:rsidRPr="00DA0C94">
        <w:rPr>
          <w:rFonts w:ascii="Times New Roman" w:eastAsia="Times New Roman" w:hAnsi="Times New Roman"/>
          <w:b/>
          <w:sz w:val="28"/>
          <w:szCs w:val="28"/>
          <w:lang w:val="lv-LV"/>
        </w:rPr>
        <w:t>Administratīvo sodu sistēmas attīstības koncepcija</w:t>
      </w: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8"/>
          <w:szCs w:val="28"/>
          <w:lang w:val="lv-LV"/>
        </w:rPr>
      </w:pPr>
      <w:r w:rsidRPr="00DA0C94">
        <w:rPr>
          <w:rFonts w:ascii="Times New Roman" w:eastAsia="Times New Roman" w:hAnsi="Times New Roman"/>
          <w:b/>
          <w:sz w:val="28"/>
          <w:szCs w:val="28"/>
          <w:lang w:val="lv-LV"/>
        </w:rPr>
        <w:t>(kopsavilkums)</w:t>
      </w: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48"/>
          <w:lang w:val="lv-LV"/>
        </w:rPr>
      </w:pPr>
    </w:p>
    <w:p w:rsidR="00EA1F70" w:rsidRPr="00DA0C94" w:rsidRDefault="00EA1F7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48"/>
          <w:lang w:val="lv-LV"/>
        </w:rPr>
      </w:pPr>
    </w:p>
    <w:p w:rsidR="00A10061" w:rsidRPr="00DA0C94" w:rsidRDefault="00A10061"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48"/>
          <w:lang w:val="lv-LV"/>
        </w:rPr>
      </w:pPr>
    </w:p>
    <w:p w:rsidR="00A10061" w:rsidRPr="00DA0C94" w:rsidRDefault="00A10061"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48"/>
          <w:lang w:val="lv-LV"/>
        </w:rPr>
      </w:pPr>
    </w:p>
    <w:p w:rsidR="000634B2" w:rsidRPr="00DA0C94" w:rsidRDefault="000634B2"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48"/>
          <w:lang w:val="lv-LV"/>
        </w:rPr>
      </w:pPr>
    </w:p>
    <w:p w:rsidR="000634B2" w:rsidRPr="00DA0C94" w:rsidRDefault="000634B2"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48"/>
          <w:lang w:val="lv-LV"/>
        </w:rPr>
      </w:pPr>
    </w:p>
    <w:p w:rsidR="000634B2" w:rsidRPr="00DA0C94" w:rsidRDefault="000634B2"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48"/>
          <w:lang w:val="lv-LV"/>
        </w:rPr>
      </w:pPr>
    </w:p>
    <w:p w:rsidR="00EA1F70" w:rsidRPr="00DA0C94" w:rsidRDefault="00EA1F7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4"/>
          <w:szCs w:val="24"/>
          <w:lang w:val="lv-LV"/>
        </w:rPr>
      </w:pPr>
    </w:p>
    <w:p w:rsidR="00527060" w:rsidRPr="00DA0C94" w:rsidRDefault="003A791A" w:rsidP="00EF2476">
      <w:pPr>
        <w:pStyle w:val="Norma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8"/>
          <w:szCs w:val="28"/>
          <w:lang w:val="lv-LV"/>
        </w:rPr>
      </w:pPr>
      <w:r w:rsidRPr="00DA0C94">
        <w:rPr>
          <w:rFonts w:ascii="Times New Roman" w:eastAsia="Times New Roman" w:hAnsi="Times New Roman"/>
          <w:b/>
          <w:sz w:val="28"/>
          <w:szCs w:val="28"/>
          <w:lang w:val="lv-LV"/>
        </w:rPr>
        <w:t>Problēmu formulējums</w:t>
      </w:r>
    </w:p>
    <w:p w:rsidR="00527060" w:rsidRPr="00DA0C94"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8"/>
          <w:szCs w:val="28"/>
          <w:lang w:val="lv-LV"/>
        </w:rPr>
      </w:pPr>
    </w:p>
    <w:p w:rsidR="00527060" w:rsidRPr="00DA0C94" w:rsidRDefault="003A791A" w:rsidP="00DA0C9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sz w:val="28"/>
          <w:szCs w:val="28"/>
          <w:lang w:val="lv-LV"/>
        </w:rPr>
      </w:pPr>
      <w:r w:rsidRPr="00DA0C94">
        <w:rPr>
          <w:rFonts w:ascii="Times New Roman" w:hAnsi="Times New Roman"/>
          <w:sz w:val="28"/>
          <w:szCs w:val="28"/>
          <w:lang w:val="lv-LV"/>
        </w:rPr>
        <w:t xml:space="preserve">Šobrīd Latvijā pastāvošais administratīvās atbildības regulējums ir ietverts Latvijas Administratīvo pārkāpumu kodeksā (turpmāk - kodekss). Kodekss ir spēkā no 1985. gada 1. jūlija. Ar Latvijas Republikas Augstākās Padomes 1991. gada 29. augusta lēmumu tika noteikts, ka līdz attiecīgo Latvijas Republikas kodeksu vai citu likumdošanas aktu pieņemšanai Latvijas Republikas teritorijā piemēro Latvijas PSR Administratīvo pārkāpumu kodeksu. </w:t>
      </w:r>
      <w:r w:rsidRPr="00DA0C94">
        <w:rPr>
          <w:rFonts w:ascii="Times New Roman" w:eastAsia="Times New Roman" w:hAnsi="Times New Roman"/>
          <w:sz w:val="28"/>
          <w:szCs w:val="28"/>
          <w:lang w:val="lv-LV"/>
        </w:rPr>
        <w:t xml:space="preserve">Sākotnējā kodeksa redakcija atspoguļoja padomju juristu viedokļus par administratīvās sodīšanas būtību un tā piemērošanas kārtību. No kodeksa spēkā stāšanās brīža līdz šim brīdim tas ir grozīts vairāk kā 130 reizes, kā rezultātā Latvijas administratīvo sodu piemērošanas un izpildes kārtība ir attīstījusies, tomēr, sakārtojot atsevišķus jautājumus, atceļot vecos un ieviešot jaunus tiesību institūtus, administratīvo sodu tiesības ne vienmēr tika uztvertas kā tiesību sistēma. </w:t>
      </w:r>
    </w:p>
    <w:p w:rsidR="00DA0C94" w:rsidRPr="00DA0C94" w:rsidRDefault="003A791A" w:rsidP="00DA0C9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b/>
          <w:sz w:val="28"/>
          <w:szCs w:val="28"/>
          <w:lang w:val="lv-LV"/>
        </w:rPr>
      </w:pPr>
      <w:r w:rsidRPr="00DA0C94">
        <w:rPr>
          <w:rFonts w:ascii="Times New Roman" w:eastAsia="Times New Roman" w:hAnsi="Times New Roman"/>
          <w:sz w:val="28"/>
          <w:szCs w:val="28"/>
          <w:lang w:val="lv-LV"/>
        </w:rPr>
        <w:t xml:space="preserve">Šobrīd saistībā ar kodeksu un administratīvās atbildības regulējumu ir konstatētas </w:t>
      </w:r>
      <w:r w:rsidRPr="00DA0C94">
        <w:rPr>
          <w:rFonts w:ascii="Times New Roman" w:eastAsia="Times New Roman" w:hAnsi="Times New Roman"/>
          <w:b/>
          <w:sz w:val="28"/>
          <w:szCs w:val="28"/>
          <w:lang w:val="lv-LV"/>
        </w:rPr>
        <w:t>šādas problēmas:</w:t>
      </w:r>
    </w:p>
    <w:p w:rsidR="00DA0C94" w:rsidRPr="00DA0C94" w:rsidRDefault="00DA0C94" w:rsidP="00DA0C9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b/>
          <w:sz w:val="28"/>
          <w:szCs w:val="28"/>
          <w:lang w:val="lv-LV"/>
        </w:rPr>
      </w:pPr>
      <w:r w:rsidRPr="00DA0C94">
        <w:rPr>
          <w:rFonts w:ascii="Times New Roman" w:eastAsia="Times New Roman" w:hAnsi="Times New Roman"/>
          <w:sz w:val="28"/>
          <w:szCs w:val="28"/>
          <w:lang w:val="lv-LV"/>
        </w:rPr>
        <w:t>1.</w:t>
      </w:r>
      <w:r w:rsidRPr="00DA0C94">
        <w:rPr>
          <w:rFonts w:ascii="Times New Roman" w:eastAsia="Times New Roman" w:hAnsi="Times New Roman"/>
          <w:b/>
          <w:sz w:val="28"/>
          <w:szCs w:val="28"/>
          <w:lang w:val="lv-LV"/>
        </w:rPr>
        <w:t> </w:t>
      </w:r>
      <w:r w:rsidR="003A791A" w:rsidRPr="00DA0C94">
        <w:rPr>
          <w:rFonts w:ascii="Times New Roman" w:eastAsia="Times New Roman" w:hAnsi="Times New Roman"/>
          <w:sz w:val="28"/>
          <w:szCs w:val="28"/>
          <w:lang w:val="lv-LV"/>
        </w:rPr>
        <w:t>Sodu sistēma neatbilst efektīvas sodu sistēmas prasībām. Administratīvais arests nav uzskatāms par adekvātu sodu administratīvo sodu sistēmā. Bez tam šobrīd nav strikta dalījuma pamatsodos un papildsodos, līdz ar to daļa no pamatsodiem var tikt piemēroti kā papildsodi.</w:t>
      </w:r>
    </w:p>
    <w:p w:rsidR="00DA0C94" w:rsidRPr="00DA0C94" w:rsidRDefault="00DA0C94" w:rsidP="00DA0C9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b/>
          <w:sz w:val="28"/>
          <w:szCs w:val="28"/>
          <w:lang w:val="lv-LV"/>
        </w:rPr>
      </w:pPr>
      <w:r w:rsidRPr="00DA0C94">
        <w:rPr>
          <w:rFonts w:ascii="Times New Roman" w:eastAsia="Times New Roman" w:hAnsi="Times New Roman"/>
          <w:sz w:val="28"/>
          <w:szCs w:val="28"/>
          <w:lang w:val="lv-LV"/>
        </w:rPr>
        <w:t>2. </w:t>
      </w:r>
      <w:r w:rsidR="003A791A" w:rsidRPr="00DA0C94">
        <w:rPr>
          <w:rFonts w:ascii="Times New Roman" w:eastAsia="Times New Roman" w:hAnsi="Times New Roman"/>
          <w:sz w:val="28"/>
          <w:szCs w:val="28"/>
          <w:lang w:val="lv-LV"/>
        </w:rPr>
        <w:t>Kodeksa 14.</w:t>
      </w:r>
      <w:r w:rsidR="003A791A" w:rsidRPr="00DA0C94">
        <w:rPr>
          <w:rFonts w:ascii="Times New Roman" w:eastAsia="Times New Roman" w:hAnsi="Times New Roman"/>
          <w:sz w:val="28"/>
          <w:szCs w:val="28"/>
          <w:vertAlign w:val="superscript"/>
          <w:lang w:val="lv-LV"/>
        </w:rPr>
        <w:t>1</w:t>
      </w:r>
      <w:r w:rsidR="003A791A" w:rsidRPr="00DA0C94">
        <w:rPr>
          <w:rFonts w:ascii="Times New Roman" w:eastAsia="Times New Roman" w:hAnsi="Times New Roman"/>
          <w:sz w:val="28"/>
          <w:szCs w:val="28"/>
          <w:lang w:val="lv-LV"/>
        </w:rPr>
        <w:t xml:space="preserve"> pants nosaka </w:t>
      </w:r>
      <w:r w:rsidR="003A791A" w:rsidRPr="00DA0C94">
        <w:rPr>
          <w:rFonts w:ascii="Times New Roman" w:hAnsi="Times New Roman"/>
          <w:bCs/>
          <w:sz w:val="28"/>
          <w:szCs w:val="28"/>
          <w:lang w:val="lv-LV"/>
        </w:rPr>
        <w:t xml:space="preserve">juridiskās personas administratīvo atbildību, paredzot, ka </w:t>
      </w:r>
      <w:r w:rsidR="003A791A" w:rsidRPr="00DA0C94">
        <w:rPr>
          <w:rFonts w:ascii="Times New Roman" w:hAnsi="Times New Roman"/>
          <w:sz w:val="28"/>
          <w:szCs w:val="28"/>
          <w:lang w:val="lv-LV"/>
        </w:rPr>
        <w:t xml:space="preserve">kodeksā un pašvaldību saistošajos noteikumos īpaši paredzētajos gadījumos par administratīvajiem pārkāpumiem pie atbildības ir saucamas juridiskās personas. Tomēr viens no administratīvā atbildības priekšnoteikumiem ir vaina, kas izpaužas kā personas psihiska attieksme pret notikumu. Juridiskai personai psihiska attieksme nevar būt. </w:t>
      </w:r>
    </w:p>
    <w:p w:rsidR="00DA0C94" w:rsidRPr="00DA0C94" w:rsidRDefault="00DA0C94" w:rsidP="00DA0C9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b/>
          <w:sz w:val="28"/>
          <w:szCs w:val="28"/>
          <w:lang w:val="lv-LV"/>
        </w:rPr>
      </w:pPr>
      <w:r w:rsidRPr="00DA0C94">
        <w:rPr>
          <w:rFonts w:ascii="Times New Roman" w:eastAsia="Times New Roman" w:hAnsi="Times New Roman"/>
          <w:sz w:val="28"/>
          <w:szCs w:val="28"/>
          <w:lang w:val="lv-LV"/>
        </w:rPr>
        <w:t>3.</w:t>
      </w:r>
      <w:r w:rsidRPr="00DA0C94">
        <w:rPr>
          <w:rFonts w:ascii="Times New Roman" w:eastAsia="Times New Roman" w:hAnsi="Times New Roman"/>
          <w:b/>
          <w:sz w:val="28"/>
          <w:szCs w:val="28"/>
          <w:lang w:val="lv-LV"/>
        </w:rPr>
        <w:t> </w:t>
      </w:r>
      <w:r w:rsidR="003A791A" w:rsidRPr="00DA0C94">
        <w:rPr>
          <w:rFonts w:ascii="Times New Roman" w:hAnsi="Times New Roman"/>
          <w:sz w:val="28"/>
          <w:szCs w:val="28"/>
          <w:lang w:val="lv-LV"/>
        </w:rPr>
        <w:t xml:space="preserve">Lai gan kodeksā būtu jābūt izsmeļoši aptvertām vienu nozari regulējošām tiesību normām, šobrīd ne administratīvo pārkāpumu sastāvi, ne administratīvo pārkāpumu procesuālās normas kodeksā izsmeļoši nav regulētas. Papildus kodeksā esošajiem administratīvajiem pārkāpumiem, arī nozaru speciālajos likumos un pašvaldību saistošajos noteikumos ir ietverti administratīvo pārkāpumu sastāvi. Tātad administratīvo atbildību regulējošā normas šobrīd nav kodificētas. </w:t>
      </w:r>
    </w:p>
    <w:p w:rsidR="00DA0C94" w:rsidRPr="00DA0C94" w:rsidRDefault="00DA0C94" w:rsidP="00DA0C9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b/>
          <w:sz w:val="28"/>
          <w:szCs w:val="28"/>
          <w:lang w:val="lv-LV"/>
        </w:rPr>
      </w:pPr>
      <w:r w:rsidRPr="00DA0C94">
        <w:rPr>
          <w:rFonts w:ascii="Times New Roman" w:eastAsia="Times New Roman" w:hAnsi="Times New Roman"/>
          <w:sz w:val="28"/>
          <w:szCs w:val="28"/>
          <w:lang w:val="lv-LV"/>
        </w:rPr>
        <w:t>4.</w:t>
      </w:r>
      <w:r w:rsidRPr="00DA0C94">
        <w:rPr>
          <w:rFonts w:ascii="Times New Roman" w:eastAsia="Times New Roman" w:hAnsi="Times New Roman"/>
          <w:b/>
          <w:sz w:val="28"/>
          <w:szCs w:val="28"/>
          <w:lang w:val="lv-LV"/>
        </w:rPr>
        <w:t> </w:t>
      </w:r>
      <w:r w:rsidR="003A791A" w:rsidRPr="00DA0C94">
        <w:rPr>
          <w:rFonts w:ascii="Times New Roman" w:eastAsia="Times New Roman" w:hAnsi="Times New Roman"/>
          <w:sz w:val="28"/>
          <w:szCs w:val="28"/>
          <w:lang w:val="lv-LV"/>
        </w:rPr>
        <w:t>Tiesās tiek izskatīts salīdzinoši liels administratīvo pārkāpumu lietu skaits, dažkārt pārsūdzības iemesli ir pilnīgi formāli un pēc būtības neattiecas uz tiesisku strīdu. Tas rada nelietderīgu tiesas noslodzi situācijā, kad tiesas ir noslogotas ar krimināllietu izskatīšanu. Papildus tam rajona (pilsētas) tiesa kodeksa 213. panta lietās nevis izskata tiesību strīdu, bet pieņem sākotnēju lēmumu pēc būtības, tātad darbojas kā iestāde.</w:t>
      </w:r>
    </w:p>
    <w:p w:rsidR="00DA0C94" w:rsidRPr="00DA0C94" w:rsidRDefault="00DA0C94" w:rsidP="00DA0C9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sz w:val="28"/>
          <w:szCs w:val="28"/>
          <w:lang w:val="lv-LV"/>
        </w:rPr>
      </w:pPr>
      <w:r w:rsidRPr="00DA0C94">
        <w:rPr>
          <w:rFonts w:ascii="Times New Roman" w:eastAsia="Times New Roman" w:hAnsi="Times New Roman"/>
          <w:sz w:val="28"/>
          <w:szCs w:val="28"/>
          <w:lang w:val="lv-LV"/>
        </w:rPr>
        <w:t>5.</w:t>
      </w:r>
      <w:r w:rsidRPr="00DA0C94">
        <w:rPr>
          <w:rFonts w:ascii="Times New Roman" w:eastAsia="Times New Roman" w:hAnsi="Times New Roman"/>
          <w:b/>
          <w:sz w:val="28"/>
          <w:szCs w:val="28"/>
          <w:lang w:val="lv-LV"/>
        </w:rPr>
        <w:t> </w:t>
      </w:r>
      <w:r w:rsidR="003A791A" w:rsidRPr="00DA0C94">
        <w:rPr>
          <w:rFonts w:ascii="Times New Roman" w:eastAsia="Times New Roman" w:hAnsi="Times New Roman"/>
          <w:sz w:val="28"/>
          <w:szCs w:val="28"/>
          <w:lang w:val="lv-LV"/>
        </w:rPr>
        <w:t xml:space="preserve">Izskatot administratīvo pārkāpumu lietas, šobrīd tiek piemērots gan kodekss, gan Administratīvā procesa likums, kura 18. panta pirmā daļa noteic, </w:t>
      </w:r>
      <w:r w:rsidR="003A791A" w:rsidRPr="00DA0C94">
        <w:rPr>
          <w:rFonts w:ascii="Times New Roman" w:eastAsia="Times New Roman" w:hAnsi="Times New Roman"/>
          <w:sz w:val="28"/>
          <w:szCs w:val="28"/>
          <w:lang w:val="lv-LV"/>
        </w:rPr>
        <w:lastRenderedPageBreak/>
        <w:t xml:space="preserve">ka administratīvais process iestādē privātpersonai ir bez maksas, ja likumā nav noteikts citādi. Tomēr kodeksā atsevišķos pantos ietverts pienākums personai atlīdzināt ar lietvedību saistītos procesuālos izdevumus. </w:t>
      </w:r>
    </w:p>
    <w:p w:rsidR="00DA0C94" w:rsidRPr="00DA0C94" w:rsidRDefault="00DA0C94" w:rsidP="00DA0C9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hAnsi="Times New Roman"/>
          <w:sz w:val="28"/>
          <w:szCs w:val="28"/>
          <w:lang w:val="lv-LV"/>
        </w:rPr>
      </w:pPr>
      <w:r w:rsidRPr="00DA0C94">
        <w:rPr>
          <w:rFonts w:ascii="Times New Roman" w:eastAsia="Times New Roman" w:hAnsi="Times New Roman"/>
          <w:sz w:val="28"/>
          <w:szCs w:val="28"/>
          <w:lang w:val="lv-LV"/>
        </w:rPr>
        <w:t>6. </w:t>
      </w:r>
      <w:r w:rsidR="003A791A" w:rsidRPr="00DA0C94">
        <w:rPr>
          <w:rFonts w:ascii="Times New Roman" w:hAnsi="Times New Roman"/>
          <w:sz w:val="28"/>
          <w:szCs w:val="28"/>
          <w:lang w:val="lv-LV"/>
        </w:rPr>
        <w:t>Latvijas administratīvo sodu piemērošanas un izpildes kārtība tika veidota padomju tiesību sistēmai. Līdz ar to vairākas kodeksā ietvertās tiesību normas neatbilst mūsdienu valsts tiesiskajai iekārtai. Lai gan kopš kodeksa spēkā stāšanās brīža tajā ir veikti vairāk kā 130 grozījumi, joprojām nav sistēmiski pārskatītas kodeksa normas. Vienlaikus norādāms, ka milzīgais, haotiski veiktais grozījumu apjoms kodeksā būtiski apgrūtina tā piemērošanu, izpratni, pārskatāmību un tajā ietvertā regulējuma interpretāciju, jo bieži vien kodeksā ietvertās normas ir savstarpēji pretrunīgas.</w:t>
      </w:r>
    </w:p>
    <w:p w:rsidR="00DA0C94" w:rsidRPr="00DA0C94" w:rsidRDefault="00DA0C94" w:rsidP="00DA0C9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hAnsi="Times New Roman"/>
          <w:sz w:val="28"/>
          <w:szCs w:val="28"/>
          <w:lang w:val="lv-LV"/>
        </w:rPr>
      </w:pPr>
      <w:r w:rsidRPr="00DA0C94">
        <w:rPr>
          <w:rFonts w:ascii="Times New Roman" w:hAnsi="Times New Roman"/>
          <w:sz w:val="28"/>
          <w:szCs w:val="28"/>
          <w:lang w:val="lv-LV"/>
        </w:rPr>
        <w:t>7.</w:t>
      </w:r>
      <w:r w:rsidRPr="00DA0C94">
        <w:rPr>
          <w:lang w:val="lv-LV"/>
        </w:rPr>
        <w:t> </w:t>
      </w:r>
      <w:r w:rsidR="003A791A" w:rsidRPr="00DA0C94">
        <w:rPr>
          <w:rFonts w:ascii="Times New Roman" w:hAnsi="Times New Roman"/>
          <w:sz w:val="28"/>
          <w:szCs w:val="28"/>
          <w:lang w:val="lv-LV"/>
        </w:rPr>
        <w:t xml:space="preserve">Šobrīd pārkāpējam ir motivējošu apsvērumu trūkums maksāt uzlikto naudas sodu. Tā rezultātā pārkāpējs izvairās no naudas soda nomaksas un neizpilda savas saistības pret valsti pat vairāku gadu garumā. Uzlikto administratīvo sodu izpildes sadaļa kodeksā ir morāli novecojusi un neefektīva, tā ne reizi nav sistēmiski pārskatīta, lai efektivizētu sodu izpildi. </w:t>
      </w:r>
    </w:p>
    <w:p w:rsidR="00527060" w:rsidRPr="00DA0C94" w:rsidRDefault="00DA0C94" w:rsidP="00DA0C9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b/>
          <w:sz w:val="28"/>
          <w:szCs w:val="28"/>
          <w:lang w:val="lv-LV"/>
        </w:rPr>
      </w:pPr>
      <w:r w:rsidRPr="00DA0C94">
        <w:rPr>
          <w:rFonts w:ascii="Times New Roman" w:hAnsi="Times New Roman"/>
          <w:sz w:val="28"/>
          <w:szCs w:val="28"/>
          <w:lang w:val="lv-LV"/>
        </w:rPr>
        <w:t xml:space="preserve">8. </w:t>
      </w:r>
      <w:r w:rsidR="003A791A" w:rsidRPr="00DA0C94">
        <w:rPr>
          <w:rFonts w:ascii="Times New Roman" w:hAnsi="Times New Roman"/>
          <w:sz w:val="28"/>
          <w:szCs w:val="28"/>
          <w:lang w:val="lv-LV"/>
        </w:rPr>
        <w:t>Šobrīd Latvijas tiesību akti neparedz iespēju Latvijā atzīt un izpildīt ārvalsts lēmumu, ar kuru personai piemērots administratīvais sods. Tiesiskā sadarbība administratīvo pārkāpumu lietās tieši netiek regulēta ar Eiropas Savienības tiesību aktiem vai starptautiskiem līgumiem. Līdz ar to nav tiesiskā regulējuma, lai varētu izpildīt ārvalsts lēmumu, ar kuru personai piemērots administratīvais sods, vai lai varētu nosūtīt Latvijā pieņemtu lēmumu izpildei ārvalstī.</w:t>
      </w:r>
    </w:p>
    <w:p w:rsidR="00527060" w:rsidRPr="00DA0C94" w:rsidRDefault="003A791A" w:rsidP="00EF2476">
      <w:pPr>
        <w:pStyle w:val="Sarakstarindkopa1"/>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8"/>
          <w:szCs w:val="28"/>
          <w:lang w:val="lv-LV"/>
        </w:rPr>
      </w:pPr>
      <w:r w:rsidRPr="00DA0C94">
        <w:rPr>
          <w:rFonts w:ascii="Times New Roman" w:eastAsia="Times New Roman" w:hAnsi="Times New Roman"/>
          <w:b/>
          <w:sz w:val="28"/>
          <w:szCs w:val="28"/>
          <w:lang w:val="lv-LV"/>
        </w:rPr>
        <w:t>Problēmu risinājumi</w:t>
      </w:r>
    </w:p>
    <w:p w:rsidR="00697C52" w:rsidRPr="00DA0C94" w:rsidRDefault="00697C52" w:rsidP="00EF2476">
      <w:pPr>
        <w:pStyle w:val="Sarakstarindkopa1"/>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rPr>
          <w:rFonts w:ascii="Times New Roman" w:eastAsia="Times New Roman" w:hAnsi="Times New Roman"/>
          <w:b/>
          <w:sz w:val="28"/>
          <w:szCs w:val="28"/>
          <w:lang w:val="lv-LV"/>
        </w:rPr>
      </w:pPr>
    </w:p>
    <w:p w:rsidR="00DA0C94" w:rsidRPr="00DA0C94" w:rsidRDefault="003A791A" w:rsidP="00DA0C94">
      <w:pPr>
        <w:spacing w:after="0" w:line="240" w:lineRule="auto"/>
        <w:ind w:firstLine="720"/>
        <w:jc w:val="both"/>
        <w:rPr>
          <w:rFonts w:ascii="Times New Roman" w:hAnsi="Times New Roman" w:cs="Times New Roman"/>
          <w:sz w:val="28"/>
          <w:szCs w:val="28"/>
        </w:rPr>
      </w:pPr>
      <w:r w:rsidRPr="00DA0C94">
        <w:rPr>
          <w:rFonts w:ascii="Times New Roman" w:hAnsi="Times New Roman" w:cs="Times New Roman"/>
          <w:sz w:val="28"/>
          <w:szCs w:val="28"/>
        </w:rPr>
        <w:t xml:space="preserve">Lai risinātu koncepcijas kopsavilkuma I sadaļā minētās problēmas, tiek piedāvāti šādi atbalstītie </w:t>
      </w:r>
      <w:r w:rsidRPr="00DA0C94">
        <w:rPr>
          <w:rFonts w:ascii="Times New Roman" w:hAnsi="Times New Roman" w:cs="Times New Roman"/>
          <w:b/>
          <w:sz w:val="28"/>
          <w:szCs w:val="28"/>
        </w:rPr>
        <w:t>problēmu risinājumu varianti</w:t>
      </w:r>
      <w:r w:rsidRPr="00DA0C94">
        <w:rPr>
          <w:rFonts w:ascii="Times New Roman" w:hAnsi="Times New Roman" w:cs="Times New Roman"/>
          <w:sz w:val="28"/>
          <w:szCs w:val="28"/>
        </w:rPr>
        <w:t>:</w:t>
      </w:r>
    </w:p>
    <w:p w:rsidR="00DA0C94" w:rsidRPr="00DA0C94" w:rsidRDefault="003A791A" w:rsidP="00DA0C94">
      <w:pPr>
        <w:spacing w:after="0" w:line="240" w:lineRule="auto"/>
        <w:ind w:firstLine="720"/>
        <w:jc w:val="both"/>
        <w:rPr>
          <w:rFonts w:ascii="Times New Roman" w:hAnsi="Times New Roman" w:cs="Times New Roman"/>
          <w:sz w:val="28"/>
          <w:szCs w:val="28"/>
        </w:rPr>
      </w:pPr>
      <w:r w:rsidRPr="00DA0C94">
        <w:rPr>
          <w:rFonts w:ascii="Times New Roman" w:hAnsi="Times New Roman" w:cs="Times New Roman"/>
          <w:sz w:val="28"/>
          <w:szCs w:val="28"/>
        </w:rPr>
        <w:t xml:space="preserve">1. Administratīvo sodu sistēmā ir skaidri jānodala pamatsodi no papildsodiem. Administratīvais arests, kā jau to iepriekš lēmis Ministru kabinets, jaunajā sodu sistēmā nav paredzēts. </w:t>
      </w:r>
    </w:p>
    <w:p w:rsidR="00DA0C94" w:rsidRPr="00DA0C94" w:rsidRDefault="003A791A" w:rsidP="00DA0C94">
      <w:pPr>
        <w:spacing w:after="0" w:line="240" w:lineRule="auto"/>
        <w:ind w:firstLine="720"/>
        <w:jc w:val="both"/>
        <w:rPr>
          <w:rFonts w:ascii="Times New Roman" w:hAnsi="Times New Roman" w:cs="Times New Roman"/>
          <w:sz w:val="28"/>
          <w:szCs w:val="28"/>
        </w:rPr>
      </w:pPr>
      <w:r w:rsidRPr="00DA0C94">
        <w:rPr>
          <w:rFonts w:ascii="Times New Roman" w:hAnsi="Times New Roman" w:cs="Times New Roman"/>
          <w:sz w:val="28"/>
          <w:szCs w:val="28"/>
        </w:rPr>
        <w:t xml:space="preserve">2. Veidojot jauno administratīvo sodu sistēmu, jaunajā Administratīvo sodu procesa likumā jāsaglabā juridisko personu administratīvās atbildības institūts. Vienlaikus jānosaka diferencēti administratīvās atbildības priekšnoteikumi juridiskai personai un fiziskai personai, izejot no attiecīgā tiesību subjekta īpatnībām. Turklāt nepieciešams jāpārskata kodeksā esošās sankcijas, kas paredz juridisko personu atbildību par pārkāpumiem, ko tās pēc savas būtības nevar paveikt. Gadījumos, kad administratīvo atbildību varētu piemērot juridiskai personai (sakarā ar fiziskās personas darbību juridiskās personas uzdevumā vai interesēs), nepieciešams regulējums, kas noteiktu konkrētus kritērijus fiziskas personas darbības attiecināmībai uz juridisko personu.  </w:t>
      </w:r>
    </w:p>
    <w:p w:rsidR="00DA0C94" w:rsidRPr="00DA0C94" w:rsidRDefault="003A791A" w:rsidP="00DA0C94">
      <w:pPr>
        <w:spacing w:after="0" w:line="240" w:lineRule="auto"/>
        <w:ind w:firstLine="720"/>
        <w:jc w:val="both"/>
        <w:rPr>
          <w:rFonts w:ascii="Times New Roman" w:hAnsi="Times New Roman" w:cs="Times New Roman"/>
          <w:sz w:val="28"/>
          <w:szCs w:val="28"/>
        </w:rPr>
      </w:pPr>
      <w:r w:rsidRPr="00DA0C94">
        <w:rPr>
          <w:rFonts w:ascii="Times New Roman" w:hAnsi="Times New Roman" w:cs="Times New Roman"/>
          <w:sz w:val="28"/>
          <w:szCs w:val="28"/>
        </w:rPr>
        <w:t xml:space="preserve">3. Veidojot jauno administratīvo sodu sistēmu, ir jāizstrādā jauns likums – Administratīvo sodu procesa likums, kurā būs ietverti administratīvo sodu </w:t>
      </w:r>
      <w:r w:rsidRPr="00DA0C94">
        <w:rPr>
          <w:rFonts w:ascii="Times New Roman" w:hAnsi="Times New Roman" w:cs="Times New Roman"/>
          <w:sz w:val="28"/>
          <w:szCs w:val="28"/>
        </w:rPr>
        <w:lastRenderedPageBreak/>
        <w:t xml:space="preserve">pamatjautājumi un process, savukārt administratīvo pārkāpumu sastāvus, veicinot nozares likumu kodifikācijas, ir jāietver attiecīgajos speciālajos nozares likumos. </w:t>
      </w:r>
    </w:p>
    <w:p w:rsidR="00DA0C94" w:rsidRPr="00DA0C94" w:rsidRDefault="003A791A" w:rsidP="00DA0C94">
      <w:pPr>
        <w:spacing w:after="0" w:line="240" w:lineRule="auto"/>
        <w:ind w:firstLine="720"/>
        <w:jc w:val="both"/>
        <w:rPr>
          <w:rFonts w:ascii="Times New Roman" w:hAnsi="Times New Roman" w:cs="Times New Roman"/>
          <w:sz w:val="28"/>
          <w:szCs w:val="28"/>
        </w:rPr>
      </w:pPr>
      <w:r w:rsidRPr="00DA0C94">
        <w:rPr>
          <w:rFonts w:ascii="Times New Roman" w:hAnsi="Times New Roman" w:cs="Times New Roman"/>
          <w:sz w:val="28"/>
          <w:szCs w:val="28"/>
        </w:rPr>
        <w:t>4. Lai samazinātu tiesā izskatāmo administratīvo pārkāpumu lietu skaitu ir veicami vairāki pasākumi: 1) tiesvedība vienmēr notiek rakstveida procesā, izņemot gadījumus, kad kāds no procesa dalībniekiem ir lūdzis lietu izskatīt mutvārdu procesā vai tiesa (tiesnesis) lēmis par nepieciešamību lietu skatīt mutvārdu procesā. 2)</w:t>
      </w:r>
      <w:r w:rsidRPr="00DA0C94">
        <w:rPr>
          <w:rFonts w:ascii="Times New Roman" w:hAnsi="Times New Roman" w:cs="Times New Roman"/>
          <w:color w:val="FF0000"/>
          <w:sz w:val="28"/>
          <w:szCs w:val="28"/>
        </w:rPr>
        <w:t> </w:t>
      </w:r>
      <w:r w:rsidRPr="00DA0C94">
        <w:rPr>
          <w:rFonts w:ascii="Times New Roman" w:hAnsi="Times New Roman" w:cs="Times New Roman"/>
          <w:sz w:val="28"/>
          <w:szCs w:val="28"/>
        </w:rPr>
        <w:t xml:space="preserve"> noteikts pienākums atsevišķos gadījumos atlīdzināt ar lietvedības vešanu saistītos procesuālos izdevumus; </w:t>
      </w:r>
    </w:p>
    <w:p w:rsidR="00DA0C94" w:rsidRPr="00DA0C94" w:rsidRDefault="003A791A" w:rsidP="00DA0C94">
      <w:pPr>
        <w:spacing w:after="0" w:line="240" w:lineRule="auto"/>
        <w:ind w:firstLine="720"/>
        <w:jc w:val="both"/>
        <w:rPr>
          <w:rFonts w:ascii="Times New Roman" w:hAnsi="Times New Roman" w:cs="Times New Roman"/>
          <w:sz w:val="28"/>
          <w:szCs w:val="28"/>
        </w:rPr>
      </w:pPr>
      <w:r w:rsidRPr="00DA0C94">
        <w:rPr>
          <w:rFonts w:ascii="Times New Roman" w:hAnsi="Times New Roman" w:cs="Times New Roman"/>
          <w:sz w:val="28"/>
          <w:szCs w:val="28"/>
        </w:rPr>
        <w:t>5. Tiek ieviesti pasākumi, kas motivētu privātpersonu samaksāt uzlikto naudas sodu, kā arī veicināt soda neizbēgamību: 1) vienkāršu administratīvo pārkāpumu gadījumos, kuros nav iesaistīti cietušie, nepilngadīgie, kur pārkāpums nav izraisījis īpaši kaitīgas sekas, amatpersona, noskaidrojot, ka persona atzīst savu vainu pārkāpumā un piekrīt uzliktā soda veidam un apmēram, varēs piedāvāt vienoties par savas vainas pilnīgu atzīšanu un uzliktā pamatsoda apmēra samazināšanu ar nosacījumu, ka šāds lēmums nebūtu pārsūdzams; 2) administratīvo sodu procesa likumā paredzēt iespēju piemērot pārkāpējam ierobežojumu iegūt labumu attiecībās ar valsti vai liegumu saņemt valsts sniegtos nodrošinājumus, kamēr netiks nokārtotas saistības pret valsti. Šāda veida ierobežojums vai liegums tiks piemērots gadījumā, ja uzliktais naudas sods netiks nomaksāts noteiktā termiņā.</w:t>
      </w:r>
    </w:p>
    <w:p w:rsidR="00EA1F70" w:rsidRPr="00DA0C94" w:rsidRDefault="003A791A" w:rsidP="00DA0C94">
      <w:pPr>
        <w:spacing w:after="0" w:line="240" w:lineRule="auto"/>
        <w:ind w:firstLine="720"/>
        <w:jc w:val="both"/>
        <w:rPr>
          <w:rFonts w:ascii="Times New Roman" w:hAnsi="Times New Roman" w:cs="Times New Roman"/>
          <w:sz w:val="28"/>
          <w:szCs w:val="28"/>
        </w:rPr>
      </w:pPr>
      <w:r w:rsidRPr="00DA0C94">
        <w:rPr>
          <w:rFonts w:ascii="Times New Roman" w:hAnsi="Times New Roman" w:cs="Times New Roman"/>
          <w:sz w:val="28"/>
          <w:szCs w:val="28"/>
        </w:rPr>
        <w:t xml:space="preserve">6. Attiecībā uz naudas sodu savstarpējo izpildi Eiropas Savienības dalībvalstu starpā, uz administratīvā pārkāpumu lietām jāattiecina Padomes pamatlēmums 2005/214/TI par savstarpējas atzīšanas principa piemērošanu attiecībā uz finansiālām sankcijām. Tas paredz mehānismu, kādā cita dalībvalsts var prasīt šajā valstī uzlikto sodu izpildīt Latvijā, un Latvija var prasīt šeit uzlikto naudas sodu izpildīt kādā citā dalībvalstī. </w:t>
      </w:r>
    </w:p>
    <w:p w:rsidR="000634B2" w:rsidRPr="00DA0C94" w:rsidRDefault="000634B2" w:rsidP="00EF2476">
      <w:pPr>
        <w:spacing w:after="0" w:line="240" w:lineRule="auto"/>
        <w:ind w:firstLine="360"/>
        <w:jc w:val="both"/>
        <w:rPr>
          <w:rFonts w:ascii="Times New Roman" w:hAnsi="Times New Roman" w:cs="Times New Roman"/>
          <w:sz w:val="28"/>
          <w:szCs w:val="28"/>
        </w:rPr>
      </w:pPr>
    </w:p>
    <w:p w:rsidR="00DA07FA" w:rsidRPr="00DA0C94" w:rsidRDefault="003A791A" w:rsidP="00EF2476">
      <w:pPr>
        <w:pStyle w:val="ListParagraph"/>
        <w:numPr>
          <w:ilvl w:val="0"/>
          <w:numId w:val="3"/>
        </w:numPr>
        <w:spacing w:after="0" w:line="240" w:lineRule="auto"/>
        <w:jc w:val="center"/>
        <w:rPr>
          <w:rFonts w:ascii="Times New Roman" w:hAnsi="Times New Roman" w:cs="Times New Roman"/>
          <w:sz w:val="28"/>
          <w:szCs w:val="28"/>
        </w:rPr>
      </w:pPr>
      <w:r w:rsidRPr="00DA0C94">
        <w:rPr>
          <w:rFonts w:ascii="Times New Roman" w:hAnsi="Times New Roman" w:cs="Times New Roman"/>
          <w:b/>
          <w:sz w:val="28"/>
          <w:szCs w:val="28"/>
        </w:rPr>
        <w:t>Ar koncepcijas ieviešanu saistītās izmaksas</w:t>
      </w:r>
      <w:r w:rsidRPr="00DA0C94">
        <w:rPr>
          <w:rFonts w:ascii="Times New Roman" w:hAnsi="Times New Roman" w:cs="Times New Roman"/>
          <w:sz w:val="28"/>
          <w:szCs w:val="28"/>
        </w:rPr>
        <w:t>.</w:t>
      </w:r>
    </w:p>
    <w:p w:rsidR="00EA1F70" w:rsidRPr="00DA0C94" w:rsidRDefault="00EA1F70" w:rsidP="00EF2476">
      <w:pPr>
        <w:pStyle w:val="ListParagraph"/>
        <w:spacing w:after="0" w:line="240" w:lineRule="auto"/>
        <w:ind w:left="1080"/>
        <w:rPr>
          <w:rFonts w:ascii="Times New Roman" w:hAnsi="Times New Roman" w:cs="Times New Roman"/>
          <w:sz w:val="28"/>
          <w:szCs w:val="28"/>
        </w:rPr>
      </w:pPr>
    </w:p>
    <w:p w:rsidR="00DD1DBE" w:rsidRPr="00DA0C94" w:rsidRDefault="003A791A" w:rsidP="00DA0C94">
      <w:pPr>
        <w:spacing w:after="0" w:line="240" w:lineRule="auto"/>
        <w:ind w:firstLine="720"/>
        <w:jc w:val="both"/>
        <w:rPr>
          <w:rFonts w:ascii="Times New Roman" w:hAnsi="Times New Roman" w:cs="Times New Roman"/>
          <w:sz w:val="28"/>
          <w:szCs w:val="28"/>
        </w:rPr>
      </w:pPr>
      <w:r w:rsidRPr="00DA0C94">
        <w:rPr>
          <w:rFonts w:ascii="Times New Roman" w:hAnsi="Times New Roman" w:cs="Times New Roman"/>
          <w:sz w:val="28"/>
          <w:szCs w:val="28"/>
        </w:rPr>
        <w:t xml:space="preserve">Šobrīd identificēts, ka Sodu reģistrā, kas apkopo informāciju par izdarītajiem administratīvajiem pakāpumiem un administratīvi sodītajām personām, saistībā ar koncepcijas ieviešanu būs nepieciešamas atsevišķas izmaiņas. </w:t>
      </w:r>
    </w:p>
    <w:p w:rsidR="00DD1DBE" w:rsidRPr="00DA0C94" w:rsidRDefault="00DD1DBE" w:rsidP="00EF2476">
      <w:pPr>
        <w:spacing w:after="0" w:line="240" w:lineRule="auto"/>
        <w:ind w:firstLine="720"/>
        <w:jc w:val="both"/>
        <w:rPr>
          <w:sz w:val="28"/>
          <w:szCs w:val="28"/>
        </w:rPr>
      </w:pPr>
    </w:p>
    <w:tbl>
      <w:tblPr>
        <w:tblW w:w="9356" w:type="dxa"/>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7"/>
        <w:gridCol w:w="1322"/>
        <w:gridCol w:w="1358"/>
        <w:gridCol w:w="1340"/>
        <w:gridCol w:w="1340"/>
        <w:gridCol w:w="1109"/>
      </w:tblGrid>
      <w:tr w:rsidR="00DD1DBE" w:rsidRPr="00DA0C94" w:rsidTr="00DD1DBE">
        <w:trPr>
          <w:trHeight w:val="652"/>
          <w:tblCellSpacing w:w="0" w:type="dxa"/>
        </w:trPr>
        <w:tc>
          <w:tcPr>
            <w:tcW w:w="9356" w:type="dxa"/>
            <w:gridSpan w:val="6"/>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jc w:val="center"/>
              <w:rPr>
                <w:rFonts w:ascii="Times New Roman" w:hAnsi="Times New Roman"/>
                <w:b/>
                <w:bCs/>
                <w:sz w:val="28"/>
                <w:szCs w:val="28"/>
                <w:lang w:val="lv-LV"/>
              </w:rPr>
            </w:pPr>
            <w:r w:rsidRPr="00DA0C94">
              <w:rPr>
                <w:rFonts w:ascii="Times New Roman" w:hAnsi="Times New Roman"/>
                <w:b/>
                <w:bCs/>
                <w:sz w:val="28"/>
                <w:szCs w:val="28"/>
                <w:lang w:val="lv-LV"/>
              </w:rPr>
              <w:t>III. projekta ietekme uz valsts budžetu un pašvaldību budžetiem</w:t>
            </w:r>
          </w:p>
          <w:p w:rsidR="00DD1DBE" w:rsidRPr="00DA0C94" w:rsidRDefault="00DD1DBE" w:rsidP="00EF2476">
            <w:pPr>
              <w:pStyle w:val="naisf"/>
              <w:spacing w:after="0" w:line="240" w:lineRule="auto"/>
              <w:jc w:val="center"/>
              <w:rPr>
                <w:rFonts w:ascii="Times New Roman" w:hAnsi="Times New Roman"/>
                <w:b/>
                <w:bCs/>
                <w:sz w:val="28"/>
                <w:szCs w:val="28"/>
                <w:lang w:val="lv-LV"/>
              </w:rPr>
            </w:pPr>
          </w:p>
        </w:tc>
      </w:tr>
      <w:tr w:rsidR="00DD1DBE" w:rsidRPr="00DA0C94" w:rsidTr="00DD1DBE">
        <w:trPr>
          <w:tblCellSpacing w:w="0" w:type="dxa"/>
        </w:trPr>
        <w:tc>
          <w:tcPr>
            <w:tcW w:w="2889" w:type="dxa"/>
            <w:vMerge w:val="restart"/>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sz w:val="28"/>
                <w:szCs w:val="28"/>
                <w:lang w:val="lv-LV"/>
              </w:rPr>
            </w:pPr>
            <w:r w:rsidRPr="00DA0C94">
              <w:rPr>
                <w:rFonts w:ascii="Times New Roman" w:hAnsi="Times New Roman"/>
                <w:b/>
                <w:bCs/>
                <w:sz w:val="28"/>
                <w:szCs w:val="28"/>
                <w:lang w:val="lv-LV"/>
              </w:rPr>
              <w:t>Rādītāji</w:t>
            </w:r>
          </w:p>
        </w:tc>
        <w:tc>
          <w:tcPr>
            <w:tcW w:w="2682" w:type="dxa"/>
            <w:gridSpan w:val="2"/>
            <w:vMerge w:val="restart"/>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sz w:val="28"/>
                <w:szCs w:val="28"/>
                <w:lang w:val="lv-LV"/>
              </w:rPr>
            </w:pPr>
            <w:r w:rsidRPr="00DA0C94">
              <w:rPr>
                <w:rFonts w:ascii="Times New Roman" w:hAnsi="Times New Roman"/>
                <w:b/>
                <w:bCs/>
                <w:sz w:val="28"/>
                <w:szCs w:val="28"/>
                <w:lang w:val="lv-LV"/>
              </w:rPr>
              <w:t>2015</w:t>
            </w:r>
          </w:p>
        </w:tc>
        <w:tc>
          <w:tcPr>
            <w:tcW w:w="3785" w:type="dxa"/>
            <w:gridSpan w:val="3"/>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sz w:val="28"/>
                <w:szCs w:val="28"/>
                <w:lang w:val="lv-LV"/>
              </w:rPr>
            </w:pPr>
            <w:r w:rsidRPr="00DA0C94">
              <w:rPr>
                <w:rFonts w:ascii="Times New Roman" w:hAnsi="Times New Roman"/>
                <w:sz w:val="28"/>
                <w:szCs w:val="28"/>
                <w:lang w:val="lv-LV"/>
              </w:rPr>
              <w:t>Turpmākie trīs gadi (tūkst</w:t>
            </w:r>
            <w:smartTag w:uri="schemas-tilde-lv/tildestengine" w:element="currency2">
              <w:smartTagPr>
                <w:attr w:name="currency_id" w:val="48"/>
                <w:attr w:name="currency_key" w:val="LVL"/>
                <w:attr w:name="currency_value" w:val="."/>
                <w:attr w:name="currency_text" w:val="latu"/>
              </w:smartTagPr>
              <w:r w:rsidRPr="00DA0C94">
                <w:rPr>
                  <w:rFonts w:ascii="Times New Roman" w:hAnsi="Times New Roman"/>
                  <w:sz w:val="28"/>
                  <w:szCs w:val="28"/>
                  <w:lang w:val="lv-LV"/>
                </w:rPr>
                <w:t>. latu</w:t>
              </w:r>
            </w:smartTag>
            <w:r w:rsidRPr="00DA0C94">
              <w:rPr>
                <w:rFonts w:ascii="Times New Roman" w:hAnsi="Times New Roman"/>
                <w:sz w:val="28"/>
                <w:szCs w:val="28"/>
                <w:lang w:val="lv-LV"/>
              </w:rPr>
              <w:t>)</w:t>
            </w:r>
          </w:p>
        </w:tc>
      </w:tr>
      <w:tr w:rsidR="00DD1DBE" w:rsidRPr="00DA0C94" w:rsidTr="00DD1DBE">
        <w:trPr>
          <w:tblCellSpacing w:w="0" w:type="dxa"/>
        </w:trPr>
        <w:tc>
          <w:tcPr>
            <w:tcW w:w="2889" w:type="dxa"/>
            <w:vMerge/>
            <w:tcBorders>
              <w:top w:val="single" w:sz="4" w:space="0" w:color="auto"/>
              <w:left w:val="single" w:sz="4" w:space="0" w:color="auto"/>
              <w:bottom w:val="single" w:sz="4" w:space="0" w:color="auto"/>
              <w:right w:val="single" w:sz="4" w:space="0" w:color="auto"/>
            </w:tcBorders>
            <w:vAlign w:val="center"/>
          </w:tcPr>
          <w:p w:rsidR="00DD1DBE" w:rsidRPr="00DA0C94" w:rsidRDefault="00DD1DBE" w:rsidP="00EF2476">
            <w:pPr>
              <w:pStyle w:val="naisf"/>
              <w:spacing w:after="0" w:line="240" w:lineRule="auto"/>
              <w:jc w:val="center"/>
              <w:rPr>
                <w:rFonts w:ascii="Times New Roman" w:hAnsi="Times New Roman"/>
                <w:sz w:val="28"/>
                <w:szCs w:val="28"/>
                <w:lang w:val="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D1DBE" w:rsidRPr="00DA0C94" w:rsidRDefault="00DD1DBE" w:rsidP="00EF2476">
            <w:pPr>
              <w:pStyle w:val="naisf"/>
              <w:spacing w:after="0" w:line="240" w:lineRule="auto"/>
              <w:jc w:val="center"/>
              <w:rPr>
                <w:rFonts w:ascii="Times New Roman" w:hAnsi="Times New Roman"/>
                <w:sz w:val="28"/>
                <w:szCs w:val="28"/>
                <w:lang w:val="lv-LV"/>
              </w:rPr>
            </w:pPr>
          </w:p>
        </w:tc>
        <w:tc>
          <w:tcPr>
            <w:tcW w:w="1341" w:type="dxa"/>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b/>
                <w:bCs/>
                <w:sz w:val="28"/>
                <w:szCs w:val="28"/>
                <w:lang w:val="lv-LV"/>
              </w:rPr>
            </w:pPr>
            <w:r w:rsidRPr="00DA0C94">
              <w:rPr>
                <w:rFonts w:ascii="Times New Roman" w:hAnsi="Times New Roman"/>
                <w:b/>
                <w:bCs/>
                <w:sz w:val="28"/>
                <w:szCs w:val="28"/>
                <w:lang w:val="lv-LV"/>
              </w:rPr>
              <w:t>2016</w:t>
            </w:r>
          </w:p>
        </w:tc>
        <w:tc>
          <w:tcPr>
            <w:tcW w:w="1341" w:type="dxa"/>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b/>
                <w:bCs/>
                <w:sz w:val="28"/>
                <w:szCs w:val="28"/>
                <w:lang w:val="lv-LV"/>
              </w:rPr>
            </w:pPr>
            <w:r w:rsidRPr="00DA0C94">
              <w:rPr>
                <w:rFonts w:ascii="Times New Roman" w:hAnsi="Times New Roman"/>
                <w:b/>
                <w:bCs/>
                <w:sz w:val="28"/>
                <w:szCs w:val="28"/>
                <w:lang w:val="lv-LV"/>
              </w:rPr>
              <w:t>2017</w:t>
            </w:r>
          </w:p>
        </w:tc>
        <w:tc>
          <w:tcPr>
            <w:tcW w:w="1103" w:type="dxa"/>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b/>
                <w:bCs/>
                <w:sz w:val="28"/>
                <w:szCs w:val="28"/>
                <w:lang w:val="lv-LV"/>
              </w:rPr>
            </w:pPr>
            <w:r w:rsidRPr="00DA0C94">
              <w:rPr>
                <w:rFonts w:ascii="Times New Roman" w:hAnsi="Times New Roman"/>
                <w:b/>
                <w:bCs/>
                <w:sz w:val="28"/>
                <w:szCs w:val="28"/>
                <w:lang w:val="lv-LV"/>
              </w:rPr>
              <w:t>2018</w:t>
            </w:r>
          </w:p>
        </w:tc>
      </w:tr>
      <w:tr w:rsidR="00DD1DBE" w:rsidRPr="00DA0C94" w:rsidTr="00DD1DBE">
        <w:trPr>
          <w:tblCellSpacing w:w="0" w:type="dxa"/>
        </w:trPr>
        <w:tc>
          <w:tcPr>
            <w:tcW w:w="2889" w:type="dxa"/>
            <w:vMerge/>
            <w:tcBorders>
              <w:top w:val="single" w:sz="4" w:space="0" w:color="auto"/>
              <w:left w:val="single" w:sz="4" w:space="0" w:color="auto"/>
              <w:bottom w:val="single" w:sz="4" w:space="0" w:color="auto"/>
              <w:right w:val="single" w:sz="4" w:space="0" w:color="auto"/>
            </w:tcBorders>
            <w:vAlign w:val="center"/>
          </w:tcPr>
          <w:p w:rsidR="00DD1DBE" w:rsidRPr="00DA0C94" w:rsidRDefault="00DD1DBE" w:rsidP="00EF2476">
            <w:pPr>
              <w:pStyle w:val="naisf"/>
              <w:spacing w:after="0" w:line="240" w:lineRule="auto"/>
              <w:jc w:val="center"/>
              <w:rPr>
                <w:rFonts w:ascii="Times New Roman" w:hAnsi="Times New Roman"/>
                <w:sz w:val="28"/>
                <w:szCs w:val="28"/>
                <w:lang w:val="lv-LV"/>
              </w:rPr>
            </w:pPr>
          </w:p>
        </w:tc>
        <w:tc>
          <w:tcPr>
            <w:tcW w:w="1323" w:type="dxa"/>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sz w:val="28"/>
                <w:szCs w:val="28"/>
                <w:lang w:val="lv-LV"/>
              </w:rPr>
            </w:pPr>
            <w:r w:rsidRPr="00DA0C94">
              <w:rPr>
                <w:rFonts w:ascii="Times New Roman" w:hAnsi="Times New Roman"/>
                <w:sz w:val="28"/>
                <w:szCs w:val="28"/>
                <w:lang w:val="lv-LV"/>
              </w:rPr>
              <w:t xml:space="preserve">Saskaņā ar valsts </w:t>
            </w:r>
            <w:r w:rsidRPr="00DA0C94">
              <w:rPr>
                <w:rFonts w:ascii="Times New Roman" w:hAnsi="Times New Roman"/>
                <w:sz w:val="28"/>
                <w:szCs w:val="28"/>
                <w:lang w:val="lv-LV"/>
              </w:rPr>
              <w:lastRenderedPageBreak/>
              <w:t>budžetu kārtējam gadam</w:t>
            </w:r>
          </w:p>
        </w:tc>
        <w:tc>
          <w:tcPr>
            <w:tcW w:w="1359" w:type="dxa"/>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sz w:val="28"/>
                <w:szCs w:val="28"/>
                <w:lang w:val="lv-LV"/>
              </w:rPr>
            </w:pPr>
            <w:r w:rsidRPr="00DA0C94">
              <w:rPr>
                <w:rFonts w:ascii="Times New Roman" w:hAnsi="Times New Roman"/>
                <w:sz w:val="28"/>
                <w:szCs w:val="28"/>
                <w:lang w:val="lv-LV"/>
              </w:rPr>
              <w:lastRenderedPageBreak/>
              <w:t xml:space="preserve">Izmaiņas kārtējā </w:t>
            </w:r>
            <w:r w:rsidRPr="00DA0C94">
              <w:rPr>
                <w:rFonts w:ascii="Times New Roman" w:hAnsi="Times New Roman"/>
                <w:sz w:val="28"/>
                <w:szCs w:val="28"/>
                <w:lang w:val="lv-LV"/>
              </w:rPr>
              <w:lastRenderedPageBreak/>
              <w:t>gadā, salīdzinot ar budžetu kārtējam gadam</w:t>
            </w:r>
          </w:p>
        </w:tc>
        <w:tc>
          <w:tcPr>
            <w:tcW w:w="1341" w:type="dxa"/>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sz w:val="28"/>
                <w:szCs w:val="28"/>
                <w:lang w:val="lv-LV"/>
              </w:rPr>
            </w:pPr>
            <w:r w:rsidRPr="00DA0C94">
              <w:rPr>
                <w:rFonts w:ascii="Times New Roman" w:hAnsi="Times New Roman"/>
                <w:sz w:val="28"/>
                <w:szCs w:val="28"/>
                <w:lang w:val="lv-LV"/>
              </w:rPr>
              <w:lastRenderedPageBreak/>
              <w:t xml:space="preserve">Izmaiņas, salīdzinot </w:t>
            </w:r>
            <w:r w:rsidRPr="00DA0C94">
              <w:rPr>
                <w:rFonts w:ascii="Times New Roman" w:hAnsi="Times New Roman"/>
                <w:sz w:val="28"/>
                <w:szCs w:val="28"/>
                <w:lang w:val="lv-LV"/>
              </w:rPr>
              <w:lastRenderedPageBreak/>
              <w:t>ar kārtējo (n) gadu</w:t>
            </w:r>
          </w:p>
        </w:tc>
        <w:tc>
          <w:tcPr>
            <w:tcW w:w="1341" w:type="dxa"/>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sz w:val="28"/>
                <w:szCs w:val="28"/>
                <w:lang w:val="lv-LV"/>
              </w:rPr>
            </w:pPr>
            <w:r w:rsidRPr="00DA0C94">
              <w:rPr>
                <w:rFonts w:ascii="Times New Roman" w:hAnsi="Times New Roman"/>
                <w:sz w:val="28"/>
                <w:szCs w:val="28"/>
                <w:lang w:val="lv-LV"/>
              </w:rPr>
              <w:lastRenderedPageBreak/>
              <w:t xml:space="preserve">Izmaiņas, salīdzinot </w:t>
            </w:r>
            <w:r w:rsidRPr="00DA0C94">
              <w:rPr>
                <w:rFonts w:ascii="Times New Roman" w:hAnsi="Times New Roman"/>
                <w:sz w:val="28"/>
                <w:szCs w:val="28"/>
                <w:lang w:val="lv-LV"/>
              </w:rPr>
              <w:lastRenderedPageBreak/>
              <w:t>ar kārtējo (n) gadu</w:t>
            </w:r>
          </w:p>
        </w:tc>
        <w:tc>
          <w:tcPr>
            <w:tcW w:w="1103" w:type="dxa"/>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sz w:val="28"/>
                <w:szCs w:val="28"/>
                <w:lang w:val="lv-LV"/>
              </w:rPr>
            </w:pPr>
            <w:r w:rsidRPr="00DA0C94">
              <w:rPr>
                <w:rFonts w:ascii="Times New Roman" w:hAnsi="Times New Roman"/>
                <w:sz w:val="28"/>
                <w:szCs w:val="28"/>
                <w:lang w:val="lv-LV"/>
              </w:rPr>
              <w:lastRenderedPageBreak/>
              <w:t xml:space="preserve">Izmaiņas, salīdzinot </w:t>
            </w:r>
            <w:r w:rsidRPr="00DA0C94">
              <w:rPr>
                <w:rFonts w:ascii="Times New Roman" w:hAnsi="Times New Roman"/>
                <w:sz w:val="28"/>
                <w:szCs w:val="28"/>
                <w:lang w:val="lv-LV"/>
              </w:rPr>
              <w:lastRenderedPageBreak/>
              <w:t>ar kārtējo (n) gadu</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sz w:val="28"/>
                <w:szCs w:val="28"/>
                <w:lang w:val="lv-LV"/>
              </w:rPr>
            </w:pPr>
            <w:r w:rsidRPr="00DA0C94">
              <w:rPr>
                <w:rFonts w:ascii="Times New Roman" w:hAnsi="Times New Roman"/>
                <w:sz w:val="28"/>
                <w:szCs w:val="28"/>
                <w:lang w:val="lv-LV"/>
              </w:rPr>
              <w:lastRenderedPageBreak/>
              <w:t>1</w:t>
            </w:r>
          </w:p>
        </w:tc>
        <w:tc>
          <w:tcPr>
            <w:tcW w:w="1323" w:type="dxa"/>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sz w:val="28"/>
                <w:szCs w:val="28"/>
                <w:lang w:val="lv-LV"/>
              </w:rPr>
            </w:pPr>
            <w:r w:rsidRPr="00DA0C94">
              <w:rPr>
                <w:rFonts w:ascii="Times New Roman" w:hAnsi="Times New Roman"/>
                <w:sz w:val="28"/>
                <w:szCs w:val="28"/>
                <w:lang w:val="lv-LV"/>
              </w:rPr>
              <w:t>2</w:t>
            </w:r>
          </w:p>
        </w:tc>
        <w:tc>
          <w:tcPr>
            <w:tcW w:w="1359" w:type="dxa"/>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sz w:val="28"/>
                <w:szCs w:val="28"/>
                <w:lang w:val="lv-LV"/>
              </w:rPr>
            </w:pPr>
            <w:r w:rsidRPr="00DA0C94">
              <w:rPr>
                <w:rFonts w:ascii="Times New Roman" w:hAnsi="Times New Roman"/>
                <w:sz w:val="28"/>
                <w:szCs w:val="28"/>
                <w:lang w:val="lv-LV"/>
              </w:rPr>
              <w:t>3</w:t>
            </w:r>
          </w:p>
        </w:tc>
        <w:tc>
          <w:tcPr>
            <w:tcW w:w="1341" w:type="dxa"/>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sz w:val="28"/>
                <w:szCs w:val="28"/>
                <w:lang w:val="lv-LV"/>
              </w:rPr>
            </w:pPr>
            <w:r w:rsidRPr="00DA0C94">
              <w:rPr>
                <w:rFonts w:ascii="Times New Roman" w:hAnsi="Times New Roman"/>
                <w:sz w:val="28"/>
                <w:szCs w:val="28"/>
                <w:lang w:val="lv-LV"/>
              </w:rPr>
              <w:t>4</w:t>
            </w:r>
          </w:p>
        </w:tc>
        <w:tc>
          <w:tcPr>
            <w:tcW w:w="1341" w:type="dxa"/>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sz w:val="28"/>
                <w:szCs w:val="28"/>
                <w:lang w:val="lv-LV"/>
              </w:rPr>
            </w:pPr>
            <w:r w:rsidRPr="00DA0C94">
              <w:rPr>
                <w:rFonts w:ascii="Times New Roman" w:hAnsi="Times New Roman"/>
                <w:sz w:val="28"/>
                <w:szCs w:val="28"/>
                <w:lang w:val="lv-LV"/>
              </w:rPr>
              <w:t>5</w:t>
            </w:r>
          </w:p>
        </w:tc>
        <w:tc>
          <w:tcPr>
            <w:tcW w:w="1103" w:type="dxa"/>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jc w:val="center"/>
              <w:rPr>
                <w:rFonts w:ascii="Times New Roman" w:hAnsi="Times New Roman"/>
                <w:sz w:val="28"/>
                <w:szCs w:val="28"/>
                <w:lang w:val="lv-LV"/>
              </w:rPr>
            </w:pPr>
            <w:r w:rsidRPr="00DA0C94">
              <w:rPr>
                <w:rFonts w:ascii="Times New Roman" w:hAnsi="Times New Roman"/>
                <w:sz w:val="28"/>
                <w:szCs w:val="28"/>
                <w:lang w:val="lv-LV"/>
              </w:rPr>
              <w:t>6</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1. Budžeta ieņēmumi:</w:t>
            </w:r>
          </w:p>
        </w:tc>
        <w:tc>
          <w:tcPr>
            <w:tcW w:w="132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0</w:t>
            </w: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1.1. valsts pamatbudžets, tai skaitā ieņēmumi no maksas pakalpojumiem un citi pašu ieņēmumi</w:t>
            </w:r>
          </w:p>
        </w:tc>
        <w:tc>
          <w:tcPr>
            <w:tcW w:w="132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0</w:t>
            </w: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1.2. valsts speciālais budžets</w:t>
            </w:r>
          </w:p>
        </w:tc>
        <w:tc>
          <w:tcPr>
            <w:tcW w:w="132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1.3. pašvaldību budžets</w:t>
            </w:r>
          </w:p>
        </w:tc>
        <w:tc>
          <w:tcPr>
            <w:tcW w:w="132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tabs>
                <w:tab w:val="center" w:pos="4153"/>
                <w:tab w:val="right" w:pos="8306"/>
              </w:tabs>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tabs>
                <w:tab w:val="center" w:pos="4153"/>
                <w:tab w:val="right" w:pos="8306"/>
              </w:tabs>
              <w:spacing w:after="0" w:line="240" w:lineRule="auto"/>
              <w:rPr>
                <w:rFonts w:ascii="Times New Roman" w:hAnsi="Times New Roman"/>
                <w:sz w:val="28"/>
                <w:szCs w:val="28"/>
                <w:lang w:val="lv-LV"/>
              </w:rPr>
            </w:pPr>
            <w:r w:rsidRPr="00DA0C94">
              <w:rPr>
                <w:rFonts w:ascii="Times New Roman" w:hAnsi="Times New Roman"/>
                <w:sz w:val="28"/>
                <w:szCs w:val="28"/>
                <w:lang w:val="lv-LV"/>
              </w:rPr>
              <w:t> 2. Budžeta izdevumi:</w:t>
            </w:r>
          </w:p>
        </w:tc>
        <w:tc>
          <w:tcPr>
            <w:tcW w:w="1323" w:type="dxa"/>
            <w:tcBorders>
              <w:top w:val="single" w:sz="4" w:space="0" w:color="auto"/>
              <w:left w:val="single" w:sz="4" w:space="0" w:color="auto"/>
              <w:bottom w:val="single" w:sz="4" w:space="0" w:color="auto"/>
              <w:right w:val="single" w:sz="4" w:space="0" w:color="auto"/>
            </w:tcBorders>
          </w:tcPr>
          <w:p w:rsidR="00DD1DBE" w:rsidRPr="00DA0C94" w:rsidRDefault="00DD1DBE" w:rsidP="00EF2476">
            <w:pPr>
              <w:pStyle w:val="naisf"/>
              <w:spacing w:after="0" w:line="240" w:lineRule="auto"/>
              <w:rPr>
                <w:rFonts w:ascii="Times New Roman" w:hAnsi="Times New Roman"/>
                <w:sz w:val="28"/>
                <w:szCs w:val="28"/>
                <w:lang w:val="lv-LV"/>
              </w:rPr>
            </w:pP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950,0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tabs>
                <w:tab w:val="left" w:pos="1145"/>
              </w:tabs>
              <w:spacing w:after="0" w:line="240" w:lineRule="auto"/>
              <w:rPr>
                <w:rFonts w:ascii="Times New Roman" w:hAnsi="Times New Roman"/>
                <w:sz w:val="28"/>
                <w:szCs w:val="28"/>
                <w:lang w:val="lv-LV"/>
              </w:rPr>
            </w:pPr>
            <w:r w:rsidRPr="00DA0C94">
              <w:rPr>
                <w:rFonts w:ascii="Times New Roman" w:hAnsi="Times New Roman"/>
                <w:sz w:val="28"/>
                <w:szCs w:val="28"/>
                <w:lang w:val="lv-LV"/>
              </w:rPr>
              <w:t>95,0</w:t>
            </w:r>
            <w:r w:rsidRPr="00DA0C94">
              <w:rPr>
                <w:rFonts w:ascii="Times New Roman" w:hAnsi="Times New Roman"/>
                <w:sz w:val="28"/>
                <w:szCs w:val="28"/>
                <w:lang w:val="lv-LV"/>
              </w:rPr>
              <w:tab/>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95,0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95,0</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2.1. valsts pamatbudžets</w:t>
            </w:r>
          </w:p>
        </w:tc>
        <w:tc>
          <w:tcPr>
            <w:tcW w:w="1323" w:type="dxa"/>
            <w:tcBorders>
              <w:top w:val="single" w:sz="4" w:space="0" w:color="auto"/>
              <w:left w:val="single" w:sz="4" w:space="0" w:color="auto"/>
              <w:bottom w:val="single" w:sz="4" w:space="0" w:color="auto"/>
              <w:right w:val="single" w:sz="4" w:space="0" w:color="auto"/>
            </w:tcBorders>
          </w:tcPr>
          <w:p w:rsidR="00DD1DBE" w:rsidRPr="00DA0C94" w:rsidRDefault="00DD1DBE" w:rsidP="00EF2476">
            <w:pPr>
              <w:pStyle w:val="naisf"/>
              <w:spacing w:after="0" w:line="240" w:lineRule="auto"/>
              <w:rPr>
                <w:rFonts w:ascii="Times New Roman" w:hAnsi="Times New Roman"/>
                <w:sz w:val="28"/>
                <w:szCs w:val="28"/>
                <w:lang w:val="lv-LV"/>
              </w:rPr>
            </w:pP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950,0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tabs>
                <w:tab w:val="left" w:pos="1145"/>
              </w:tabs>
              <w:spacing w:after="0" w:line="240" w:lineRule="auto"/>
              <w:rPr>
                <w:rFonts w:ascii="Times New Roman" w:hAnsi="Times New Roman"/>
                <w:sz w:val="28"/>
                <w:szCs w:val="28"/>
                <w:lang w:val="lv-LV"/>
              </w:rPr>
            </w:pPr>
            <w:r w:rsidRPr="00DA0C94">
              <w:rPr>
                <w:rFonts w:ascii="Times New Roman" w:hAnsi="Times New Roman"/>
                <w:sz w:val="28"/>
                <w:szCs w:val="28"/>
                <w:lang w:val="lv-LV"/>
              </w:rPr>
              <w:t>95,0</w:t>
            </w:r>
            <w:r w:rsidRPr="00DA0C94">
              <w:rPr>
                <w:rFonts w:ascii="Times New Roman" w:hAnsi="Times New Roman"/>
                <w:sz w:val="28"/>
                <w:szCs w:val="28"/>
                <w:lang w:val="lv-LV"/>
              </w:rPr>
              <w:tab/>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95,0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95,0</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2.2. valsts speciālais budžets</w:t>
            </w:r>
          </w:p>
        </w:tc>
        <w:tc>
          <w:tcPr>
            <w:tcW w:w="132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2.3. pašvaldību budžets</w:t>
            </w:r>
          </w:p>
        </w:tc>
        <w:tc>
          <w:tcPr>
            <w:tcW w:w="132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3. Finansiālā ietekme:</w:t>
            </w:r>
          </w:p>
        </w:tc>
        <w:tc>
          <w:tcPr>
            <w:tcW w:w="132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-950,0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- 95,0   </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- 95,0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- 95,0</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3.1. valsts pamatbudžets</w:t>
            </w:r>
          </w:p>
        </w:tc>
        <w:tc>
          <w:tcPr>
            <w:tcW w:w="132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-950,0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- 95,0   </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xml:space="preserve">  - 95,0 </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- 95,0</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3.2. speciālais budžets</w:t>
            </w:r>
          </w:p>
        </w:tc>
        <w:tc>
          <w:tcPr>
            <w:tcW w:w="132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3.3. pašvaldību budžets</w:t>
            </w:r>
          </w:p>
        </w:tc>
        <w:tc>
          <w:tcPr>
            <w:tcW w:w="132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r>
      <w:tr w:rsidR="00DD1DBE" w:rsidRPr="00DA0C94" w:rsidTr="00DD1DBE">
        <w:trPr>
          <w:tblCellSpacing w:w="0" w:type="dxa"/>
        </w:trPr>
        <w:tc>
          <w:tcPr>
            <w:tcW w:w="2889" w:type="dxa"/>
            <w:vMerge w:val="restart"/>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4. Finanšu līdzekļi papildu izde</w:t>
            </w:r>
            <w:r w:rsidRPr="00DA0C94">
              <w:rPr>
                <w:rFonts w:ascii="Times New Roman" w:hAnsi="Times New Roman"/>
                <w:sz w:val="28"/>
                <w:szCs w:val="28"/>
                <w:lang w:val="lv-LV"/>
              </w:rPr>
              <w:softHyphen/>
              <w:t>vumu finansēšanai (kompensējošu izdevumu samazinājumu norāda ar "+" zīmi)</w:t>
            </w:r>
          </w:p>
        </w:tc>
        <w:tc>
          <w:tcPr>
            <w:tcW w:w="1323" w:type="dxa"/>
            <w:vMerge w:val="restart"/>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X</w:t>
            </w: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r>
      <w:tr w:rsidR="00DD1DBE" w:rsidRPr="00DA0C94" w:rsidTr="00DD1DBE">
        <w:trPr>
          <w:tblCellSpacing w:w="0" w:type="dxa"/>
        </w:trPr>
        <w:tc>
          <w:tcPr>
            <w:tcW w:w="2889" w:type="dxa"/>
            <w:vMerge/>
            <w:tcBorders>
              <w:top w:val="single" w:sz="4" w:space="0" w:color="auto"/>
              <w:left w:val="single" w:sz="4" w:space="0" w:color="auto"/>
              <w:bottom w:val="single" w:sz="4" w:space="0" w:color="auto"/>
              <w:right w:val="single" w:sz="4" w:space="0" w:color="auto"/>
            </w:tcBorders>
            <w:vAlign w:val="center"/>
          </w:tcPr>
          <w:p w:rsidR="00DD1DBE" w:rsidRPr="00DA0C94" w:rsidRDefault="00DD1DBE" w:rsidP="00EF2476">
            <w:pPr>
              <w:pStyle w:val="naisf"/>
              <w:spacing w:after="0" w:line="240" w:lineRule="auto"/>
              <w:rPr>
                <w:rFonts w:ascii="Times New Roman" w:hAnsi="Times New Roman"/>
                <w:sz w:val="28"/>
                <w:szCs w:val="28"/>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D1DBE" w:rsidRPr="00DA0C94" w:rsidRDefault="00DD1DBE" w:rsidP="00EF2476">
            <w:pPr>
              <w:pStyle w:val="naisf"/>
              <w:spacing w:after="0" w:line="240" w:lineRule="auto"/>
              <w:rPr>
                <w:rFonts w:ascii="Times New Roman" w:hAnsi="Times New Roman"/>
                <w:sz w:val="28"/>
                <w:szCs w:val="28"/>
                <w:lang w:val="lv-LV"/>
              </w:rPr>
            </w:pP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r>
      <w:tr w:rsidR="00DD1DBE" w:rsidRPr="00DA0C94" w:rsidTr="00DD1DBE">
        <w:trPr>
          <w:tblCellSpacing w:w="0" w:type="dxa"/>
        </w:trPr>
        <w:tc>
          <w:tcPr>
            <w:tcW w:w="2889" w:type="dxa"/>
            <w:vMerge/>
            <w:tcBorders>
              <w:top w:val="single" w:sz="4" w:space="0" w:color="auto"/>
              <w:left w:val="single" w:sz="4" w:space="0" w:color="auto"/>
              <w:bottom w:val="single" w:sz="4" w:space="0" w:color="auto"/>
              <w:right w:val="single" w:sz="4" w:space="0" w:color="auto"/>
            </w:tcBorders>
            <w:vAlign w:val="center"/>
          </w:tcPr>
          <w:p w:rsidR="00DD1DBE" w:rsidRPr="00DA0C94" w:rsidRDefault="00DD1DBE" w:rsidP="00EF2476">
            <w:pPr>
              <w:pStyle w:val="naisf"/>
              <w:spacing w:after="0" w:line="240" w:lineRule="auto"/>
              <w:rPr>
                <w:rFonts w:ascii="Times New Roman" w:hAnsi="Times New Roman"/>
                <w:sz w:val="28"/>
                <w:szCs w:val="28"/>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D1DBE" w:rsidRPr="00DA0C94" w:rsidRDefault="00DD1DBE" w:rsidP="00EF2476">
            <w:pPr>
              <w:pStyle w:val="naisf"/>
              <w:spacing w:after="0" w:line="240" w:lineRule="auto"/>
              <w:rPr>
                <w:rFonts w:ascii="Times New Roman" w:hAnsi="Times New Roman"/>
                <w:sz w:val="28"/>
                <w:szCs w:val="28"/>
                <w:lang w:val="lv-LV"/>
              </w:rPr>
            </w:pP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tabs>
                <w:tab w:val="center" w:pos="4153"/>
                <w:tab w:val="right" w:pos="8306"/>
              </w:tabs>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tabs>
                <w:tab w:val="center" w:pos="4153"/>
                <w:tab w:val="right" w:pos="8306"/>
              </w:tabs>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tabs>
                <w:tab w:val="center" w:pos="4153"/>
                <w:tab w:val="right" w:pos="8306"/>
              </w:tabs>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tabs>
                <w:tab w:val="center" w:pos="4153"/>
                <w:tab w:val="right" w:pos="8306"/>
              </w:tabs>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tabs>
                <w:tab w:val="center" w:pos="4153"/>
                <w:tab w:val="right" w:pos="8306"/>
              </w:tabs>
              <w:spacing w:after="0" w:line="240" w:lineRule="auto"/>
              <w:rPr>
                <w:rFonts w:ascii="Times New Roman" w:hAnsi="Times New Roman"/>
                <w:sz w:val="28"/>
                <w:szCs w:val="28"/>
                <w:lang w:val="lv-LV"/>
              </w:rPr>
            </w:pPr>
            <w:r w:rsidRPr="00DA0C94">
              <w:rPr>
                <w:rFonts w:ascii="Times New Roman" w:hAnsi="Times New Roman"/>
                <w:sz w:val="28"/>
                <w:szCs w:val="28"/>
                <w:lang w:val="lv-LV"/>
              </w:rPr>
              <w:t> 5. Precizēta finansiālā ietekme:</w:t>
            </w:r>
          </w:p>
        </w:tc>
        <w:tc>
          <w:tcPr>
            <w:tcW w:w="1323" w:type="dxa"/>
            <w:vMerge w:val="restart"/>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tabs>
                <w:tab w:val="center" w:pos="4153"/>
                <w:tab w:val="right" w:pos="8306"/>
              </w:tabs>
              <w:spacing w:after="0" w:line="240" w:lineRule="auto"/>
              <w:rPr>
                <w:rFonts w:ascii="Times New Roman" w:hAnsi="Times New Roman"/>
                <w:sz w:val="28"/>
                <w:szCs w:val="28"/>
                <w:lang w:val="lv-LV"/>
              </w:rPr>
            </w:pPr>
            <w:r w:rsidRPr="00DA0C94">
              <w:rPr>
                <w:rFonts w:ascii="Times New Roman" w:hAnsi="Times New Roman"/>
                <w:sz w:val="28"/>
                <w:szCs w:val="28"/>
                <w:lang w:val="lv-LV"/>
              </w:rPr>
              <w:t> X</w:t>
            </w: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tabs>
                <w:tab w:val="center" w:pos="4153"/>
                <w:tab w:val="right" w:pos="8306"/>
              </w:tabs>
              <w:spacing w:after="0" w:line="240" w:lineRule="auto"/>
              <w:rPr>
                <w:rFonts w:ascii="Times New Roman" w:hAnsi="Times New Roman"/>
                <w:sz w:val="28"/>
                <w:szCs w:val="28"/>
                <w:lang w:val="lv-LV"/>
              </w:rPr>
            </w:pPr>
            <w:r w:rsidRPr="00DA0C94">
              <w:rPr>
                <w:rFonts w:ascii="Times New Roman" w:hAnsi="Times New Roman"/>
                <w:sz w:val="28"/>
                <w:szCs w:val="28"/>
                <w:lang w:val="lv-LV"/>
              </w:rPr>
              <w:t>  -950,0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tabs>
                <w:tab w:val="center" w:pos="4153"/>
                <w:tab w:val="right" w:pos="8306"/>
              </w:tabs>
              <w:spacing w:after="0" w:line="240" w:lineRule="auto"/>
              <w:rPr>
                <w:rFonts w:ascii="Times New Roman" w:hAnsi="Times New Roman"/>
                <w:sz w:val="28"/>
                <w:szCs w:val="28"/>
                <w:lang w:val="lv-LV"/>
              </w:rPr>
            </w:pPr>
            <w:r w:rsidRPr="00DA0C94">
              <w:rPr>
                <w:rFonts w:ascii="Times New Roman" w:hAnsi="Times New Roman"/>
                <w:sz w:val="28"/>
                <w:szCs w:val="28"/>
                <w:lang w:val="lv-LV"/>
              </w:rPr>
              <w:t>- 95,0   </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tabs>
                <w:tab w:val="center" w:pos="4153"/>
                <w:tab w:val="right" w:pos="8306"/>
              </w:tabs>
              <w:spacing w:after="0" w:line="240" w:lineRule="auto"/>
              <w:rPr>
                <w:rFonts w:ascii="Times New Roman" w:hAnsi="Times New Roman"/>
                <w:sz w:val="28"/>
                <w:szCs w:val="28"/>
                <w:lang w:val="lv-LV"/>
              </w:rPr>
            </w:pPr>
            <w:r w:rsidRPr="00DA0C94">
              <w:rPr>
                <w:rFonts w:ascii="Times New Roman" w:hAnsi="Times New Roman"/>
                <w:sz w:val="28"/>
                <w:szCs w:val="28"/>
                <w:lang w:val="lv-LV"/>
              </w:rPr>
              <w:t>  - 95,0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tabs>
                <w:tab w:val="center" w:pos="4153"/>
                <w:tab w:val="right" w:pos="8306"/>
              </w:tabs>
              <w:spacing w:after="0" w:line="240" w:lineRule="auto"/>
              <w:rPr>
                <w:rFonts w:ascii="Times New Roman" w:hAnsi="Times New Roman"/>
                <w:sz w:val="28"/>
                <w:szCs w:val="28"/>
                <w:lang w:val="lv-LV"/>
              </w:rPr>
            </w:pPr>
            <w:r w:rsidRPr="00DA0C94">
              <w:rPr>
                <w:rFonts w:ascii="Times New Roman" w:hAnsi="Times New Roman"/>
                <w:sz w:val="28"/>
                <w:szCs w:val="28"/>
                <w:lang w:val="lv-LV"/>
              </w:rPr>
              <w:t>  - 95,0</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tabs>
                <w:tab w:val="center" w:pos="4153"/>
                <w:tab w:val="right" w:pos="8306"/>
              </w:tabs>
              <w:spacing w:after="0" w:line="240" w:lineRule="auto"/>
              <w:rPr>
                <w:rFonts w:ascii="Times New Roman" w:hAnsi="Times New Roman"/>
                <w:sz w:val="28"/>
                <w:szCs w:val="28"/>
                <w:lang w:val="lv-LV"/>
              </w:rPr>
            </w:pPr>
            <w:r w:rsidRPr="00DA0C94">
              <w:rPr>
                <w:rFonts w:ascii="Times New Roman" w:hAnsi="Times New Roman"/>
                <w:sz w:val="28"/>
                <w:szCs w:val="28"/>
                <w:lang w:val="lv-LV"/>
              </w:rPr>
              <w:t> 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tcPr>
          <w:p w:rsidR="00DD1DBE" w:rsidRPr="00DA0C94" w:rsidRDefault="00DD1DBE" w:rsidP="00EF2476">
            <w:pPr>
              <w:pStyle w:val="naisf"/>
              <w:spacing w:after="0" w:line="240" w:lineRule="auto"/>
              <w:rPr>
                <w:rFonts w:ascii="Times New Roman" w:hAnsi="Times New Roman"/>
                <w:sz w:val="28"/>
                <w:szCs w:val="28"/>
                <w:lang w:val="lv-LV"/>
              </w:rPr>
            </w:pP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-950,0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- 95,0   </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xml:space="preserve">  - 95,0 </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- 95,0</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tcPr>
          <w:p w:rsidR="00DD1DBE" w:rsidRPr="00DA0C94" w:rsidRDefault="00DD1DBE" w:rsidP="00EF2476">
            <w:pPr>
              <w:pStyle w:val="naisf"/>
              <w:spacing w:after="0" w:line="240" w:lineRule="auto"/>
              <w:rPr>
                <w:rFonts w:ascii="Times New Roman" w:hAnsi="Times New Roman"/>
                <w:sz w:val="28"/>
                <w:szCs w:val="28"/>
                <w:lang w:val="lv-LV"/>
              </w:rPr>
            </w:pP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tcPr>
          <w:p w:rsidR="00DD1DBE" w:rsidRPr="00DA0C94" w:rsidRDefault="00DD1DBE" w:rsidP="00EF2476">
            <w:pPr>
              <w:pStyle w:val="naisf"/>
              <w:spacing w:after="0" w:line="240" w:lineRule="auto"/>
              <w:rPr>
                <w:rFonts w:ascii="Times New Roman" w:hAnsi="Times New Roman"/>
                <w:sz w:val="28"/>
                <w:szCs w:val="28"/>
                <w:lang w:val="lv-LV"/>
              </w:rPr>
            </w:pPr>
          </w:p>
        </w:tc>
        <w:tc>
          <w:tcPr>
            <w:tcW w:w="135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0</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xml:space="preserve"> 6. Detalizēts ieņēmumu </w:t>
            </w:r>
            <w:r w:rsidRPr="00DA0C94">
              <w:rPr>
                <w:rFonts w:ascii="Times New Roman" w:hAnsi="Times New Roman"/>
                <w:sz w:val="28"/>
                <w:szCs w:val="28"/>
                <w:lang w:val="lv-LV"/>
              </w:rPr>
              <w:lastRenderedPageBreak/>
              <w:t>un izdevu</w:t>
            </w:r>
            <w:r w:rsidRPr="00DA0C94">
              <w:rPr>
                <w:rFonts w:ascii="Times New Roman" w:hAnsi="Times New Roman"/>
                <w:sz w:val="28"/>
                <w:szCs w:val="28"/>
                <w:lang w:val="lv-LV"/>
              </w:rPr>
              <w:softHyphen/>
              <w:t>mu aprēķins (ja nepieciešams, detalizētu ieņēmumu un izdevumu aprēķinu var pievienot anotācijas pielikumā):</w:t>
            </w:r>
          </w:p>
        </w:tc>
        <w:tc>
          <w:tcPr>
            <w:tcW w:w="6467" w:type="dxa"/>
            <w:gridSpan w:val="5"/>
            <w:tcBorders>
              <w:top w:val="single" w:sz="4" w:space="0" w:color="auto"/>
              <w:left w:val="single" w:sz="4" w:space="0" w:color="auto"/>
              <w:bottom w:val="single" w:sz="4" w:space="0" w:color="auto"/>
              <w:right w:val="single" w:sz="4" w:space="0" w:color="auto"/>
            </w:tcBorders>
            <w:vAlign w:val="center"/>
          </w:tcPr>
          <w:p w:rsidR="00DD1DBE" w:rsidRPr="00DA0C94" w:rsidRDefault="00DD1DBE" w:rsidP="00EF2476">
            <w:pPr>
              <w:pStyle w:val="naisf"/>
              <w:spacing w:after="0" w:line="240" w:lineRule="auto"/>
              <w:rPr>
                <w:rFonts w:ascii="Times New Roman" w:hAnsi="Times New Roman"/>
                <w:sz w:val="28"/>
                <w:szCs w:val="28"/>
                <w:lang w:val="lv-LV"/>
              </w:rPr>
            </w:pPr>
          </w:p>
          <w:p w:rsidR="00DD1DBE" w:rsidRPr="00DA0C94" w:rsidRDefault="00DD1DBE" w:rsidP="00EF2476">
            <w:pPr>
              <w:pStyle w:val="naisf"/>
              <w:spacing w:after="0" w:line="240" w:lineRule="auto"/>
              <w:rPr>
                <w:rFonts w:ascii="Times New Roman" w:hAnsi="Times New Roman"/>
                <w:sz w:val="28"/>
                <w:szCs w:val="28"/>
                <w:lang w:val="lv-LV"/>
              </w:rPr>
            </w:pP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lastRenderedPageBreak/>
              <w:t> 6.1. detalizēts ieņēmumu aprēķins</w:t>
            </w:r>
          </w:p>
        </w:tc>
        <w:tc>
          <w:tcPr>
            <w:tcW w:w="6467" w:type="dxa"/>
            <w:gridSpan w:val="5"/>
            <w:tcBorders>
              <w:top w:val="single" w:sz="4" w:space="0" w:color="auto"/>
              <w:left w:val="single" w:sz="4" w:space="0" w:color="auto"/>
              <w:bottom w:val="single" w:sz="4" w:space="0" w:color="auto"/>
              <w:right w:val="single" w:sz="4" w:space="0" w:color="auto"/>
            </w:tcBorders>
            <w:vAlign w:val="center"/>
          </w:tcPr>
          <w:p w:rsidR="00DD1DBE" w:rsidRPr="00DA0C94" w:rsidRDefault="00DD1DBE" w:rsidP="00EF2476">
            <w:pPr>
              <w:pStyle w:val="naisf"/>
              <w:spacing w:after="0" w:line="240" w:lineRule="auto"/>
              <w:rPr>
                <w:rFonts w:ascii="Times New Roman" w:hAnsi="Times New Roman"/>
                <w:sz w:val="28"/>
                <w:szCs w:val="28"/>
                <w:lang w:val="lv-LV"/>
              </w:rPr>
            </w:pP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6.2. detalizēts izdevumu aprēķins</w:t>
            </w:r>
          </w:p>
        </w:tc>
        <w:tc>
          <w:tcPr>
            <w:tcW w:w="6467" w:type="dxa"/>
            <w:gridSpan w:val="5"/>
            <w:tcBorders>
              <w:top w:val="single" w:sz="4" w:space="0" w:color="auto"/>
              <w:left w:val="single" w:sz="4" w:space="0" w:color="auto"/>
              <w:bottom w:val="single" w:sz="4" w:space="0" w:color="auto"/>
              <w:right w:val="single" w:sz="4" w:space="0" w:color="auto"/>
            </w:tcBorders>
            <w:vAlign w:val="center"/>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xml:space="preserve">Iekšlietu ministrija (Iekšlietu ministrijas Informācijas centrs, budžeta apakšprogramma 02.03.00 „Vienotās sakaru un informācijas sistēmu uzturēšana un vadība”) </w:t>
            </w:r>
          </w:p>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xml:space="preserve">2015.gadā izdevumi kopā Ls 950 000   </w:t>
            </w:r>
          </w:p>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t.sk. Uzturēšanas izdevumi Ls 950 000</w:t>
            </w:r>
          </w:p>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xml:space="preserve">       t.sk. Preces un pakalpojumi Ls 950 000</w:t>
            </w:r>
          </w:p>
          <w:p w:rsidR="00DD1DBE" w:rsidRPr="00DA0C94" w:rsidRDefault="003A791A" w:rsidP="00EF2476">
            <w:pPr>
              <w:pStyle w:val="naisf"/>
              <w:spacing w:after="0" w:line="240" w:lineRule="auto"/>
              <w:ind w:left="1212" w:hanging="425"/>
              <w:rPr>
                <w:rFonts w:ascii="Times New Roman" w:hAnsi="Times New Roman"/>
                <w:sz w:val="28"/>
                <w:szCs w:val="28"/>
                <w:lang w:val="lv-LV"/>
              </w:rPr>
            </w:pPr>
            <w:r w:rsidRPr="00DA0C94">
              <w:rPr>
                <w:rFonts w:ascii="Times New Roman" w:hAnsi="Times New Roman"/>
                <w:sz w:val="28"/>
                <w:szCs w:val="28"/>
                <w:lang w:val="lv-LV"/>
              </w:rPr>
              <w:t xml:space="preserve">       t.sk. IKK 2250 – Informācijas tehnoloģijas pakalpojumi</w:t>
            </w:r>
          </w:p>
          <w:p w:rsidR="00DD1DBE" w:rsidRPr="00DA0C94" w:rsidRDefault="003A791A" w:rsidP="00EF2476">
            <w:pPr>
              <w:pStyle w:val="naisf"/>
              <w:spacing w:after="0" w:line="240" w:lineRule="auto"/>
              <w:ind w:left="1212" w:hanging="425"/>
              <w:rPr>
                <w:rFonts w:ascii="Times New Roman" w:hAnsi="Times New Roman"/>
                <w:sz w:val="28"/>
                <w:szCs w:val="28"/>
                <w:lang w:val="lv-LV"/>
              </w:rPr>
            </w:pPr>
            <w:r w:rsidRPr="00DA0C94">
              <w:rPr>
                <w:rFonts w:ascii="Times New Roman" w:hAnsi="Times New Roman"/>
                <w:sz w:val="28"/>
                <w:szCs w:val="28"/>
                <w:lang w:val="lv-LV"/>
              </w:rPr>
              <w:t xml:space="preserve">       Ls 950 000 </w:t>
            </w:r>
          </w:p>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xml:space="preserve">No tā: </w:t>
            </w:r>
          </w:p>
          <w:p w:rsidR="00DD1DBE" w:rsidRPr="00DA0C94" w:rsidRDefault="003A791A" w:rsidP="00EF2476">
            <w:pPr>
              <w:pStyle w:val="naisf"/>
              <w:numPr>
                <w:ilvl w:val="0"/>
                <w:numId w:val="6"/>
              </w:numPr>
              <w:spacing w:before="75" w:after="0" w:line="240" w:lineRule="auto"/>
              <w:rPr>
                <w:rFonts w:ascii="Times New Roman" w:hAnsi="Times New Roman"/>
                <w:sz w:val="28"/>
                <w:szCs w:val="28"/>
                <w:lang w:val="lv-LV"/>
              </w:rPr>
            </w:pPr>
            <w:r w:rsidRPr="00DA0C94">
              <w:rPr>
                <w:rFonts w:ascii="Times New Roman" w:hAnsi="Times New Roman"/>
                <w:sz w:val="28"/>
                <w:szCs w:val="28"/>
                <w:lang w:val="lv-LV"/>
              </w:rPr>
              <w:t xml:space="preserve">Administratīvo pārkāpumu uzskaites sistēmas pilnveidošana (analīze, projektēšana, programmatūras izstrāde, testēšana un atkļūdošana,  uzstādīšana un konfigurēšana, lietotāja dokumentācijas izstrāde, ieviešanas atbalsts un apmācība ), IKK 2259  </w:t>
            </w:r>
          </w:p>
          <w:p w:rsidR="00DD1DBE" w:rsidRPr="00DA0C94" w:rsidRDefault="00DD1DBE" w:rsidP="00EF2476">
            <w:pPr>
              <w:pStyle w:val="naisf"/>
              <w:spacing w:after="0" w:line="240" w:lineRule="auto"/>
              <w:rPr>
                <w:rFonts w:ascii="Times New Roman" w:hAnsi="Times New Roman"/>
                <w:sz w:val="28"/>
                <w:szCs w:val="28"/>
                <w:lang w:val="lv-LV"/>
              </w:rPr>
            </w:pPr>
          </w:p>
          <w:p w:rsidR="00DD1DBE" w:rsidRPr="00DA0C94" w:rsidRDefault="003A791A" w:rsidP="00EF2476">
            <w:pPr>
              <w:pStyle w:val="naisf"/>
              <w:spacing w:after="0" w:line="240" w:lineRule="auto"/>
              <w:rPr>
                <w:rFonts w:ascii="Times New Roman" w:hAnsi="Times New Roman"/>
                <w:b/>
                <w:sz w:val="28"/>
                <w:szCs w:val="28"/>
                <w:lang w:val="lv-LV"/>
              </w:rPr>
            </w:pPr>
            <w:r w:rsidRPr="00DA0C94">
              <w:rPr>
                <w:rFonts w:ascii="Times New Roman" w:hAnsi="Times New Roman"/>
                <w:sz w:val="28"/>
                <w:szCs w:val="28"/>
                <w:lang w:val="lv-LV"/>
              </w:rPr>
              <w:t xml:space="preserve">2016.gadā un turpmākajos gados izdevumi kopā Ls 95 000 </w:t>
            </w:r>
          </w:p>
          <w:p w:rsidR="00DD1DBE" w:rsidRPr="00DA0C94" w:rsidRDefault="003A791A" w:rsidP="00EF2476">
            <w:pPr>
              <w:pStyle w:val="naisf"/>
              <w:spacing w:after="0" w:line="240" w:lineRule="auto"/>
              <w:rPr>
                <w:rFonts w:ascii="Times New Roman" w:hAnsi="Times New Roman"/>
                <w:sz w:val="28"/>
                <w:szCs w:val="28"/>
                <w:lang w:val="lv-LV"/>
              </w:rPr>
            </w:pPr>
            <w:proofErr w:type="spellStart"/>
            <w:r w:rsidRPr="00DA0C94">
              <w:rPr>
                <w:rFonts w:ascii="Times New Roman" w:hAnsi="Times New Roman"/>
                <w:sz w:val="28"/>
                <w:szCs w:val="28"/>
                <w:lang w:val="lv-LV"/>
              </w:rPr>
              <w:t>t.sk</w:t>
            </w:r>
            <w:proofErr w:type="spellEnd"/>
            <w:r w:rsidRPr="00DA0C94">
              <w:rPr>
                <w:rFonts w:ascii="Times New Roman" w:hAnsi="Times New Roman"/>
                <w:sz w:val="28"/>
                <w:szCs w:val="28"/>
                <w:lang w:val="lv-LV"/>
              </w:rPr>
              <w:t xml:space="preserve"> Uzturēšanas izdevumi Ls 95 000</w:t>
            </w:r>
          </w:p>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xml:space="preserve">        t.sk. Preces un pakalpojumi Ls 95 000</w:t>
            </w:r>
          </w:p>
          <w:p w:rsidR="00DD1DBE" w:rsidRPr="00DA0C94" w:rsidRDefault="003A791A" w:rsidP="00EF2476">
            <w:pPr>
              <w:pStyle w:val="naisf"/>
              <w:spacing w:after="0" w:line="240" w:lineRule="auto"/>
              <w:ind w:left="1212" w:hanging="425"/>
              <w:rPr>
                <w:rFonts w:ascii="Times New Roman" w:hAnsi="Times New Roman"/>
                <w:sz w:val="28"/>
                <w:szCs w:val="28"/>
                <w:lang w:val="lv-LV"/>
              </w:rPr>
            </w:pPr>
            <w:r w:rsidRPr="00DA0C94">
              <w:rPr>
                <w:rFonts w:ascii="Times New Roman" w:hAnsi="Times New Roman"/>
                <w:sz w:val="28"/>
                <w:szCs w:val="28"/>
                <w:lang w:val="lv-LV"/>
              </w:rPr>
              <w:t xml:space="preserve">       t.sk. IKK 2250 – Informācijas tehnoloģijas pakalpojumi</w:t>
            </w:r>
          </w:p>
          <w:p w:rsidR="00DD1DBE" w:rsidRPr="00DA0C94" w:rsidRDefault="003A791A" w:rsidP="00EF2476">
            <w:pPr>
              <w:pStyle w:val="naisf"/>
              <w:spacing w:after="0" w:line="240" w:lineRule="auto"/>
              <w:ind w:left="1212" w:hanging="425"/>
              <w:rPr>
                <w:rFonts w:ascii="Times New Roman" w:hAnsi="Times New Roman"/>
                <w:sz w:val="28"/>
                <w:szCs w:val="28"/>
                <w:lang w:val="lv-LV"/>
              </w:rPr>
            </w:pPr>
            <w:r w:rsidRPr="00DA0C94">
              <w:rPr>
                <w:rFonts w:ascii="Times New Roman" w:hAnsi="Times New Roman"/>
                <w:sz w:val="28"/>
                <w:szCs w:val="28"/>
                <w:lang w:val="lv-LV"/>
              </w:rPr>
              <w:t xml:space="preserve">       Ls 95 000 </w:t>
            </w:r>
          </w:p>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t xml:space="preserve">No tā: </w:t>
            </w:r>
          </w:p>
          <w:p w:rsidR="00DD1DBE" w:rsidRPr="00DA0C94" w:rsidRDefault="003A791A" w:rsidP="00EF2476">
            <w:pPr>
              <w:pStyle w:val="naisf"/>
              <w:numPr>
                <w:ilvl w:val="0"/>
                <w:numId w:val="5"/>
              </w:numPr>
              <w:spacing w:before="75" w:after="0" w:line="240" w:lineRule="auto"/>
              <w:rPr>
                <w:rFonts w:ascii="Times New Roman" w:hAnsi="Times New Roman"/>
                <w:sz w:val="28"/>
                <w:szCs w:val="28"/>
                <w:lang w:val="lv-LV"/>
              </w:rPr>
            </w:pPr>
            <w:r w:rsidRPr="00DA0C94">
              <w:rPr>
                <w:rFonts w:ascii="Times New Roman" w:hAnsi="Times New Roman"/>
                <w:sz w:val="28"/>
                <w:szCs w:val="28"/>
                <w:lang w:val="lv-LV"/>
              </w:rPr>
              <w:t>Administratīvo pārkāpumu uzskaites sistēmas uzturēšana: 0,1</w:t>
            </w:r>
            <w:r w:rsidRPr="00DA0C94">
              <w:rPr>
                <w:rFonts w:ascii="Times New Roman" w:hAnsi="Times New Roman"/>
                <w:sz w:val="28"/>
                <w:szCs w:val="28"/>
                <w:vertAlign w:val="superscript"/>
                <w:lang w:val="lv-LV"/>
              </w:rPr>
              <w:t>1</w:t>
            </w:r>
            <w:r w:rsidRPr="00DA0C94">
              <w:rPr>
                <w:rFonts w:ascii="Times New Roman" w:hAnsi="Times New Roman"/>
                <w:sz w:val="28"/>
                <w:szCs w:val="28"/>
                <w:lang w:val="lv-LV"/>
              </w:rPr>
              <w:t xml:space="preserve"> x Ls 950 000</w:t>
            </w:r>
            <w:r w:rsidRPr="00DA0C94">
              <w:rPr>
                <w:rFonts w:ascii="Times New Roman" w:hAnsi="Times New Roman"/>
                <w:sz w:val="28"/>
                <w:szCs w:val="28"/>
                <w:vertAlign w:val="superscript"/>
                <w:lang w:val="lv-LV"/>
              </w:rPr>
              <w:t>2</w:t>
            </w:r>
            <w:r w:rsidRPr="00DA0C94">
              <w:rPr>
                <w:rFonts w:ascii="Times New Roman" w:hAnsi="Times New Roman"/>
                <w:sz w:val="28"/>
                <w:szCs w:val="28"/>
                <w:lang w:val="lv-LV"/>
              </w:rPr>
              <w:t xml:space="preserve"> = Ls 95 000 (IKK 2251)</w:t>
            </w:r>
          </w:p>
          <w:p w:rsidR="00DD1DBE" w:rsidRPr="00DA0C94" w:rsidRDefault="003A791A" w:rsidP="00EF2476">
            <w:pPr>
              <w:pStyle w:val="naiskr"/>
              <w:spacing w:after="0"/>
              <w:ind w:left="193"/>
              <w:jc w:val="both"/>
              <w:rPr>
                <w:sz w:val="28"/>
                <w:szCs w:val="28"/>
              </w:rPr>
            </w:pPr>
            <w:r w:rsidRPr="00DA0C94">
              <w:rPr>
                <w:sz w:val="28"/>
                <w:szCs w:val="28"/>
              </w:rPr>
              <w:t xml:space="preserve">Paskaidrojošā informācija: </w:t>
            </w:r>
          </w:p>
          <w:p w:rsidR="00DD1DBE" w:rsidRPr="00DA0C94" w:rsidRDefault="003A791A" w:rsidP="00EF2476">
            <w:pPr>
              <w:pStyle w:val="naiskr"/>
              <w:spacing w:after="0"/>
              <w:ind w:left="193"/>
              <w:jc w:val="both"/>
              <w:rPr>
                <w:sz w:val="28"/>
                <w:szCs w:val="28"/>
              </w:rPr>
            </w:pPr>
            <w:r w:rsidRPr="00DA0C94">
              <w:rPr>
                <w:sz w:val="28"/>
                <w:szCs w:val="28"/>
                <w:vertAlign w:val="superscript"/>
              </w:rPr>
              <w:t>1</w:t>
            </w:r>
            <w:r w:rsidRPr="00DA0C94">
              <w:rPr>
                <w:sz w:val="28"/>
                <w:szCs w:val="28"/>
              </w:rPr>
              <w:t xml:space="preserve"> vidējā procentuālā daļa no iegādes izmaksām (Centra </w:t>
            </w:r>
            <w:r w:rsidRPr="00DA0C94">
              <w:rPr>
                <w:sz w:val="28"/>
                <w:szCs w:val="28"/>
              </w:rPr>
              <w:lastRenderedPageBreak/>
              <w:t xml:space="preserve">dati) par pašreizējām uzturēšanas izmaksām esošajām sistēmām) </w:t>
            </w:r>
          </w:p>
          <w:p w:rsidR="00DD1DBE" w:rsidRPr="00DA0C94" w:rsidRDefault="003A791A" w:rsidP="00EF2476">
            <w:pPr>
              <w:pStyle w:val="naiskr"/>
              <w:spacing w:before="77" w:after="0"/>
              <w:ind w:left="193"/>
              <w:jc w:val="both"/>
              <w:rPr>
                <w:sz w:val="28"/>
                <w:szCs w:val="28"/>
              </w:rPr>
            </w:pPr>
            <w:r w:rsidRPr="00DA0C94">
              <w:rPr>
                <w:sz w:val="28"/>
                <w:szCs w:val="28"/>
                <w:vertAlign w:val="superscript"/>
              </w:rPr>
              <w:t>2</w:t>
            </w:r>
            <w:r w:rsidRPr="00DA0C94">
              <w:rPr>
                <w:sz w:val="28"/>
                <w:szCs w:val="28"/>
              </w:rPr>
              <w:t xml:space="preserve"> (plānotā) iegādes cena  </w:t>
            </w:r>
          </w:p>
        </w:tc>
      </w:tr>
      <w:tr w:rsidR="00DD1DBE" w:rsidRPr="00DA0C94"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A0C94" w:rsidRDefault="003A791A" w:rsidP="00EF2476">
            <w:pPr>
              <w:pStyle w:val="naisf"/>
              <w:spacing w:after="0" w:line="240" w:lineRule="auto"/>
              <w:rPr>
                <w:rFonts w:ascii="Times New Roman" w:hAnsi="Times New Roman"/>
                <w:sz w:val="28"/>
                <w:szCs w:val="28"/>
                <w:lang w:val="lv-LV"/>
              </w:rPr>
            </w:pPr>
            <w:r w:rsidRPr="00DA0C94">
              <w:rPr>
                <w:rFonts w:ascii="Times New Roman" w:hAnsi="Times New Roman"/>
                <w:sz w:val="28"/>
                <w:szCs w:val="28"/>
                <w:lang w:val="lv-LV"/>
              </w:rPr>
              <w:lastRenderedPageBreak/>
              <w:t> 7. Cita informācija</w:t>
            </w:r>
          </w:p>
        </w:tc>
        <w:tc>
          <w:tcPr>
            <w:tcW w:w="6467" w:type="dxa"/>
            <w:gridSpan w:val="5"/>
            <w:tcBorders>
              <w:top w:val="single" w:sz="4" w:space="0" w:color="auto"/>
              <w:left w:val="single" w:sz="4" w:space="0" w:color="auto"/>
              <w:bottom w:val="single" w:sz="4" w:space="0" w:color="auto"/>
              <w:right w:val="single" w:sz="4" w:space="0" w:color="auto"/>
            </w:tcBorders>
          </w:tcPr>
          <w:p w:rsidR="00DD1DBE" w:rsidRPr="00DA0C94" w:rsidRDefault="003A791A" w:rsidP="00EF2476">
            <w:pPr>
              <w:tabs>
                <w:tab w:val="num" w:pos="993"/>
              </w:tabs>
              <w:spacing w:after="0" w:line="240" w:lineRule="auto"/>
              <w:jc w:val="both"/>
              <w:rPr>
                <w:rFonts w:ascii="Times New Roman" w:hAnsi="Times New Roman" w:cs="Times New Roman"/>
                <w:sz w:val="28"/>
                <w:szCs w:val="28"/>
              </w:rPr>
            </w:pPr>
            <w:r w:rsidRPr="00DA0C94">
              <w:rPr>
                <w:rFonts w:ascii="Times New Roman" w:hAnsi="Times New Roman" w:cs="Times New Roman"/>
                <w:sz w:val="28"/>
                <w:szCs w:val="28"/>
              </w:rPr>
              <w:t xml:space="preserve">* Informācija rēķināta, ja pieņem, ka Sistēmu izstrādā 2015.gadā, bet uzturēšana sākas no 2016.gada </w:t>
            </w:r>
          </w:p>
        </w:tc>
      </w:tr>
    </w:tbl>
    <w:p w:rsidR="000634B2" w:rsidRPr="00DA0C94" w:rsidRDefault="000634B2" w:rsidP="00EF2476">
      <w:pPr>
        <w:spacing w:after="0" w:line="240" w:lineRule="auto"/>
        <w:jc w:val="both"/>
        <w:rPr>
          <w:rFonts w:ascii="Times New Roman" w:hAnsi="Times New Roman" w:cs="Times New Roman"/>
          <w:sz w:val="28"/>
          <w:szCs w:val="28"/>
        </w:rPr>
      </w:pPr>
    </w:p>
    <w:p w:rsidR="000634B2" w:rsidRPr="00DA0C94" w:rsidRDefault="00EF2476" w:rsidP="00EF2476">
      <w:pPr>
        <w:tabs>
          <w:tab w:val="left" w:pos="6840"/>
        </w:tabs>
        <w:spacing w:after="0" w:line="240" w:lineRule="auto"/>
        <w:jc w:val="both"/>
        <w:rPr>
          <w:rFonts w:ascii="Times New Roman" w:hAnsi="Times New Roman" w:cs="Times New Roman"/>
          <w:sz w:val="28"/>
          <w:szCs w:val="28"/>
        </w:rPr>
      </w:pPr>
      <w:r w:rsidRPr="00DA0C94">
        <w:rPr>
          <w:rFonts w:ascii="Times New Roman" w:hAnsi="Times New Roman" w:cs="Times New Roman"/>
          <w:sz w:val="28"/>
          <w:szCs w:val="28"/>
        </w:rPr>
        <w:t>Tieslietu ministrs</w:t>
      </w:r>
      <w:r w:rsidRPr="00DA0C94">
        <w:rPr>
          <w:rFonts w:ascii="Times New Roman" w:hAnsi="Times New Roman" w:cs="Times New Roman"/>
          <w:sz w:val="28"/>
          <w:szCs w:val="28"/>
        </w:rPr>
        <w:tab/>
      </w:r>
      <w:r w:rsidRPr="00DA0C94">
        <w:rPr>
          <w:rFonts w:ascii="Times New Roman" w:hAnsi="Times New Roman" w:cs="Times New Roman"/>
          <w:sz w:val="28"/>
          <w:szCs w:val="28"/>
        </w:rPr>
        <w:tab/>
      </w:r>
      <w:r w:rsidRPr="00DA0C94">
        <w:rPr>
          <w:rFonts w:ascii="Times New Roman" w:hAnsi="Times New Roman" w:cs="Times New Roman"/>
          <w:sz w:val="28"/>
          <w:szCs w:val="28"/>
        </w:rPr>
        <w:tab/>
        <w:t>G.</w:t>
      </w:r>
      <w:r w:rsidR="003A791A" w:rsidRPr="00DA0C94">
        <w:rPr>
          <w:rFonts w:ascii="Times New Roman" w:hAnsi="Times New Roman" w:cs="Times New Roman"/>
          <w:sz w:val="28"/>
          <w:szCs w:val="28"/>
        </w:rPr>
        <w:t>Bērziņš</w:t>
      </w:r>
    </w:p>
    <w:p w:rsidR="00AD6CA8" w:rsidRPr="00DA0C94" w:rsidRDefault="00AD6CA8" w:rsidP="00EF2476">
      <w:pPr>
        <w:tabs>
          <w:tab w:val="left" w:pos="6840"/>
        </w:tabs>
        <w:spacing w:after="0" w:line="240" w:lineRule="auto"/>
        <w:jc w:val="both"/>
        <w:rPr>
          <w:rFonts w:ascii="Times New Roman" w:hAnsi="Times New Roman" w:cs="Times New Roman"/>
          <w:sz w:val="28"/>
          <w:szCs w:val="28"/>
        </w:rPr>
      </w:pPr>
    </w:p>
    <w:p w:rsidR="00CD7D8E" w:rsidRPr="00DA0C94" w:rsidRDefault="00EF2476" w:rsidP="00EF2476">
      <w:pPr>
        <w:tabs>
          <w:tab w:val="left" w:pos="6840"/>
        </w:tabs>
        <w:spacing w:after="0" w:line="240" w:lineRule="auto"/>
        <w:jc w:val="both"/>
        <w:rPr>
          <w:rFonts w:ascii="Times New Roman" w:hAnsi="Times New Roman" w:cs="Times New Roman"/>
          <w:sz w:val="28"/>
          <w:szCs w:val="28"/>
        </w:rPr>
      </w:pPr>
      <w:r w:rsidRPr="00DA0C94">
        <w:rPr>
          <w:rFonts w:ascii="Times New Roman" w:hAnsi="Times New Roman" w:cs="Times New Roman"/>
          <w:sz w:val="28"/>
          <w:szCs w:val="28"/>
        </w:rPr>
        <w:t>Tieslietu ministrs</w:t>
      </w:r>
      <w:r w:rsidRPr="00DA0C94">
        <w:rPr>
          <w:rFonts w:ascii="Times New Roman" w:hAnsi="Times New Roman" w:cs="Times New Roman"/>
          <w:sz w:val="28"/>
          <w:szCs w:val="28"/>
        </w:rPr>
        <w:tab/>
      </w:r>
      <w:r w:rsidRPr="00DA0C94">
        <w:rPr>
          <w:rFonts w:ascii="Times New Roman" w:hAnsi="Times New Roman" w:cs="Times New Roman"/>
          <w:sz w:val="28"/>
          <w:szCs w:val="28"/>
        </w:rPr>
        <w:tab/>
      </w:r>
      <w:r w:rsidRPr="00DA0C94">
        <w:rPr>
          <w:rFonts w:ascii="Times New Roman" w:hAnsi="Times New Roman" w:cs="Times New Roman"/>
          <w:sz w:val="28"/>
          <w:szCs w:val="28"/>
        </w:rPr>
        <w:tab/>
        <w:t>G.</w:t>
      </w:r>
      <w:r w:rsidR="003A791A" w:rsidRPr="00DA0C94">
        <w:rPr>
          <w:rFonts w:ascii="Times New Roman" w:hAnsi="Times New Roman" w:cs="Times New Roman"/>
          <w:sz w:val="28"/>
          <w:szCs w:val="28"/>
        </w:rPr>
        <w:t>Bērziņš</w:t>
      </w:r>
    </w:p>
    <w:p w:rsidR="00CD7D8E" w:rsidRPr="00DA0C94" w:rsidRDefault="00CD7D8E" w:rsidP="00EF2476">
      <w:pPr>
        <w:tabs>
          <w:tab w:val="left" w:pos="6840"/>
        </w:tabs>
        <w:spacing w:after="0" w:line="240" w:lineRule="auto"/>
        <w:jc w:val="both"/>
        <w:rPr>
          <w:rFonts w:ascii="Times New Roman" w:hAnsi="Times New Roman" w:cs="Times New Roman"/>
          <w:sz w:val="28"/>
          <w:szCs w:val="28"/>
        </w:rPr>
      </w:pPr>
    </w:p>
    <w:p w:rsidR="00CD7D8E" w:rsidRPr="00DA0C94" w:rsidRDefault="00CD7D8E" w:rsidP="00EF2476">
      <w:pPr>
        <w:tabs>
          <w:tab w:val="left" w:pos="6840"/>
        </w:tabs>
        <w:spacing w:after="0" w:line="240" w:lineRule="auto"/>
        <w:jc w:val="both"/>
        <w:rPr>
          <w:rFonts w:ascii="Times New Roman" w:hAnsi="Times New Roman" w:cs="Times New Roman"/>
          <w:sz w:val="28"/>
          <w:szCs w:val="28"/>
        </w:rPr>
      </w:pPr>
    </w:p>
    <w:p w:rsidR="00CD7D8E" w:rsidRPr="00DA0C94" w:rsidRDefault="00CD7D8E" w:rsidP="00EF2476">
      <w:pPr>
        <w:tabs>
          <w:tab w:val="left" w:pos="6840"/>
        </w:tabs>
        <w:spacing w:after="0" w:line="240" w:lineRule="auto"/>
        <w:jc w:val="both"/>
        <w:rPr>
          <w:rFonts w:ascii="Times New Roman" w:hAnsi="Times New Roman" w:cs="Times New Roman"/>
          <w:sz w:val="28"/>
          <w:szCs w:val="28"/>
        </w:rPr>
      </w:pPr>
    </w:p>
    <w:p w:rsidR="00CD7D8E" w:rsidRPr="00DA0C94" w:rsidRDefault="00CD7D8E" w:rsidP="00EF2476">
      <w:pPr>
        <w:tabs>
          <w:tab w:val="left" w:pos="6840"/>
        </w:tabs>
        <w:spacing w:after="0" w:line="240" w:lineRule="auto"/>
        <w:jc w:val="both"/>
        <w:rPr>
          <w:rFonts w:ascii="Times New Roman" w:hAnsi="Times New Roman" w:cs="Times New Roman"/>
          <w:sz w:val="28"/>
          <w:szCs w:val="28"/>
        </w:rPr>
      </w:pPr>
    </w:p>
    <w:p w:rsidR="00697C52" w:rsidRPr="00DA0C94" w:rsidRDefault="00EF2476" w:rsidP="00EF2476">
      <w:pPr>
        <w:spacing w:after="0" w:line="240" w:lineRule="auto"/>
        <w:jc w:val="both"/>
        <w:rPr>
          <w:rFonts w:ascii="Times New Roman" w:hAnsi="Times New Roman" w:cs="Times New Roman"/>
        </w:rPr>
      </w:pPr>
      <w:r w:rsidRPr="00DA0C94">
        <w:rPr>
          <w:rFonts w:ascii="Times New Roman" w:hAnsi="Times New Roman" w:cs="Times New Roman"/>
        </w:rPr>
        <w:t>20</w:t>
      </w:r>
      <w:r w:rsidR="000C3A3E" w:rsidRPr="00DA0C94">
        <w:rPr>
          <w:rFonts w:ascii="Times New Roman" w:hAnsi="Times New Roman" w:cs="Times New Roman"/>
        </w:rPr>
        <w:t>.03.2012. 14:50</w:t>
      </w:r>
    </w:p>
    <w:p w:rsidR="00C1581D" w:rsidRPr="00DA0C94" w:rsidRDefault="0030755F" w:rsidP="00EF2476">
      <w:pPr>
        <w:spacing w:after="0" w:line="240" w:lineRule="auto"/>
        <w:jc w:val="both"/>
        <w:rPr>
          <w:rFonts w:ascii="Times New Roman" w:hAnsi="Times New Roman" w:cs="Times New Roman"/>
        </w:rPr>
      </w:pPr>
      <w:r w:rsidRPr="00DA0C94">
        <w:rPr>
          <w:rFonts w:ascii="Times New Roman" w:hAnsi="Times New Roman" w:cs="Times New Roman"/>
        </w:rPr>
        <w:t>1 42</w:t>
      </w:r>
      <w:r w:rsidR="00EF2476" w:rsidRPr="00DA0C94">
        <w:rPr>
          <w:rFonts w:ascii="Times New Roman" w:hAnsi="Times New Roman" w:cs="Times New Roman"/>
        </w:rPr>
        <w:t>3</w:t>
      </w:r>
    </w:p>
    <w:p w:rsidR="00697C52" w:rsidRPr="00DA0C94" w:rsidRDefault="00697C52" w:rsidP="00EF2476">
      <w:pPr>
        <w:spacing w:after="0" w:line="240" w:lineRule="auto"/>
        <w:jc w:val="both"/>
        <w:rPr>
          <w:rFonts w:ascii="Times New Roman" w:hAnsi="Times New Roman" w:cs="Times New Roman"/>
        </w:rPr>
      </w:pPr>
      <w:r w:rsidRPr="00DA0C94">
        <w:rPr>
          <w:rFonts w:ascii="Times New Roman" w:hAnsi="Times New Roman" w:cs="Times New Roman"/>
        </w:rPr>
        <w:t>Smiltēna</w:t>
      </w:r>
    </w:p>
    <w:p w:rsidR="00DA07FA" w:rsidRPr="00DA0C94" w:rsidRDefault="00697C52" w:rsidP="00EF2476">
      <w:pPr>
        <w:spacing w:after="0" w:line="240" w:lineRule="auto"/>
        <w:jc w:val="both"/>
        <w:rPr>
          <w:rFonts w:ascii="Times New Roman" w:hAnsi="Times New Roman" w:cs="Times New Roman"/>
        </w:rPr>
      </w:pPr>
      <w:r w:rsidRPr="00DA0C94">
        <w:rPr>
          <w:rFonts w:ascii="Times New Roman" w:hAnsi="Times New Roman" w:cs="Times New Roman"/>
        </w:rPr>
        <w:t xml:space="preserve">67036937, </w:t>
      </w:r>
      <w:hyperlink r:id="rId8" w:history="1">
        <w:r w:rsidRPr="00DA0C94">
          <w:rPr>
            <w:rStyle w:val="Hyperlink"/>
            <w:rFonts w:ascii="Times New Roman" w:hAnsi="Times New Roman" w:cs="Times New Roman"/>
          </w:rPr>
          <w:t>anda.smiltena@tm.gov.lv</w:t>
        </w:r>
      </w:hyperlink>
    </w:p>
    <w:p w:rsidR="000634B2" w:rsidRPr="00DA0C94" w:rsidRDefault="000634B2" w:rsidP="00EF2476">
      <w:pPr>
        <w:spacing w:after="0" w:line="240" w:lineRule="auto"/>
        <w:jc w:val="both"/>
        <w:rPr>
          <w:rFonts w:ascii="Times New Roman" w:hAnsi="Times New Roman" w:cs="Times New Roman"/>
        </w:rPr>
      </w:pPr>
      <w:r w:rsidRPr="00DA0C94">
        <w:rPr>
          <w:rFonts w:ascii="Times New Roman" w:hAnsi="Times New Roman" w:cs="Times New Roman"/>
        </w:rPr>
        <w:t>Gaijsa</w:t>
      </w:r>
    </w:p>
    <w:p w:rsidR="000634B2" w:rsidRPr="00DA0C94" w:rsidRDefault="000634B2" w:rsidP="00EF2476">
      <w:pPr>
        <w:spacing w:after="0" w:line="240" w:lineRule="auto"/>
        <w:jc w:val="both"/>
        <w:rPr>
          <w:rFonts w:ascii="Times New Roman" w:hAnsi="Times New Roman" w:cs="Times New Roman"/>
        </w:rPr>
      </w:pPr>
      <w:r w:rsidRPr="00DA0C94">
        <w:rPr>
          <w:rFonts w:ascii="Times New Roman" w:hAnsi="Times New Roman" w:cs="Times New Roman"/>
        </w:rPr>
        <w:t xml:space="preserve">67036909, </w:t>
      </w:r>
      <w:hyperlink r:id="rId9" w:history="1">
        <w:r w:rsidR="00EE2C58" w:rsidRPr="00DA0C94">
          <w:rPr>
            <w:rStyle w:val="Hyperlink"/>
            <w:rFonts w:ascii="Times New Roman" w:hAnsi="Times New Roman" w:cs="Times New Roman"/>
          </w:rPr>
          <w:t>jolanta.gaijsa@tm.gov.lv</w:t>
        </w:r>
      </w:hyperlink>
    </w:p>
    <w:sectPr w:rsidR="000634B2" w:rsidRPr="00DA0C94" w:rsidSect="00CD7D8E">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B27" w:rsidRDefault="00211B27" w:rsidP="00813C20">
      <w:pPr>
        <w:spacing w:after="0" w:line="240" w:lineRule="auto"/>
      </w:pPr>
      <w:r>
        <w:separator/>
      </w:r>
    </w:p>
  </w:endnote>
  <w:endnote w:type="continuationSeparator" w:id="0">
    <w:p w:rsidR="00211B27" w:rsidRDefault="00211B27" w:rsidP="00813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DD" w:rsidRDefault="00E131DD">
    <w:pPr>
      <w:pStyle w:val="Footer"/>
      <w:jc w:val="center"/>
    </w:pPr>
  </w:p>
  <w:p w:rsidR="00E131DD" w:rsidRPr="00697C52" w:rsidRDefault="00EF2476" w:rsidP="007B3F54">
    <w:pPr>
      <w:pStyle w:val="Footer"/>
      <w:rPr>
        <w:rFonts w:ascii="Times New Roman" w:hAnsi="Times New Roman" w:cs="Times New Roman"/>
        <w:sz w:val="20"/>
        <w:szCs w:val="20"/>
      </w:rPr>
    </w:pPr>
    <w:r>
      <w:rPr>
        <w:rFonts w:ascii="Times New Roman" w:hAnsi="Times New Roman" w:cs="Times New Roman"/>
        <w:sz w:val="20"/>
        <w:szCs w:val="20"/>
      </w:rPr>
      <w:t>TMPdsat_20</w:t>
    </w:r>
    <w:r w:rsidR="00AC3529">
      <w:rPr>
        <w:rFonts w:ascii="Times New Roman" w:hAnsi="Times New Roman" w:cs="Times New Roman"/>
        <w:sz w:val="20"/>
        <w:szCs w:val="20"/>
      </w:rPr>
      <w:t>03</w:t>
    </w:r>
    <w:r w:rsidR="00E131DD">
      <w:rPr>
        <w:rFonts w:ascii="Times New Roman" w:hAnsi="Times New Roman" w:cs="Times New Roman"/>
        <w:sz w:val="20"/>
        <w:szCs w:val="20"/>
      </w:rPr>
      <w:t>12_ASSAK</w:t>
    </w:r>
    <w:r w:rsidR="00E131DD" w:rsidRPr="00697C52">
      <w:rPr>
        <w:rFonts w:ascii="Times New Roman" w:hAnsi="Times New Roman" w:cs="Times New Roman"/>
        <w:sz w:val="20"/>
        <w:szCs w:val="20"/>
      </w:rPr>
      <w:t xml:space="preserve">; </w:t>
    </w:r>
    <w:r w:rsidR="00E131DD">
      <w:rPr>
        <w:rFonts w:ascii="Times New Roman" w:hAnsi="Times New Roman" w:cs="Times New Roman"/>
        <w:sz w:val="20"/>
        <w:szCs w:val="20"/>
      </w:rPr>
      <w:t xml:space="preserve">Administratīvo sodu sistēmas attīstības koncepcija </w:t>
    </w:r>
    <w:r w:rsidR="00E131DD" w:rsidRPr="00697C52">
      <w:rPr>
        <w:rFonts w:ascii="Times New Roman" w:hAnsi="Times New Roman" w:cs="Times New Roman"/>
        <w:sz w:val="20"/>
        <w:szCs w:val="20"/>
      </w:rPr>
      <w:t>(kopsavilkums)</w:t>
    </w:r>
  </w:p>
  <w:p w:rsidR="00E131DD" w:rsidRDefault="00E13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DD" w:rsidRPr="00697C52" w:rsidRDefault="00EF2476" w:rsidP="00697C52">
    <w:pPr>
      <w:pStyle w:val="Footer"/>
      <w:rPr>
        <w:rFonts w:ascii="Times New Roman" w:hAnsi="Times New Roman" w:cs="Times New Roman"/>
        <w:sz w:val="20"/>
        <w:szCs w:val="20"/>
      </w:rPr>
    </w:pPr>
    <w:r>
      <w:rPr>
        <w:rFonts w:ascii="Times New Roman" w:hAnsi="Times New Roman" w:cs="Times New Roman"/>
        <w:sz w:val="20"/>
        <w:szCs w:val="20"/>
      </w:rPr>
      <w:t>TMPdsat_20</w:t>
    </w:r>
    <w:r w:rsidR="00AC3529">
      <w:rPr>
        <w:rFonts w:ascii="Times New Roman" w:hAnsi="Times New Roman" w:cs="Times New Roman"/>
        <w:sz w:val="20"/>
        <w:szCs w:val="20"/>
      </w:rPr>
      <w:t>03</w:t>
    </w:r>
    <w:r w:rsidR="00E131DD">
      <w:rPr>
        <w:rFonts w:ascii="Times New Roman" w:hAnsi="Times New Roman" w:cs="Times New Roman"/>
        <w:sz w:val="20"/>
        <w:szCs w:val="20"/>
      </w:rPr>
      <w:t>12_ASSAK</w:t>
    </w:r>
    <w:r w:rsidR="00E131DD" w:rsidRPr="00697C52">
      <w:rPr>
        <w:rFonts w:ascii="Times New Roman" w:hAnsi="Times New Roman" w:cs="Times New Roman"/>
        <w:sz w:val="20"/>
        <w:szCs w:val="20"/>
      </w:rPr>
      <w:t xml:space="preserve">; </w:t>
    </w:r>
    <w:r w:rsidR="00E131DD">
      <w:rPr>
        <w:rFonts w:ascii="Times New Roman" w:hAnsi="Times New Roman" w:cs="Times New Roman"/>
        <w:sz w:val="20"/>
        <w:szCs w:val="20"/>
      </w:rPr>
      <w:t xml:space="preserve">Administratīvo sodu sistēmas attīstības koncepcija </w:t>
    </w:r>
    <w:r w:rsidR="00E131DD" w:rsidRPr="00697C52">
      <w:rPr>
        <w:rFonts w:ascii="Times New Roman" w:hAnsi="Times New Roman" w:cs="Times New Roman"/>
        <w:sz w:val="20"/>
        <w:szCs w:val="20"/>
      </w:rPr>
      <w:t>(kopsavilkums)</w:t>
    </w:r>
  </w:p>
  <w:p w:rsidR="00E131DD" w:rsidRDefault="00E13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B27" w:rsidRDefault="00211B27" w:rsidP="00813C20">
      <w:pPr>
        <w:spacing w:after="0" w:line="240" w:lineRule="auto"/>
      </w:pPr>
      <w:r>
        <w:separator/>
      </w:r>
    </w:p>
  </w:footnote>
  <w:footnote w:type="continuationSeparator" w:id="0">
    <w:p w:rsidR="00211B27" w:rsidRDefault="00211B27" w:rsidP="00813C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2478"/>
      <w:docPartObj>
        <w:docPartGallery w:val="Page Numbers (Top of Page)"/>
        <w:docPartUnique/>
      </w:docPartObj>
    </w:sdtPr>
    <w:sdtContent>
      <w:p w:rsidR="00E131DD" w:rsidRDefault="00FF78AD">
        <w:pPr>
          <w:pStyle w:val="Header"/>
          <w:jc w:val="center"/>
        </w:pPr>
        <w:fldSimple w:instr=" PAGE   \* MERGEFORMAT ">
          <w:r w:rsidR="00DA0C94">
            <w:rPr>
              <w:noProof/>
            </w:rPr>
            <w:t>7</w:t>
          </w:r>
        </w:fldSimple>
      </w:p>
    </w:sdtContent>
  </w:sdt>
  <w:p w:rsidR="00E131DD" w:rsidRDefault="00E13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DD" w:rsidRDefault="00E131DD">
    <w:pPr>
      <w:pStyle w:val="Header"/>
      <w:jc w:val="center"/>
    </w:pPr>
  </w:p>
  <w:p w:rsidR="00E131DD" w:rsidRDefault="00E13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8"/>
    <w:lvl w:ilvl="0">
      <w:start w:val="2"/>
      <w:numFmt w:val="upperRoman"/>
      <w:lvlText w:val="%1."/>
      <w:lvlJc w:val="left"/>
      <w:pPr>
        <w:tabs>
          <w:tab w:val="num" w:pos="1080"/>
        </w:tabs>
        <w:ind w:left="1080" w:hanging="720"/>
      </w:pPr>
      <w:rPr>
        <w:rFonts w:ascii="Times New Roman" w:eastAsia="Times New Roman" w:hAnsi="Times New Roman"/>
        <w:b/>
        <w:i w:val="0"/>
        <w:strike w:val="0"/>
        <w:position w:val="0"/>
        <w:sz w:val="24"/>
        <w:u w:val="none"/>
        <w:shd w:val="clear" w:color="auto" w:fill="auto"/>
      </w:rPr>
    </w:lvl>
  </w:abstractNum>
  <w:abstractNum w:abstractNumId="1">
    <w:nsid w:val="0E98041D"/>
    <w:multiLevelType w:val="singleLevel"/>
    <w:tmpl w:val="00000008"/>
    <w:lvl w:ilvl="0">
      <w:start w:val="2"/>
      <w:numFmt w:val="upperRoman"/>
      <w:lvlText w:val="%1."/>
      <w:lvlJc w:val="left"/>
      <w:pPr>
        <w:tabs>
          <w:tab w:val="num" w:pos="1080"/>
        </w:tabs>
        <w:ind w:left="1080" w:hanging="720"/>
      </w:pPr>
      <w:rPr>
        <w:rFonts w:ascii="Times New Roman" w:eastAsia="Times New Roman" w:hAnsi="Times New Roman"/>
        <w:b/>
        <w:i w:val="0"/>
        <w:strike w:val="0"/>
        <w:position w:val="0"/>
        <w:sz w:val="24"/>
        <w:u w:val="none"/>
        <w:shd w:val="clear" w:color="auto" w:fill="auto"/>
      </w:rPr>
    </w:lvl>
  </w:abstractNum>
  <w:abstractNum w:abstractNumId="2">
    <w:nsid w:val="0F7066C0"/>
    <w:multiLevelType w:val="hybridMultilevel"/>
    <w:tmpl w:val="694E41C0"/>
    <w:lvl w:ilvl="0" w:tplc="12D48F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AA29B9"/>
    <w:multiLevelType w:val="hybridMultilevel"/>
    <w:tmpl w:val="8EB893E0"/>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4">
    <w:nsid w:val="49B1540E"/>
    <w:multiLevelType w:val="hybridMultilevel"/>
    <w:tmpl w:val="C0AC3982"/>
    <w:lvl w:ilvl="0" w:tplc="B9929E9E">
      <w:start w:val="1"/>
      <w:numFmt w:val="decimal"/>
      <w:lvlText w:val="%1."/>
      <w:lvlJc w:val="left"/>
      <w:pPr>
        <w:ind w:left="1495" w:hanging="360"/>
      </w:pPr>
      <w:rPr>
        <w:rFonts w:hint="default"/>
        <w:b w:val="0"/>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775001B0"/>
    <w:multiLevelType w:val="hybridMultilevel"/>
    <w:tmpl w:val="F7365E18"/>
    <w:lvl w:ilvl="0" w:tplc="04260001">
      <w:start w:val="1"/>
      <w:numFmt w:val="bullet"/>
      <w:lvlText w:val=""/>
      <w:lvlJc w:val="left"/>
      <w:pPr>
        <w:tabs>
          <w:tab w:val="num" w:pos="1140"/>
        </w:tabs>
        <w:ind w:left="1140" w:hanging="360"/>
      </w:pPr>
      <w:rPr>
        <w:rFonts w:ascii="Symbol" w:hAnsi="Symbol"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7060"/>
    <w:rsid w:val="000012B6"/>
    <w:rsid w:val="000634B2"/>
    <w:rsid w:val="000C3A3E"/>
    <w:rsid w:val="000D09B3"/>
    <w:rsid w:val="000D282C"/>
    <w:rsid w:val="000E0D18"/>
    <w:rsid w:val="000E4841"/>
    <w:rsid w:val="00157432"/>
    <w:rsid w:val="001A616C"/>
    <w:rsid w:val="001B4513"/>
    <w:rsid w:val="001B4F0D"/>
    <w:rsid w:val="001C1546"/>
    <w:rsid w:val="00211B27"/>
    <w:rsid w:val="00243730"/>
    <w:rsid w:val="00243F0A"/>
    <w:rsid w:val="00262C60"/>
    <w:rsid w:val="00281CA5"/>
    <w:rsid w:val="00283F74"/>
    <w:rsid w:val="002D25E7"/>
    <w:rsid w:val="0030755F"/>
    <w:rsid w:val="003147D6"/>
    <w:rsid w:val="003235BD"/>
    <w:rsid w:val="003461BF"/>
    <w:rsid w:val="003A791A"/>
    <w:rsid w:val="003D10BD"/>
    <w:rsid w:val="003E5B9F"/>
    <w:rsid w:val="00416189"/>
    <w:rsid w:val="00527060"/>
    <w:rsid w:val="0057600A"/>
    <w:rsid w:val="00586D3E"/>
    <w:rsid w:val="0060363B"/>
    <w:rsid w:val="0062530D"/>
    <w:rsid w:val="00675BF1"/>
    <w:rsid w:val="00697C52"/>
    <w:rsid w:val="00743CA9"/>
    <w:rsid w:val="00774CCA"/>
    <w:rsid w:val="007B077B"/>
    <w:rsid w:val="007B3F54"/>
    <w:rsid w:val="007C1FBF"/>
    <w:rsid w:val="00804426"/>
    <w:rsid w:val="00813C20"/>
    <w:rsid w:val="00814930"/>
    <w:rsid w:val="00831351"/>
    <w:rsid w:val="00851BBB"/>
    <w:rsid w:val="008561FA"/>
    <w:rsid w:val="00863858"/>
    <w:rsid w:val="008913B1"/>
    <w:rsid w:val="008B4749"/>
    <w:rsid w:val="008C4357"/>
    <w:rsid w:val="008C4B85"/>
    <w:rsid w:val="008D3B3E"/>
    <w:rsid w:val="008D729B"/>
    <w:rsid w:val="008D7AB4"/>
    <w:rsid w:val="00960E8C"/>
    <w:rsid w:val="009B4825"/>
    <w:rsid w:val="009C655D"/>
    <w:rsid w:val="009F4475"/>
    <w:rsid w:val="00A10061"/>
    <w:rsid w:val="00A3679C"/>
    <w:rsid w:val="00A42975"/>
    <w:rsid w:val="00A7082E"/>
    <w:rsid w:val="00A70EF1"/>
    <w:rsid w:val="00A848C4"/>
    <w:rsid w:val="00A85222"/>
    <w:rsid w:val="00AA09C2"/>
    <w:rsid w:val="00AC3529"/>
    <w:rsid w:val="00AD6CA8"/>
    <w:rsid w:val="00B454F0"/>
    <w:rsid w:val="00B53B27"/>
    <w:rsid w:val="00C1581D"/>
    <w:rsid w:val="00C2527D"/>
    <w:rsid w:val="00C26323"/>
    <w:rsid w:val="00C26722"/>
    <w:rsid w:val="00C74C8B"/>
    <w:rsid w:val="00CA2C04"/>
    <w:rsid w:val="00CB2B07"/>
    <w:rsid w:val="00CD7D8E"/>
    <w:rsid w:val="00CE090F"/>
    <w:rsid w:val="00CF5E25"/>
    <w:rsid w:val="00D167A1"/>
    <w:rsid w:val="00D21868"/>
    <w:rsid w:val="00D465EC"/>
    <w:rsid w:val="00D910D6"/>
    <w:rsid w:val="00DA07FA"/>
    <w:rsid w:val="00DA0C94"/>
    <w:rsid w:val="00DB11A6"/>
    <w:rsid w:val="00DB2F3C"/>
    <w:rsid w:val="00DC421A"/>
    <w:rsid w:val="00DD1DBE"/>
    <w:rsid w:val="00DF6EB8"/>
    <w:rsid w:val="00E131DD"/>
    <w:rsid w:val="00EA1F70"/>
    <w:rsid w:val="00EE2C58"/>
    <w:rsid w:val="00EF2476"/>
    <w:rsid w:val="00F00FA0"/>
    <w:rsid w:val="00F54752"/>
    <w:rsid w:val="00F61DB3"/>
    <w:rsid w:val="00F94EFF"/>
    <w:rsid w:val="00FC1F31"/>
    <w:rsid w:val="00FC40DE"/>
    <w:rsid w:val="00FF78A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D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27060"/>
    <w:rPr>
      <w:rFonts w:ascii="Calibri" w:eastAsia="Calibri" w:hAnsi="Calibri" w:cs="Times New Roman"/>
      <w:szCs w:val="20"/>
      <w:lang w:val="en-US"/>
    </w:rPr>
  </w:style>
  <w:style w:type="paragraph" w:styleId="ListParagraph">
    <w:name w:val="List Paragraph"/>
    <w:basedOn w:val="Normal"/>
    <w:uiPriority w:val="34"/>
    <w:qFormat/>
    <w:rsid w:val="00527060"/>
    <w:pPr>
      <w:ind w:left="720"/>
      <w:contextualSpacing/>
    </w:pPr>
  </w:style>
  <w:style w:type="paragraph" w:customStyle="1" w:styleId="Sarakstarindkopa1">
    <w:name w:val="Saraksta rindkopa1"/>
    <w:basedOn w:val="Normal1"/>
    <w:rsid w:val="008D7AB4"/>
    <w:pPr>
      <w:ind w:left="720"/>
    </w:pPr>
  </w:style>
  <w:style w:type="paragraph" w:styleId="Header">
    <w:name w:val="header"/>
    <w:basedOn w:val="Normal"/>
    <w:link w:val="HeaderChar"/>
    <w:uiPriority w:val="99"/>
    <w:unhideWhenUsed/>
    <w:rsid w:val="00813C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3C20"/>
  </w:style>
  <w:style w:type="paragraph" w:styleId="Footer">
    <w:name w:val="footer"/>
    <w:basedOn w:val="Normal"/>
    <w:link w:val="FooterChar"/>
    <w:unhideWhenUsed/>
    <w:rsid w:val="00813C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3C20"/>
  </w:style>
  <w:style w:type="character" w:styleId="Hyperlink">
    <w:name w:val="Hyperlink"/>
    <w:basedOn w:val="DefaultParagraphFont"/>
    <w:uiPriority w:val="99"/>
    <w:unhideWhenUsed/>
    <w:rsid w:val="00697C52"/>
    <w:rPr>
      <w:color w:val="0000FF"/>
      <w:u w:val="single"/>
    </w:rPr>
  </w:style>
  <w:style w:type="paragraph" w:styleId="BodyText">
    <w:name w:val="Body Text"/>
    <w:basedOn w:val="Normal"/>
    <w:link w:val="BodyTextChar"/>
    <w:semiHidden/>
    <w:unhideWhenUsed/>
    <w:rsid w:val="00697C52"/>
    <w:pPr>
      <w:tabs>
        <w:tab w:val="left" w:pos="709"/>
      </w:tabs>
      <w:spacing w:after="0" w:line="240" w:lineRule="auto"/>
      <w:jc w:val="both"/>
    </w:pPr>
    <w:rPr>
      <w:rFonts w:ascii="Times New Roman" w:eastAsia="Calibri" w:hAnsi="Times New Roman" w:cs="Times New Roman"/>
      <w:color w:val="00B050"/>
      <w:sz w:val="24"/>
      <w:szCs w:val="24"/>
      <w:lang w:val="en-US"/>
    </w:rPr>
  </w:style>
  <w:style w:type="character" w:customStyle="1" w:styleId="BodyTextChar">
    <w:name w:val="Body Text Char"/>
    <w:basedOn w:val="DefaultParagraphFont"/>
    <w:link w:val="BodyText"/>
    <w:semiHidden/>
    <w:rsid w:val="00697C52"/>
    <w:rPr>
      <w:rFonts w:ascii="Times New Roman" w:eastAsia="Calibri" w:hAnsi="Times New Roman" w:cs="Times New Roman"/>
      <w:color w:val="00B050"/>
      <w:sz w:val="24"/>
      <w:szCs w:val="24"/>
      <w:lang w:val="en-US"/>
    </w:rPr>
  </w:style>
  <w:style w:type="paragraph" w:customStyle="1" w:styleId="naisf">
    <w:name w:val="naisf"/>
    <w:basedOn w:val="Normal1"/>
    <w:rsid w:val="0057600A"/>
    <w:pPr>
      <w:spacing w:before="100" w:after="100" w:line="240" w:lineRule="atLeast"/>
      <w:jc w:val="both"/>
    </w:pPr>
    <w:rPr>
      <w:rFonts w:ascii="Arial Unicode MS" w:eastAsia="Arial Unicode MS" w:hAnsi="Arial Unicode MS"/>
      <w:sz w:val="24"/>
    </w:rPr>
  </w:style>
  <w:style w:type="character" w:styleId="CommentReference">
    <w:name w:val="annotation reference"/>
    <w:basedOn w:val="DefaultParagraphFont"/>
    <w:uiPriority w:val="99"/>
    <w:semiHidden/>
    <w:unhideWhenUsed/>
    <w:rsid w:val="00CA2C04"/>
    <w:rPr>
      <w:sz w:val="16"/>
      <w:szCs w:val="16"/>
    </w:rPr>
  </w:style>
  <w:style w:type="paragraph" w:styleId="CommentText">
    <w:name w:val="annotation text"/>
    <w:basedOn w:val="Normal"/>
    <w:link w:val="CommentTextChar"/>
    <w:uiPriority w:val="99"/>
    <w:semiHidden/>
    <w:unhideWhenUsed/>
    <w:rsid w:val="00CA2C04"/>
    <w:pPr>
      <w:spacing w:line="240" w:lineRule="auto"/>
    </w:pPr>
    <w:rPr>
      <w:sz w:val="20"/>
      <w:szCs w:val="20"/>
    </w:rPr>
  </w:style>
  <w:style w:type="character" w:customStyle="1" w:styleId="CommentTextChar">
    <w:name w:val="Comment Text Char"/>
    <w:basedOn w:val="DefaultParagraphFont"/>
    <w:link w:val="CommentText"/>
    <w:uiPriority w:val="99"/>
    <w:semiHidden/>
    <w:rsid w:val="00CA2C04"/>
    <w:rPr>
      <w:sz w:val="20"/>
      <w:szCs w:val="20"/>
    </w:rPr>
  </w:style>
  <w:style w:type="paragraph" w:styleId="CommentSubject">
    <w:name w:val="annotation subject"/>
    <w:basedOn w:val="CommentText"/>
    <w:next w:val="CommentText"/>
    <w:link w:val="CommentSubjectChar"/>
    <w:uiPriority w:val="99"/>
    <w:semiHidden/>
    <w:unhideWhenUsed/>
    <w:rsid w:val="00CA2C04"/>
    <w:rPr>
      <w:b/>
      <w:bCs/>
    </w:rPr>
  </w:style>
  <w:style w:type="character" w:customStyle="1" w:styleId="CommentSubjectChar">
    <w:name w:val="Comment Subject Char"/>
    <w:basedOn w:val="CommentTextChar"/>
    <w:link w:val="CommentSubject"/>
    <w:uiPriority w:val="99"/>
    <w:semiHidden/>
    <w:rsid w:val="00CA2C04"/>
    <w:rPr>
      <w:b/>
      <w:bCs/>
    </w:rPr>
  </w:style>
  <w:style w:type="paragraph" w:styleId="BalloonText">
    <w:name w:val="Balloon Text"/>
    <w:basedOn w:val="Normal"/>
    <w:link w:val="BalloonTextChar"/>
    <w:uiPriority w:val="99"/>
    <w:semiHidden/>
    <w:unhideWhenUsed/>
    <w:rsid w:val="00CA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C04"/>
    <w:rPr>
      <w:rFonts w:ascii="Tahoma" w:hAnsi="Tahoma" w:cs="Tahoma"/>
      <w:sz w:val="16"/>
      <w:szCs w:val="16"/>
    </w:rPr>
  </w:style>
  <w:style w:type="paragraph" w:customStyle="1" w:styleId="naislab">
    <w:name w:val="naislab"/>
    <w:basedOn w:val="Normal"/>
    <w:rsid w:val="00DD1DBE"/>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DD1DBE"/>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589042842">
      <w:bodyDiv w:val="1"/>
      <w:marLeft w:val="0"/>
      <w:marRight w:val="0"/>
      <w:marTop w:val="0"/>
      <w:marBottom w:val="0"/>
      <w:divBdr>
        <w:top w:val="none" w:sz="0" w:space="0" w:color="auto"/>
        <w:left w:val="none" w:sz="0" w:space="0" w:color="auto"/>
        <w:bottom w:val="none" w:sz="0" w:space="0" w:color="auto"/>
        <w:right w:val="none" w:sz="0" w:space="0" w:color="auto"/>
      </w:divBdr>
    </w:div>
    <w:div w:id="1519588169">
      <w:bodyDiv w:val="1"/>
      <w:marLeft w:val="0"/>
      <w:marRight w:val="0"/>
      <w:marTop w:val="0"/>
      <w:marBottom w:val="0"/>
      <w:divBdr>
        <w:top w:val="none" w:sz="0" w:space="0" w:color="auto"/>
        <w:left w:val="none" w:sz="0" w:space="0" w:color="auto"/>
        <w:bottom w:val="none" w:sz="0" w:space="0" w:color="auto"/>
        <w:right w:val="none" w:sz="0" w:space="0" w:color="auto"/>
      </w:divBdr>
    </w:div>
    <w:div w:id="20213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a.smiltena@t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lanta.gaijsa@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A4A45-A9BE-4EF1-9B5F-70173025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7150</Words>
  <Characters>4077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Administratīvo sodu sistēmas attīstības koncepcijas kopsavilkums</vt:lpstr>
    </vt:vector>
  </TitlesOfParts>
  <Company>Tieslietu Ministrija</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Administratīvo sodu sistēmas attīstības koncepcijas kopsavilkums</dc:title>
  <dc:subject>Koncepcijas kopsavilkums</dc:subject>
  <dc:creator>Anda Smiltēna TM</dc:creator>
  <dc:description>anda.smiltena@tm.gov.lv; 67036937</dc:description>
  <cp:lastModifiedBy>jg1501</cp:lastModifiedBy>
  <cp:revision>5</cp:revision>
  <cp:lastPrinted>2011-06-03T13:21:00Z</cp:lastPrinted>
  <dcterms:created xsi:type="dcterms:W3CDTF">2012-03-20T12:32:00Z</dcterms:created>
  <dcterms:modified xsi:type="dcterms:W3CDTF">2012-03-20T14:50:00Z</dcterms:modified>
</cp:coreProperties>
</file>