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A0" w:rsidRDefault="00AB5CA0" w:rsidP="00AB5CA0">
      <w:pPr>
        <w:spacing w:after="120"/>
        <w:jc w:val="right"/>
        <w:rPr>
          <w:bCs/>
          <w:sz w:val="28"/>
          <w:szCs w:val="28"/>
          <w:lang w:val="lv-LV"/>
        </w:rPr>
      </w:pPr>
      <w:r>
        <w:rPr>
          <w:bCs/>
          <w:sz w:val="28"/>
          <w:szCs w:val="28"/>
          <w:lang w:val="lv-LV"/>
        </w:rPr>
        <w:t>Projekts</w:t>
      </w:r>
    </w:p>
    <w:p w:rsidR="00AB5CA0" w:rsidRDefault="00AB5CA0" w:rsidP="00AB5CA0">
      <w:pPr>
        <w:spacing w:after="120"/>
        <w:jc w:val="center"/>
        <w:rPr>
          <w:b/>
          <w:bCs/>
          <w:sz w:val="28"/>
          <w:szCs w:val="28"/>
          <w:lang w:val="lv-LV"/>
        </w:rPr>
      </w:pPr>
      <w:r>
        <w:rPr>
          <w:b/>
          <w:bCs/>
          <w:sz w:val="28"/>
          <w:szCs w:val="28"/>
          <w:lang w:val="lv-LV"/>
        </w:rPr>
        <w:t>LATVIJAS REPUBLIKAS MINISTRU KABINETA SĒDES PROTOKOLLĒMUMS</w:t>
      </w:r>
    </w:p>
    <w:p w:rsidR="00AB5CA0" w:rsidRDefault="00AB5CA0" w:rsidP="00AB5CA0">
      <w:pPr>
        <w:rPr>
          <w:lang w:val="lv-LV"/>
        </w:rPr>
      </w:pPr>
    </w:p>
    <w:tbl>
      <w:tblPr>
        <w:tblW w:w="8325" w:type="dxa"/>
        <w:tblInd w:w="-72" w:type="dxa"/>
        <w:tblLayout w:type="fixed"/>
        <w:tblLook w:val="04A0"/>
      </w:tblPr>
      <w:tblGrid>
        <w:gridCol w:w="3585"/>
        <w:gridCol w:w="1272"/>
        <w:gridCol w:w="3468"/>
      </w:tblGrid>
      <w:tr w:rsidR="00AB5CA0" w:rsidTr="00AB5CA0">
        <w:trPr>
          <w:cantSplit/>
        </w:trPr>
        <w:tc>
          <w:tcPr>
            <w:tcW w:w="3585" w:type="dxa"/>
            <w:hideMark/>
          </w:tcPr>
          <w:p w:rsidR="00AB5CA0" w:rsidRDefault="00AB5CA0" w:rsidP="00F05B4A">
            <w:pPr>
              <w:rPr>
                <w:sz w:val="28"/>
                <w:szCs w:val="28"/>
                <w:lang w:val="lv-LV"/>
              </w:rPr>
            </w:pPr>
            <w:r>
              <w:rPr>
                <w:sz w:val="28"/>
                <w:szCs w:val="28"/>
                <w:lang w:val="lv-LV"/>
              </w:rPr>
              <w:t>Rīgā</w:t>
            </w:r>
          </w:p>
        </w:tc>
        <w:tc>
          <w:tcPr>
            <w:tcW w:w="1272" w:type="dxa"/>
            <w:hideMark/>
          </w:tcPr>
          <w:p w:rsidR="00AB5CA0" w:rsidRDefault="00AB5CA0" w:rsidP="00F05B4A">
            <w:pPr>
              <w:rPr>
                <w:sz w:val="28"/>
                <w:szCs w:val="28"/>
                <w:lang w:val="lv-LV"/>
              </w:rPr>
            </w:pPr>
            <w:r>
              <w:rPr>
                <w:sz w:val="28"/>
                <w:szCs w:val="28"/>
                <w:lang w:val="lv-LV"/>
              </w:rPr>
              <w:t>Nr.</w:t>
            </w:r>
          </w:p>
        </w:tc>
        <w:tc>
          <w:tcPr>
            <w:tcW w:w="3468" w:type="dxa"/>
            <w:hideMark/>
          </w:tcPr>
          <w:p w:rsidR="00AB5CA0" w:rsidRDefault="00AB5CA0" w:rsidP="00F05B4A">
            <w:pPr>
              <w:jc w:val="right"/>
              <w:rPr>
                <w:sz w:val="28"/>
                <w:szCs w:val="28"/>
                <w:lang w:val="lv-LV"/>
              </w:rPr>
            </w:pPr>
            <w:r>
              <w:rPr>
                <w:sz w:val="28"/>
                <w:szCs w:val="28"/>
                <w:lang w:val="lv-LV"/>
              </w:rPr>
              <w:t>2010.gada ___._______</w:t>
            </w:r>
          </w:p>
        </w:tc>
      </w:tr>
    </w:tbl>
    <w:p w:rsidR="00AB5CA0" w:rsidRDefault="00AB5CA0" w:rsidP="00AB5CA0">
      <w:pPr>
        <w:jc w:val="center"/>
        <w:rPr>
          <w:b/>
          <w:sz w:val="28"/>
          <w:szCs w:val="28"/>
          <w:lang w:val="lv-LV"/>
        </w:rPr>
      </w:pPr>
    </w:p>
    <w:p w:rsidR="00AB5CA0" w:rsidRDefault="00AB5CA0" w:rsidP="00AB5CA0">
      <w:pPr>
        <w:jc w:val="center"/>
        <w:rPr>
          <w:sz w:val="28"/>
          <w:szCs w:val="28"/>
          <w:lang w:val="lv-LV"/>
        </w:rPr>
      </w:pPr>
      <w:r>
        <w:rPr>
          <w:sz w:val="28"/>
          <w:szCs w:val="28"/>
          <w:lang w:val="lv-LV"/>
        </w:rPr>
        <w:t xml:space="preserve">    .§</w:t>
      </w:r>
    </w:p>
    <w:p w:rsidR="00AB5CA0" w:rsidRDefault="00AB5CA0" w:rsidP="00AB5CA0">
      <w:pPr>
        <w:jc w:val="both"/>
        <w:rPr>
          <w:sz w:val="28"/>
          <w:lang w:val="lv-LV"/>
        </w:rPr>
      </w:pPr>
    </w:p>
    <w:p w:rsidR="00AB5CA0" w:rsidRPr="00AB5CA0" w:rsidRDefault="00AB5CA0" w:rsidP="00AB5CA0">
      <w:pPr>
        <w:jc w:val="center"/>
        <w:rPr>
          <w:b/>
          <w:sz w:val="28"/>
          <w:szCs w:val="28"/>
          <w:lang w:val="lv-LV"/>
        </w:rPr>
      </w:pPr>
      <w:r w:rsidRPr="00AB5CA0">
        <w:rPr>
          <w:b/>
          <w:sz w:val="28"/>
          <w:szCs w:val="28"/>
          <w:lang w:val="lv-LV"/>
        </w:rPr>
        <w:t>Par informatīvo ziņojumu</w:t>
      </w:r>
      <w:r>
        <w:rPr>
          <w:b/>
          <w:sz w:val="28"/>
          <w:szCs w:val="28"/>
          <w:lang w:val="lv-LV"/>
        </w:rPr>
        <w:t xml:space="preserve"> „ </w:t>
      </w:r>
      <w:r w:rsidRPr="00AB5CA0">
        <w:rPr>
          <w:b/>
          <w:sz w:val="28"/>
          <w:szCs w:val="28"/>
          <w:lang w:val="lv-LV"/>
        </w:rPr>
        <w:t>Par priekšlikumiem grozījumiem  normatīvajos aktos vekseļu elektroniskas aprites nodrošināšanai”</w:t>
      </w:r>
    </w:p>
    <w:p w:rsidR="00AB5CA0" w:rsidRDefault="00AB5CA0" w:rsidP="00AB5CA0">
      <w:pPr>
        <w:pBdr>
          <w:bottom w:val="single" w:sz="12" w:space="1" w:color="auto"/>
        </w:pBdr>
        <w:jc w:val="both"/>
        <w:rPr>
          <w:sz w:val="28"/>
          <w:lang w:val="lv-LV"/>
        </w:rPr>
      </w:pPr>
    </w:p>
    <w:p w:rsidR="00AB5CA0" w:rsidRDefault="00AB5CA0" w:rsidP="00AB5CA0">
      <w:pPr>
        <w:jc w:val="center"/>
        <w:rPr>
          <w:sz w:val="28"/>
          <w:lang w:val="lv-LV"/>
        </w:rPr>
      </w:pPr>
      <w:r>
        <w:rPr>
          <w:sz w:val="28"/>
          <w:lang w:val="lv-LV"/>
        </w:rPr>
        <w:t>(…)</w:t>
      </w:r>
    </w:p>
    <w:p w:rsidR="00AB5CA0" w:rsidRPr="00AB5CA0" w:rsidRDefault="00AB5CA0" w:rsidP="00AB5CA0">
      <w:pPr>
        <w:pStyle w:val="Sarakstarindkopa"/>
        <w:numPr>
          <w:ilvl w:val="0"/>
          <w:numId w:val="1"/>
        </w:numPr>
        <w:jc w:val="both"/>
        <w:rPr>
          <w:bCs/>
          <w:sz w:val="28"/>
          <w:szCs w:val="28"/>
          <w:lang w:val="lv-LV"/>
        </w:rPr>
      </w:pPr>
      <w:r w:rsidRPr="00AB5CA0">
        <w:rPr>
          <w:bCs/>
          <w:sz w:val="28"/>
          <w:szCs w:val="28"/>
          <w:lang w:val="lv-LV"/>
        </w:rPr>
        <w:t>Pieņemt zināšanai tieslietu ministra iesniegto informatīvo ziņojumu.</w:t>
      </w:r>
    </w:p>
    <w:p w:rsidR="00AB5CA0" w:rsidRDefault="00AB5CA0" w:rsidP="00AB5CA0">
      <w:pPr>
        <w:pStyle w:val="Sarakstarindkopa"/>
        <w:numPr>
          <w:ilvl w:val="0"/>
          <w:numId w:val="1"/>
        </w:numPr>
        <w:jc w:val="both"/>
        <w:rPr>
          <w:bCs/>
          <w:sz w:val="28"/>
          <w:szCs w:val="28"/>
          <w:lang w:val="lv-LV"/>
        </w:rPr>
      </w:pPr>
      <w:r>
        <w:rPr>
          <w:bCs/>
          <w:sz w:val="28"/>
          <w:szCs w:val="28"/>
          <w:lang w:val="lv-LV"/>
        </w:rPr>
        <w:t xml:space="preserve">Tieslietu ministram viena mēneša laikā izveidot starpinstitūciju darba </w:t>
      </w:r>
    </w:p>
    <w:p w:rsidR="00AB5CA0" w:rsidRPr="00AB5CA0" w:rsidRDefault="00AB5CA0" w:rsidP="00AB5CA0">
      <w:pPr>
        <w:jc w:val="both"/>
        <w:rPr>
          <w:bCs/>
          <w:sz w:val="28"/>
          <w:szCs w:val="28"/>
          <w:lang w:val="lv-LV"/>
        </w:rPr>
      </w:pPr>
      <w:r>
        <w:rPr>
          <w:bCs/>
          <w:sz w:val="28"/>
          <w:szCs w:val="28"/>
          <w:lang w:val="lv-LV"/>
        </w:rPr>
        <w:t>g</w:t>
      </w:r>
      <w:r w:rsidRPr="00AB5CA0">
        <w:rPr>
          <w:bCs/>
          <w:sz w:val="28"/>
          <w:szCs w:val="28"/>
          <w:lang w:val="lv-LV"/>
        </w:rPr>
        <w:t>rupu</w:t>
      </w:r>
      <w:r>
        <w:rPr>
          <w:bCs/>
          <w:sz w:val="28"/>
          <w:szCs w:val="28"/>
          <w:lang w:val="lv-LV"/>
        </w:rPr>
        <w:t xml:space="preserve"> </w:t>
      </w:r>
      <w:r w:rsidRPr="00AB5CA0">
        <w:rPr>
          <w:sz w:val="28"/>
          <w:szCs w:val="28"/>
          <w:lang w:val="lv-LV"/>
        </w:rPr>
        <w:t xml:space="preserve">grozījumu </w:t>
      </w:r>
      <w:r w:rsidRPr="00AB5CA0">
        <w:rPr>
          <w:rFonts w:eastAsia="Calibri"/>
          <w:sz w:val="28"/>
          <w:szCs w:val="28"/>
          <w:lang w:val="lv-LV"/>
        </w:rPr>
        <w:t>Vekseļu likumā, Notariāta likumā, Civilprocesa likumā, Ministru kabineta 2010.gada 21.jūnija noteikumos Nr. 558 „Noteikumi par valsts nodevu par operācijām ar vekseļiem” un Ministru kabineta 2010.gada 21.jūnija noteikumos Nr. 559 „Noteikumi par vekseļa protesta akta paraugiem” izstrādei</w:t>
      </w:r>
      <w:r>
        <w:rPr>
          <w:rFonts w:eastAsia="Calibri"/>
          <w:sz w:val="28"/>
          <w:szCs w:val="28"/>
          <w:lang w:val="lv-LV"/>
        </w:rPr>
        <w:t xml:space="preserve">. Darba grupā iekļaut </w:t>
      </w:r>
      <w:r w:rsidRPr="00AB5CA0">
        <w:rPr>
          <w:sz w:val="28"/>
          <w:szCs w:val="28"/>
          <w:lang w:val="lv-LV"/>
        </w:rPr>
        <w:t>Finanšu ministrijas, Reģionālās attīstības un pašvaldību lietu ministrijas, Tieslietu ministrijas, Valsts kases, Latvijas Komercbanku asociācijas, Latvijas Zvērinātu notāru padomes pārstāvjus</w:t>
      </w:r>
      <w:r>
        <w:rPr>
          <w:sz w:val="28"/>
          <w:szCs w:val="28"/>
          <w:lang w:val="lv-LV"/>
        </w:rPr>
        <w:t xml:space="preserve"> un</w:t>
      </w:r>
      <w:r w:rsidRPr="00AB5CA0">
        <w:rPr>
          <w:sz w:val="28"/>
          <w:szCs w:val="28"/>
          <w:lang w:val="lv-LV"/>
        </w:rPr>
        <w:t xml:space="preserve"> rajona tiesu tiesnešus</w:t>
      </w:r>
      <w:r>
        <w:rPr>
          <w:sz w:val="28"/>
          <w:szCs w:val="28"/>
          <w:lang w:val="lv-LV"/>
        </w:rPr>
        <w:t>.</w:t>
      </w:r>
      <w:r>
        <w:rPr>
          <w:rFonts w:eastAsia="Calibri"/>
          <w:sz w:val="28"/>
          <w:szCs w:val="28"/>
          <w:lang w:val="lv-LV"/>
        </w:rPr>
        <w:t xml:space="preserve"> </w:t>
      </w:r>
    </w:p>
    <w:p w:rsidR="00AB5CA0" w:rsidRPr="00DA4A81" w:rsidRDefault="00AB5CA0" w:rsidP="00AB5CA0">
      <w:pPr>
        <w:ind w:firstLine="720"/>
        <w:jc w:val="both"/>
        <w:rPr>
          <w:sz w:val="28"/>
          <w:szCs w:val="28"/>
          <w:lang w:val="lv-LV"/>
        </w:rPr>
      </w:pPr>
      <w:r>
        <w:rPr>
          <w:bCs/>
          <w:sz w:val="28"/>
          <w:szCs w:val="28"/>
          <w:lang w:val="lv-LV"/>
        </w:rPr>
        <w:t>3</w:t>
      </w:r>
      <w:r w:rsidRPr="00DA4A81">
        <w:rPr>
          <w:bCs/>
          <w:sz w:val="28"/>
          <w:szCs w:val="28"/>
          <w:lang w:val="lv-LV"/>
        </w:rPr>
        <w:t xml:space="preserve">. </w:t>
      </w:r>
      <w:r>
        <w:rPr>
          <w:sz w:val="28"/>
          <w:szCs w:val="28"/>
          <w:lang w:val="lv-LV"/>
        </w:rPr>
        <w:t>Darba grupai izstrādāt</w:t>
      </w:r>
      <w:r w:rsidRPr="00DA4A81">
        <w:rPr>
          <w:sz w:val="28"/>
          <w:szCs w:val="28"/>
          <w:lang w:val="lv-LV"/>
        </w:rPr>
        <w:t xml:space="preserve"> un tieslietu ministram līdz 201</w:t>
      </w:r>
      <w:r>
        <w:rPr>
          <w:sz w:val="28"/>
          <w:szCs w:val="28"/>
          <w:lang w:val="lv-LV"/>
        </w:rPr>
        <w:t>2</w:t>
      </w:r>
      <w:r w:rsidRPr="00DA4A81">
        <w:rPr>
          <w:sz w:val="28"/>
          <w:szCs w:val="28"/>
          <w:lang w:val="lv-LV"/>
        </w:rPr>
        <w:t xml:space="preserve">.gada 31.decembrim </w:t>
      </w:r>
      <w:r w:rsidR="00B51DF8">
        <w:rPr>
          <w:sz w:val="28"/>
          <w:szCs w:val="28"/>
          <w:lang w:val="lv-LV"/>
        </w:rPr>
        <w:t xml:space="preserve">iesniegt </w:t>
      </w:r>
      <w:r w:rsidRPr="00DA4A81">
        <w:rPr>
          <w:sz w:val="28"/>
          <w:szCs w:val="28"/>
          <w:lang w:val="lv-LV"/>
        </w:rPr>
        <w:t xml:space="preserve">noteiktā kārtībā Ministru kabinetā </w:t>
      </w:r>
      <w:r>
        <w:rPr>
          <w:sz w:val="28"/>
          <w:szCs w:val="28"/>
          <w:lang w:val="lv-LV"/>
        </w:rPr>
        <w:t>grozījumus šā protokollēmuma 2.punktā minētajos</w:t>
      </w:r>
      <w:r w:rsidRPr="00DA4A81">
        <w:rPr>
          <w:sz w:val="28"/>
          <w:szCs w:val="28"/>
          <w:lang w:val="lv-LV"/>
        </w:rPr>
        <w:t xml:space="preserve"> normatīvajos aktos.</w:t>
      </w:r>
    </w:p>
    <w:p w:rsidR="00AB5CA0" w:rsidRDefault="00AB5CA0" w:rsidP="00AB5CA0">
      <w:pPr>
        <w:tabs>
          <w:tab w:val="left" w:pos="6804"/>
        </w:tabs>
        <w:spacing w:after="120"/>
        <w:rPr>
          <w:sz w:val="28"/>
          <w:szCs w:val="28"/>
          <w:lang w:val="lv-LV"/>
        </w:rPr>
      </w:pPr>
    </w:p>
    <w:p w:rsidR="00AB5CA0" w:rsidRDefault="00AB5CA0" w:rsidP="00AB5CA0">
      <w:pPr>
        <w:tabs>
          <w:tab w:val="left" w:pos="6804"/>
        </w:tabs>
        <w:spacing w:after="120"/>
        <w:rPr>
          <w:sz w:val="28"/>
          <w:szCs w:val="28"/>
          <w:lang w:val="lv-LV"/>
        </w:rPr>
      </w:pPr>
      <w:r>
        <w:rPr>
          <w:sz w:val="28"/>
          <w:szCs w:val="28"/>
          <w:lang w:val="lv-LV"/>
        </w:rPr>
        <w:t>Ministru prezidents                                                                      V. Dombrovskis</w:t>
      </w:r>
    </w:p>
    <w:p w:rsidR="00AB5CA0" w:rsidRDefault="00AB5CA0" w:rsidP="00AB5CA0">
      <w:pPr>
        <w:pStyle w:val="Virsraksts3"/>
        <w:spacing w:after="120"/>
        <w:jc w:val="left"/>
        <w:rPr>
          <w:b w:val="0"/>
          <w:sz w:val="28"/>
          <w:szCs w:val="28"/>
        </w:rPr>
      </w:pPr>
      <w:r>
        <w:rPr>
          <w:b w:val="0"/>
          <w:sz w:val="28"/>
          <w:szCs w:val="28"/>
        </w:rPr>
        <w:t>Valsts kancelejas direktore</w:t>
      </w:r>
      <w:r>
        <w:rPr>
          <w:b w:val="0"/>
          <w:sz w:val="28"/>
          <w:szCs w:val="28"/>
        </w:rPr>
        <w:tab/>
      </w:r>
      <w:r>
        <w:rPr>
          <w:b w:val="0"/>
          <w:sz w:val="28"/>
          <w:szCs w:val="28"/>
        </w:rPr>
        <w:tab/>
      </w:r>
      <w:r>
        <w:rPr>
          <w:b w:val="0"/>
          <w:sz w:val="28"/>
          <w:szCs w:val="28"/>
        </w:rPr>
        <w:tab/>
      </w:r>
      <w:r>
        <w:rPr>
          <w:b w:val="0"/>
          <w:sz w:val="28"/>
          <w:szCs w:val="28"/>
        </w:rPr>
        <w:tab/>
      </w:r>
      <w:r>
        <w:rPr>
          <w:b w:val="0"/>
          <w:sz w:val="28"/>
          <w:szCs w:val="28"/>
        </w:rPr>
        <w:tab/>
        <w:t xml:space="preserve">              G.Veismane</w:t>
      </w:r>
    </w:p>
    <w:p w:rsidR="00633264" w:rsidRDefault="00633264" w:rsidP="00633264">
      <w:pPr>
        <w:jc w:val="both"/>
        <w:rPr>
          <w:sz w:val="28"/>
          <w:szCs w:val="28"/>
        </w:rPr>
      </w:pPr>
    </w:p>
    <w:p w:rsidR="00633264" w:rsidRDefault="00633264" w:rsidP="00633264">
      <w:pPr>
        <w:jc w:val="both"/>
        <w:rPr>
          <w:sz w:val="28"/>
          <w:szCs w:val="28"/>
        </w:rPr>
      </w:pPr>
      <w:r>
        <w:rPr>
          <w:sz w:val="28"/>
          <w:szCs w:val="28"/>
        </w:rPr>
        <w:t xml:space="preserve">Iesniedzējs: </w:t>
      </w:r>
    </w:p>
    <w:p w:rsidR="00633264" w:rsidRPr="00FD13F3" w:rsidRDefault="00633264" w:rsidP="00633264">
      <w:pPr>
        <w:jc w:val="both"/>
        <w:rPr>
          <w:sz w:val="28"/>
          <w:szCs w:val="28"/>
          <w:lang w:val="lv-LV"/>
        </w:rPr>
      </w:pPr>
      <w:r w:rsidRPr="00FD13F3">
        <w:rPr>
          <w:sz w:val="28"/>
          <w:szCs w:val="28"/>
          <w:lang w:val="lv-LV"/>
        </w:rPr>
        <w:t xml:space="preserve">tieslietu ministrs                                                                         </w:t>
      </w:r>
      <w:r w:rsidR="00FD13F3" w:rsidRPr="00FD13F3">
        <w:rPr>
          <w:sz w:val="28"/>
          <w:szCs w:val="28"/>
          <w:lang w:val="lv-LV"/>
        </w:rPr>
        <w:t>A.Štokenbergs</w:t>
      </w:r>
    </w:p>
    <w:p w:rsidR="00633264" w:rsidRPr="00FD13F3" w:rsidRDefault="00633264" w:rsidP="00AB5CA0">
      <w:pPr>
        <w:pStyle w:val="Sarakstarindkopa1"/>
        <w:spacing w:after="120" w:line="240" w:lineRule="auto"/>
        <w:ind w:left="0"/>
        <w:jc w:val="both"/>
        <w:rPr>
          <w:rFonts w:ascii="Times New Roman" w:hAnsi="Times New Roman"/>
          <w:color w:val="000000"/>
          <w:sz w:val="28"/>
          <w:szCs w:val="28"/>
        </w:rPr>
      </w:pPr>
    </w:p>
    <w:p w:rsidR="00AB5CA0" w:rsidRDefault="00AB5CA0" w:rsidP="00AB5CA0">
      <w:pPr>
        <w:jc w:val="both"/>
        <w:rPr>
          <w:sz w:val="28"/>
          <w:szCs w:val="28"/>
          <w:lang w:val="lv-LV"/>
        </w:rPr>
      </w:pPr>
    </w:p>
    <w:p w:rsidR="008D5136" w:rsidRDefault="008D5136" w:rsidP="00AB5CA0">
      <w:pPr>
        <w:jc w:val="both"/>
        <w:rPr>
          <w:sz w:val="28"/>
          <w:szCs w:val="28"/>
          <w:lang w:val="lv-LV"/>
        </w:rPr>
      </w:pPr>
    </w:p>
    <w:p w:rsidR="00FD13F3" w:rsidRPr="00AB5CA0" w:rsidRDefault="00FD13F3" w:rsidP="00AB5CA0">
      <w:pPr>
        <w:jc w:val="both"/>
        <w:rPr>
          <w:sz w:val="28"/>
          <w:szCs w:val="28"/>
          <w:lang w:val="lv-LV"/>
        </w:rPr>
      </w:pPr>
    </w:p>
    <w:p w:rsidR="00AB5CA0" w:rsidRPr="00DA4A81" w:rsidRDefault="008D5136" w:rsidP="00AB5CA0">
      <w:pPr>
        <w:jc w:val="both"/>
        <w:rPr>
          <w:sz w:val="26"/>
          <w:szCs w:val="26"/>
          <w:lang w:val="lv-LV"/>
        </w:rPr>
      </w:pPr>
      <w:r>
        <w:rPr>
          <w:sz w:val="26"/>
          <w:szCs w:val="26"/>
          <w:lang w:val="lv-LV"/>
        </w:rPr>
        <w:t>03</w:t>
      </w:r>
      <w:r w:rsidR="00AB5CA0" w:rsidRPr="00DA4A81">
        <w:rPr>
          <w:sz w:val="26"/>
          <w:szCs w:val="26"/>
          <w:lang w:val="lv-LV"/>
        </w:rPr>
        <w:t>.</w:t>
      </w:r>
      <w:r w:rsidR="00FD13F3">
        <w:rPr>
          <w:sz w:val="26"/>
          <w:szCs w:val="26"/>
          <w:lang w:val="lv-LV"/>
        </w:rPr>
        <w:t>1</w:t>
      </w:r>
      <w:r>
        <w:rPr>
          <w:sz w:val="26"/>
          <w:szCs w:val="26"/>
          <w:lang w:val="lv-LV"/>
        </w:rPr>
        <w:t>2</w:t>
      </w:r>
      <w:r w:rsidR="00AB5CA0" w:rsidRPr="00DA4A81">
        <w:rPr>
          <w:sz w:val="26"/>
          <w:szCs w:val="26"/>
          <w:lang w:val="lv-LV"/>
        </w:rPr>
        <w:t xml:space="preserve">.2010 </w:t>
      </w:r>
      <w:r>
        <w:rPr>
          <w:sz w:val="26"/>
          <w:szCs w:val="26"/>
          <w:lang w:val="lv-LV"/>
        </w:rPr>
        <w:t>11:00</w:t>
      </w:r>
    </w:p>
    <w:p w:rsidR="00AB5CA0" w:rsidRPr="00DA4A81" w:rsidRDefault="00B51DF8" w:rsidP="00AB5CA0">
      <w:pPr>
        <w:jc w:val="both"/>
        <w:rPr>
          <w:sz w:val="26"/>
          <w:szCs w:val="26"/>
          <w:lang w:val="lv-LV"/>
        </w:rPr>
      </w:pPr>
      <w:r>
        <w:t>1</w:t>
      </w:r>
      <w:r w:rsidR="008D5136">
        <w:t>48</w:t>
      </w:r>
    </w:p>
    <w:p w:rsidR="00AB5CA0" w:rsidRPr="00DA4A81" w:rsidRDefault="00AB5CA0" w:rsidP="00AB5CA0">
      <w:pPr>
        <w:jc w:val="both"/>
        <w:rPr>
          <w:sz w:val="26"/>
          <w:szCs w:val="26"/>
          <w:lang w:val="lv-LV"/>
        </w:rPr>
      </w:pPr>
      <w:r w:rsidRPr="00DA4A81">
        <w:rPr>
          <w:sz w:val="26"/>
          <w:szCs w:val="26"/>
          <w:lang w:val="lv-LV"/>
        </w:rPr>
        <w:t>Rāgs</w:t>
      </w:r>
    </w:p>
    <w:p w:rsidR="00E1587C" w:rsidRPr="00AB5CA0" w:rsidRDefault="00AB5CA0" w:rsidP="00B51DF8">
      <w:pPr>
        <w:ind w:right="-483"/>
        <w:rPr>
          <w:sz w:val="28"/>
          <w:szCs w:val="28"/>
        </w:rPr>
      </w:pPr>
      <w:r w:rsidRPr="00DA4A81">
        <w:rPr>
          <w:sz w:val="26"/>
          <w:szCs w:val="26"/>
        </w:rPr>
        <w:t>67036974, Sandris.Rags@tm.gov.lv</w:t>
      </w:r>
    </w:p>
    <w:sectPr w:rsidR="00E1587C" w:rsidRPr="00AB5CA0" w:rsidSect="00AB5CA0">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A0" w:rsidRDefault="00AB5CA0" w:rsidP="00AB5CA0">
      <w:r>
        <w:separator/>
      </w:r>
    </w:p>
  </w:endnote>
  <w:endnote w:type="continuationSeparator" w:id="0">
    <w:p w:rsidR="00AB5CA0" w:rsidRDefault="00AB5CA0" w:rsidP="00AB5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81" w:rsidRPr="00AB5CA0" w:rsidRDefault="00C92DF8" w:rsidP="00DA4A81">
    <w:pPr>
      <w:pStyle w:val="Kjene"/>
      <w:jc w:val="both"/>
      <w:rPr>
        <w:lang w:val="lv-LV"/>
      </w:rPr>
    </w:pPr>
    <w:r>
      <w:t>TMProt_</w:t>
    </w:r>
    <w:r w:rsidR="008D5136">
      <w:t>03</w:t>
    </w:r>
    <w:r w:rsidR="00FD13F3">
      <w:t>1</w:t>
    </w:r>
    <w:r w:rsidR="008D5136">
      <w:t>2</w:t>
    </w:r>
    <w:r>
      <w:t>10_</w:t>
    </w:r>
    <w:r w:rsidR="00AB5CA0">
      <w:t>evekseli</w:t>
    </w:r>
    <w:r>
      <w:t xml:space="preserve">, </w:t>
    </w:r>
    <w:proofErr w:type="spellStart"/>
    <w:r>
      <w:t>Ministru</w:t>
    </w:r>
    <w:proofErr w:type="spellEnd"/>
    <w:r>
      <w:t xml:space="preserve"> </w:t>
    </w:r>
    <w:r w:rsidRPr="00DA4A81">
      <w:rPr>
        <w:lang w:val="lv-LV"/>
      </w:rPr>
      <w:t>kabineta</w:t>
    </w:r>
    <w:r>
      <w:t xml:space="preserve"> sēdes protokollēmuma projekts “</w:t>
    </w:r>
    <w:r w:rsidRPr="00AB5CA0">
      <w:rPr>
        <w:lang w:val="lv-LV"/>
      </w:rPr>
      <w:t xml:space="preserve">Par </w:t>
    </w:r>
    <w:r w:rsidR="00AB5CA0" w:rsidRPr="00AB5CA0">
      <w:rPr>
        <w:lang w:val="lv-LV"/>
      </w:rPr>
      <w:t>informatīvo ziņojumu</w:t>
    </w:r>
    <w:r w:rsidRPr="00AB5CA0">
      <w:rPr>
        <w:lang w:val="lv-LV"/>
      </w:rPr>
      <w:t xml:space="preserve"> “</w:t>
    </w:r>
    <w:r w:rsidR="00AB5CA0" w:rsidRPr="00AB5CA0">
      <w:rPr>
        <w:lang w:val="lv-LV"/>
      </w:rPr>
      <w:t>Par priekšlikumiem grozījumiem normatīvajos aktos vekseļu elektroniskas aprites nodrošināšanai”</w:t>
    </w:r>
    <w:r w:rsidRPr="00AB5CA0">
      <w:rPr>
        <w:lang w:val="lv-LV"/>
      </w:rPr>
      <w:t>”</w:t>
    </w:r>
  </w:p>
  <w:p w:rsidR="00DA4A81" w:rsidRDefault="008D5136" w:rsidP="00DA4A81">
    <w:pPr>
      <w:pStyle w:val="Kjen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A0" w:rsidRDefault="00AB5CA0" w:rsidP="00AB5CA0">
      <w:r>
        <w:separator/>
      </w:r>
    </w:p>
  </w:footnote>
  <w:footnote w:type="continuationSeparator" w:id="0">
    <w:p w:rsidR="00AB5CA0" w:rsidRDefault="00AB5CA0" w:rsidP="00AB5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5B0A"/>
    <w:multiLevelType w:val="hybridMultilevel"/>
    <w:tmpl w:val="3FFAAA66"/>
    <w:lvl w:ilvl="0" w:tplc="CE8C82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5CA0"/>
    <w:rsid w:val="00070B48"/>
    <w:rsid w:val="00136E04"/>
    <w:rsid w:val="001A14ED"/>
    <w:rsid w:val="003642F0"/>
    <w:rsid w:val="00633264"/>
    <w:rsid w:val="0068605A"/>
    <w:rsid w:val="008D5136"/>
    <w:rsid w:val="009170F0"/>
    <w:rsid w:val="00AB5CA0"/>
    <w:rsid w:val="00B51DF8"/>
    <w:rsid w:val="00C92DF8"/>
    <w:rsid w:val="00E1587C"/>
    <w:rsid w:val="00EB5FF7"/>
    <w:rsid w:val="00FD13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B5CA0"/>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ais"/>
    <w:next w:val="Parastais"/>
    <w:link w:val="Virsraksts3Rakstz"/>
    <w:semiHidden/>
    <w:unhideWhenUsed/>
    <w:qFormat/>
    <w:rsid w:val="00AB5CA0"/>
    <w:pPr>
      <w:keepNext/>
      <w:jc w:val="center"/>
      <w:outlineLvl w:val="2"/>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AB5CA0"/>
    <w:rPr>
      <w:rFonts w:ascii="Times New Roman" w:eastAsia="Times New Roman" w:hAnsi="Times New Roman" w:cs="Times New Roman"/>
      <w:b/>
      <w:bCs/>
      <w:sz w:val="24"/>
      <w:szCs w:val="24"/>
    </w:rPr>
  </w:style>
  <w:style w:type="paragraph" w:styleId="Pamatteksts">
    <w:name w:val="Body Text"/>
    <w:basedOn w:val="Parastais"/>
    <w:link w:val="PamattekstsRakstz"/>
    <w:semiHidden/>
    <w:unhideWhenUsed/>
    <w:rsid w:val="00AB5CA0"/>
    <w:pPr>
      <w:jc w:val="center"/>
    </w:pPr>
    <w:rPr>
      <w:b/>
      <w:bCs/>
      <w:sz w:val="28"/>
      <w:lang w:val="lv-LV"/>
    </w:rPr>
  </w:style>
  <w:style w:type="character" w:customStyle="1" w:styleId="PamattekstsRakstz">
    <w:name w:val="Pamatteksts Rakstz."/>
    <w:basedOn w:val="Noklusjumarindkopasfonts"/>
    <w:link w:val="Pamatteksts"/>
    <w:semiHidden/>
    <w:rsid w:val="00AB5CA0"/>
    <w:rPr>
      <w:rFonts w:ascii="Times New Roman" w:eastAsia="Times New Roman" w:hAnsi="Times New Roman" w:cs="Times New Roman"/>
      <w:b/>
      <w:bCs/>
      <w:sz w:val="28"/>
      <w:szCs w:val="24"/>
    </w:rPr>
  </w:style>
  <w:style w:type="paragraph" w:customStyle="1" w:styleId="Sarakstarindkopa1">
    <w:name w:val="Saraksta rindkopa1"/>
    <w:basedOn w:val="Parastais"/>
    <w:uiPriority w:val="34"/>
    <w:qFormat/>
    <w:rsid w:val="00AB5CA0"/>
    <w:pPr>
      <w:spacing w:after="200" w:line="276" w:lineRule="auto"/>
      <w:ind w:left="720"/>
      <w:contextualSpacing/>
    </w:pPr>
    <w:rPr>
      <w:rFonts w:ascii="Calibri" w:eastAsia="Calibri" w:hAnsi="Calibri"/>
      <w:sz w:val="22"/>
      <w:szCs w:val="22"/>
      <w:lang w:val="lv-LV"/>
    </w:rPr>
  </w:style>
  <w:style w:type="paragraph" w:customStyle="1" w:styleId="Bezatstarpm1">
    <w:name w:val="Bez atstarpēm1"/>
    <w:qFormat/>
    <w:rsid w:val="00AB5CA0"/>
    <w:pPr>
      <w:spacing w:after="0" w:line="240" w:lineRule="auto"/>
    </w:pPr>
    <w:rPr>
      <w:rFonts w:ascii="Calibri" w:eastAsia="Calibri" w:hAnsi="Calibri" w:cs="Times New Roman"/>
    </w:rPr>
  </w:style>
  <w:style w:type="paragraph" w:styleId="ParastaisWeb">
    <w:name w:val="Normal (Web)"/>
    <w:basedOn w:val="Parastais"/>
    <w:unhideWhenUsed/>
    <w:rsid w:val="00AB5CA0"/>
    <w:pPr>
      <w:spacing w:before="75" w:after="75"/>
      <w:ind w:firstLine="375"/>
      <w:jc w:val="both"/>
    </w:pPr>
    <w:rPr>
      <w:lang w:val="lv-LV" w:eastAsia="lv-LV"/>
    </w:rPr>
  </w:style>
  <w:style w:type="paragraph" w:styleId="Kjene">
    <w:name w:val="footer"/>
    <w:basedOn w:val="Parastais"/>
    <w:link w:val="KjeneRakstz"/>
    <w:uiPriority w:val="99"/>
    <w:unhideWhenUsed/>
    <w:rsid w:val="00AB5CA0"/>
    <w:pPr>
      <w:tabs>
        <w:tab w:val="center" w:pos="4153"/>
        <w:tab w:val="right" w:pos="8306"/>
      </w:tabs>
    </w:pPr>
  </w:style>
  <w:style w:type="character" w:customStyle="1" w:styleId="KjeneRakstz">
    <w:name w:val="Kājene Rakstz."/>
    <w:basedOn w:val="Noklusjumarindkopasfonts"/>
    <w:link w:val="Kjene"/>
    <w:uiPriority w:val="99"/>
    <w:rsid w:val="00AB5CA0"/>
    <w:rPr>
      <w:rFonts w:ascii="Times New Roman" w:eastAsia="Times New Roman" w:hAnsi="Times New Roman" w:cs="Times New Roman"/>
      <w:sz w:val="24"/>
      <w:szCs w:val="24"/>
      <w:lang w:val="en-GB"/>
    </w:rPr>
  </w:style>
  <w:style w:type="paragraph" w:styleId="Sarakstarindkopa">
    <w:name w:val="List Paragraph"/>
    <w:basedOn w:val="Parastais"/>
    <w:uiPriority w:val="34"/>
    <w:qFormat/>
    <w:rsid w:val="00AB5CA0"/>
    <w:pPr>
      <w:ind w:left="720"/>
      <w:contextualSpacing/>
    </w:pPr>
  </w:style>
  <w:style w:type="paragraph" w:styleId="Galvene">
    <w:name w:val="header"/>
    <w:basedOn w:val="Parastais"/>
    <w:link w:val="GalveneRakstz"/>
    <w:uiPriority w:val="99"/>
    <w:semiHidden/>
    <w:unhideWhenUsed/>
    <w:rsid w:val="00AB5CA0"/>
    <w:pPr>
      <w:tabs>
        <w:tab w:val="center" w:pos="4153"/>
        <w:tab w:val="right" w:pos="8306"/>
      </w:tabs>
    </w:pPr>
  </w:style>
  <w:style w:type="character" w:customStyle="1" w:styleId="GalveneRakstz">
    <w:name w:val="Galvene Rakstz."/>
    <w:basedOn w:val="Noklusjumarindkopasfonts"/>
    <w:link w:val="Galvene"/>
    <w:uiPriority w:val="99"/>
    <w:semiHidden/>
    <w:rsid w:val="00AB5CA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1292</Characters>
  <Application>Microsoft Office Word</Application>
  <DocSecurity>0</DocSecurity>
  <Lines>47</Lines>
  <Paragraphs>25</Paragraphs>
  <ScaleCrop>false</ScaleCrop>
  <HeadingPairs>
    <vt:vector size="2" baseType="variant">
      <vt:variant>
        <vt:lpstr>Nosaukums</vt:lpstr>
      </vt:variant>
      <vt:variant>
        <vt:i4>1</vt:i4>
      </vt:variant>
    </vt:vector>
  </HeadingPairs>
  <TitlesOfParts>
    <vt:vector size="1" baseType="lpstr">
      <vt:lpstr/>
    </vt:vector>
  </TitlesOfParts>
  <Company>Tieslietu Ministrija</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priekšlikumiem grozījumiem normatīvajos aktos vekseļu elektroniskas aprites nodrošināšanai"</dc:title>
  <dc:subject>Protokollēmuma projekts</dc:subject>
  <dc:creator>Sandris Rāgs</dc:creator>
  <cp:keywords/>
  <dc:description>67036974
sandris.rags@tm.gov.lv</dc:description>
  <cp:lastModifiedBy>Sandris Rāgs</cp:lastModifiedBy>
  <cp:revision>2</cp:revision>
  <dcterms:created xsi:type="dcterms:W3CDTF">2010-12-03T08:59:00Z</dcterms:created>
  <dcterms:modified xsi:type="dcterms:W3CDTF">2010-12-03T08:59:00Z</dcterms:modified>
</cp:coreProperties>
</file>