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470FFE" w:rsidRDefault="00470FFE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32548E">
        <w:t>12</w:t>
      </w:r>
      <w:r w:rsidRPr="001B3E9E">
        <w:t xml:space="preserve">.gada </w:t>
      </w:r>
      <w:r w:rsidRPr="0013385C">
        <w:t>__._____</w:t>
      </w: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9F1BDA" w:rsidRDefault="00670539" w:rsidP="00F50A3D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 xml:space="preserve">Par </w:t>
      </w:r>
      <w:r w:rsidR="00F50A3D" w:rsidRPr="004111ED">
        <w:rPr>
          <w:b/>
        </w:rPr>
        <w:t>Ministru kabineta noteikumu projekt</w:t>
      </w:r>
      <w:r w:rsidR="00F50A3D">
        <w:rPr>
          <w:b/>
        </w:rPr>
        <w:t>u</w:t>
      </w:r>
      <w:r w:rsidR="00F50A3D" w:rsidRPr="004111ED">
        <w:rPr>
          <w:b/>
        </w:rPr>
        <w:t xml:space="preserve"> „Grozījumi Ministru kabineta 2009.gada 22.decembra noteikumos Nr.1493 „Noteikumi par valsts nodrošinātās juridiskās palīdzības apjomu, samaksas apmēru, atlīdzināmajiem izdevumiem un to izmaksas kārtību”</w:t>
      </w:r>
    </w:p>
    <w:p w:rsidR="00F50A3D" w:rsidRPr="009F1BDA" w:rsidRDefault="00F50A3D" w:rsidP="00F50A3D">
      <w:pPr>
        <w:jc w:val="center"/>
      </w:pPr>
    </w:p>
    <w:bookmarkEnd w:id="0"/>
    <w:bookmarkEnd w:id="1"/>
    <w:p w:rsidR="00E72DC6" w:rsidRPr="00E72DC6" w:rsidRDefault="00F71E19" w:rsidP="0098356C">
      <w:pPr>
        <w:spacing w:after="120"/>
        <w:ind w:firstLine="720"/>
        <w:jc w:val="both"/>
      </w:pPr>
      <w:r w:rsidRPr="00E72DC6">
        <w:rPr>
          <w:rStyle w:val="spelle"/>
        </w:rPr>
        <w:t xml:space="preserve">1. </w:t>
      </w:r>
      <w:r w:rsidR="00F50A3D" w:rsidRPr="00E72DC6">
        <w:rPr>
          <w:rStyle w:val="spelle"/>
        </w:rPr>
        <w:t>Pieņemt iesniegto noteikumu projektu</w:t>
      </w:r>
      <w:r w:rsidR="00670539" w:rsidRPr="00E72DC6">
        <w:rPr>
          <w:rStyle w:val="spelle"/>
        </w:rPr>
        <w:t>.</w:t>
      </w:r>
      <w:r w:rsidR="00E72DC6" w:rsidRPr="00E72DC6">
        <w:t xml:space="preserve"> Valsts kancelejai sagatavot noteikumu projektu parakstīšanai.</w:t>
      </w:r>
    </w:p>
    <w:p w:rsidR="00D71B65" w:rsidRPr="00E72DC6" w:rsidRDefault="00D71B65" w:rsidP="0098356C">
      <w:pPr>
        <w:tabs>
          <w:tab w:val="left" w:pos="993"/>
        </w:tabs>
        <w:ind w:firstLine="720"/>
        <w:jc w:val="both"/>
        <w:rPr>
          <w:rStyle w:val="spelle"/>
          <w:color w:val="808080"/>
        </w:rPr>
      </w:pPr>
    </w:p>
    <w:p w:rsidR="00ED574E" w:rsidRPr="00F50A3D" w:rsidRDefault="00F71E19" w:rsidP="0098356C">
      <w:pPr>
        <w:tabs>
          <w:tab w:val="left" w:pos="993"/>
        </w:tabs>
        <w:ind w:firstLine="720"/>
        <w:jc w:val="both"/>
        <w:rPr>
          <w:highlight w:val="yellow"/>
        </w:rPr>
      </w:pPr>
      <w:r w:rsidRPr="00E72DC6">
        <w:rPr>
          <w:rStyle w:val="spelle"/>
        </w:rPr>
        <w:t xml:space="preserve">2. </w:t>
      </w:r>
      <w:r w:rsidR="007F6043" w:rsidRPr="00E72DC6">
        <w:t>Jautājumu par papildu nepieciešamā finansējuma piešķiršanu</w:t>
      </w:r>
      <w:r w:rsidR="007F6043" w:rsidRPr="007F6043">
        <w:t xml:space="preserve"> Tieslietu ministrijai noteikumu projektā minēto normu īstenošanai 2014.</w:t>
      </w:r>
      <w:r w:rsidR="007F6043">
        <w:t> gadā 1 617 391 </w:t>
      </w:r>
      <w:r w:rsidR="007F6043" w:rsidRPr="007F6043">
        <w:t>lata apmērā un 2015.</w:t>
      </w:r>
      <w:r w:rsidR="007F6043">
        <w:t> </w:t>
      </w:r>
      <w:r w:rsidR="007F6043" w:rsidRPr="007F6043">
        <w:t>gadā un turpmākajos gados 1 685</w:t>
      </w:r>
      <w:r w:rsidR="007F6043">
        <w:t> 929 </w:t>
      </w:r>
      <w:r w:rsidR="007F6043" w:rsidRPr="007F6043">
        <w:t>latu apmērā katru gadu izskatīt Ministru kabinetā kopā ar visu ministriju budžeta prioritāšu pieteikumiem likumprojekta „Par vidēj</w:t>
      </w:r>
      <w:r w:rsidR="007F6043">
        <w:t>a termiņa budžeta ietvaru 2014.</w:t>
      </w:r>
      <w:r w:rsidR="007F6043" w:rsidRPr="007F6043">
        <w:t>, 2015. un 2016.</w:t>
      </w:r>
      <w:r w:rsidR="007F6043">
        <w:t> </w:t>
      </w:r>
      <w:r w:rsidR="007F6043" w:rsidRPr="007F6043">
        <w:t>gadam” sagatavošanas procesā.</w:t>
      </w:r>
      <w:r w:rsidR="00A37527" w:rsidRPr="00F50A3D">
        <w:rPr>
          <w:highlight w:val="yellow"/>
        </w:rPr>
        <w:t xml:space="preserve"> </w:t>
      </w:r>
    </w:p>
    <w:p w:rsidR="00470FFE" w:rsidRPr="00F50A3D" w:rsidRDefault="00470FFE" w:rsidP="007E470A">
      <w:pPr>
        <w:tabs>
          <w:tab w:val="left" w:pos="993"/>
        </w:tabs>
        <w:ind w:firstLine="992"/>
        <w:jc w:val="both"/>
        <w:rPr>
          <w:highlight w:val="yellow"/>
        </w:rPr>
      </w:pPr>
    </w:p>
    <w:p w:rsidR="00AA47D7" w:rsidRPr="008B2210" w:rsidRDefault="00AA47D7" w:rsidP="007E470A">
      <w:pPr>
        <w:tabs>
          <w:tab w:val="left" w:pos="993"/>
        </w:tabs>
        <w:ind w:firstLine="992"/>
        <w:jc w:val="both"/>
        <w:rPr>
          <w:rStyle w:val="spelle"/>
          <w:color w:val="808080"/>
        </w:rPr>
      </w:pPr>
    </w:p>
    <w:p w:rsidR="00080A01" w:rsidRPr="001B3E9E" w:rsidRDefault="00080A01" w:rsidP="00623FF8">
      <w:pPr>
        <w:ind w:firstLine="720"/>
        <w:jc w:val="center"/>
      </w:pPr>
    </w:p>
    <w:p w:rsidR="00080A01" w:rsidRPr="001B3E9E" w:rsidRDefault="00080A01" w:rsidP="00D7606A">
      <w:r w:rsidRPr="001B3E9E">
        <w:t>Ministru prezidents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1818BF">
        <w:t>V.</w:t>
      </w:r>
      <w:r w:rsidR="00C22FC4">
        <w:t> </w:t>
      </w:r>
      <w:r w:rsidR="00ED1220">
        <w:t>Dombrovskis</w:t>
      </w:r>
    </w:p>
    <w:p w:rsidR="00080A01" w:rsidRPr="001B3E9E" w:rsidRDefault="00080A01" w:rsidP="00D7606A"/>
    <w:p w:rsidR="00080A01" w:rsidRPr="001B3E9E" w:rsidRDefault="00080A01" w:rsidP="00D7606A">
      <w:r w:rsidRPr="001B3E9E">
        <w:t>Valsts kancelejas direktore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ED1220">
        <w:t>E</w:t>
      </w:r>
      <w:r w:rsidR="001818BF">
        <w:t>.</w:t>
      </w:r>
      <w:r w:rsidR="00C22FC4">
        <w:t> </w:t>
      </w:r>
      <w:r w:rsidR="00ED1220">
        <w:t>Dreimane</w:t>
      </w:r>
    </w:p>
    <w:p w:rsidR="00080A01" w:rsidRPr="001B3E9E" w:rsidRDefault="00080A01" w:rsidP="00D7606A"/>
    <w:p w:rsidR="00C22FC4" w:rsidRDefault="00D7606A" w:rsidP="009F70E2">
      <w:pPr>
        <w:tabs>
          <w:tab w:val="left" w:pos="6521"/>
        </w:tabs>
      </w:pPr>
      <w:r>
        <w:t>Tieslietu ministr</w:t>
      </w:r>
      <w:r w:rsidR="009F70E2">
        <w:t xml:space="preserve">s </w:t>
      </w:r>
      <w:r w:rsidR="009F70E2">
        <w:tab/>
      </w:r>
      <w:bookmarkStart w:id="2" w:name="OLE_LINK3"/>
      <w:bookmarkStart w:id="3" w:name="OLE_LINK4"/>
      <w:r w:rsidR="009F70E2">
        <w:t xml:space="preserve">J. Bordāns </w:t>
      </w:r>
    </w:p>
    <w:p w:rsidR="00C22FC4" w:rsidRPr="009F70E2" w:rsidRDefault="00C22FC4" w:rsidP="00C22FC4"/>
    <w:p w:rsidR="00470FFE" w:rsidRPr="009F70E2" w:rsidRDefault="00470FFE" w:rsidP="00C22FC4"/>
    <w:p w:rsidR="00FB0C32" w:rsidRDefault="007F6043" w:rsidP="00FB0C32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E95782">
        <w:rPr>
          <w:sz w:val="20"/>
          <w:szCs w:val="20"/>
        </w:rPr>
        <w:t>4</w:t>
      </w:r>
      <w:r>
        <w:rPr>
          <w:sz w:val="20"/>
          <w:szCs w:val="20"/>
        </w:rPr>
        <w:t>.12</w:t>
      </w:r>
      <w:r w:rsidR="00ED1220" w:rsidRPr="00BB64C9">
        <w:rPr>
          <w:sz w:val="20"/>
          <w:szCs w:val="20"/>
        </w:rPr>
        <w:t xml:space="preserve">.2012. </w:t>
      </w:r>
      <w:r w:rsidR="00E95782">
        <w:rPr>
          <w:sz w:val="20"/>
          <w:szCs w:val="20"/>
        </w:rPr>
        <w:t>11</w:t>
      </w:r>
      <w:bookmarkStart w:id="4" w:name="_GoBack"/>
      <w:bookmarkEnd w:id="4"/>
      <w:r w:rsidR="00ED1220" w:rsidRPr="00BB64C9">
        <w:rPr>
          <w:sz w:val="20"/>
          <w:szCs w:val="20"/>
        </w:rPr>
        <w:t>:</w:t>
      </w:r>
      <w:r>
        <w:rPr>
          <w:sz w:val="20"/>
          <w:szCs w:val="20"/>
        </w:rPr>
        <w:t>47</w:t>
      </w:r>
    </w:p>
    <w:p w:rsidR="00ED1220" w:rsidRPr="00BB64C9" w:rsidRDefault="00E72DC6" w:rsidP="00FB0C32">
      <w:pPr>
        <w:rPr>
          <w:sz w:val="20"/>
          <w:szCs w:val="20"/>
        </w:rPr>
      </w:pPr>
      <w:r>
        <w:rPr>
          <w:sz w:val="20"/>
          <w:szCs w:val="20"/>
        </w:rPr>
        <w:t>128</w:t>
      </w:r>
    </w:p>
    <w:bookmarkEnd w:id="2"/>
    <w:bookmarkEnd w:id="3"/>
    <w:p w:rsidR="002373C1" w:rsidRDefault="002373C1" w:rsidP="002373C1">
      <w:pPr>
        <w:rPr>
          <w:sz w:val="20"/>
          <w:szCs w:val="20"/>
        </w:rPr>
      </w:pPr>
      <w:r>
        <w:rPr>
          <w:sz w:val="20"/>
          <w:szCs w:val="20"/>
        </w:rPr>
        <w:t xml:space="preserve">R. Kalnača </w:t>
      </w:r>
    </w:p>
    <w:p w:rsidR="002373C1" w:rsidRDefault="002373C1" w:rsidP="002373C1">
      <w:pPr>
        <w:rPr>
          <w:sz w:val="20"/>
          <w:szCs w:val="20"/>
        </w:rPr>
      </w:pPr>
      <w:r>
        <w:rPr>
          <w:sz w:val="20"/>
          <w:szCs w:val="20"/>
        </w:rPr>
        <w:t xml:space="preserve">67036769, </w:t>
      </w:r>
      <w:hyperlink r:id="rId8" w:history="1">
        <w:r w:rsidRPr="003E3731">
          <w:rPr>
            <w:rStyle w:val="Hipersaite"/>
            <w:sz w:val="20"/>
            <w:szCs w:val="20"/>
          </w:rPr>
          <w:t>Ruta.Kalnaca@tm.gov.lv</w:t>
        </w:r>
      </w:hyperlink>
      <w:r>
        <w:rPr>
          <w:sz w:val="20"/>
          <w:szCs w:val="20"/>
        </w:rPr>
        <w:t xml:space="preserve"> </w:t>
      </w:r>
    </w:p>
    <w:p w:rsidR="00340F2D" w:rsidRDefault="00340F2D" w:rsidP="002373C1">
      <w:pPr>
        <w:rPr>
          <w:sz w:val="20"/>
          <w:szCs w:val="20"/>
        </w:rPr>
      </w:pPr>
    </w:p>
    <w:sectPr w:rsidR="00340F2D" w:rsidSect="00F50A3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BB" w:rsidRDefault="00F72CBB">
      <w:r>
        <w:separator/>
      </w:r>
    </w:p>
  </w:endnote>
  <w:endnote w:type="continuationSeparator" w:id="0">
    <w:p w:rsidR="00F72CBB" w:rsidRDefault="00F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D" w:rsidRPr="00340F2D" w:rsidRDefault="00340F2D" w:rsidP="000F479A">
    <w:pPr>
      <w:pStyle w:val="Kjene"/>
      <w:tabs>
        <w:tab w:val="clear" w:pos="8306"/>
        <w:tab w:val="right" w:pos="9072"/>
      </w:tabs>
      <w:jc w:val="both"/>
      <w:rPr>
        <w:sz w:val="20"/>
        <w:szCs w:val="20"/>
      </w:rPr>
    </w:pPr>
    <w:r w:rsidRPr="00340F2D">
      <w:rPr>
        <w:sz w:val="20"/>
        <w:szCs w:val="20"/>
      </w:rPr>
      <w:t>TMprot_</w:t>
    </w:r>
    <w:r w:rsidR="001C34D3">
      <w:rPr>
        <w:sz w:val="20"/>
        <w:szCs w:val="20"/>
      </w:rPr>
      <w:t>1</w:t>
    </w:r>
    <w:r w:rsidR="00ED574E">
      <w:rPr>
        <w:sz w:val="20"/>
        <w:szCs w:val="20"/>
      </w:rPr>
      <w:t>9</w:t>
    </w:r>
    <w:r w:rsidRPr="00340F2D">
      <w:rPr>
        <w:sz w:val="20"/>
        <w:szCs w:val="20"/>
      </w:rPr>
      <w:t>0712_parejas; Ministru kabineta sēdes protokollēmuma projekts „Par informatīvo ziņojumu</w:t>
    </w:r>
  </w:p>
  <w:p w:rsidR="0094799C" w:rsidRPr="00340F2D" w:rsidRDefault="00340F2D" w:rsidP="000F479A">
    <w:pPr>
      <w:pStyle w:val="Kjene"/>
      <w:tabs>
        <w:tab w:val="clear" w:pos="8306"/>
        <w:tab w:val="right" w:pos="9072"/>
      </w:tabs>
      <w:jc w:val="both"/>
      <w:rPr>
        <w:sz w:val="20"/>
        <w:szCs w:val="20"/>
      </w:rPr>
    </w:pPr>
    <w:r w:rsidRPr="00340F2D">
      <w:rPr>
        <w:sz w:val="20"/>
        <w:szCs w:val="20"/>
      </w:rPr>
      <w:t xml:space="preserve">„Par priekšlikumiem par iespējamiem grozījumiem normatīvajos aktos, paredzot normu ierobežojumu saglabāšanu līdz 2016. gada 1. janvārim vai arī to apjoma pakāpenisku atjaunošanu trīs gadu laikā””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Pr="008B2210" w:rsidRDefault="0094799C" w:rsidP="00F50A3D">
    <w:pPr>
      <w:jc w:val="both"/>
      <w:rPr>
        <w:color w:val="808080"/>
      </w:rPr>
    </w:pPr>
    <w:r w:rsidRPr="008C30CC">
      <w:rPr>
        <w:sz w:val="20"/>
        <w:szCs w:val="20"/>
      </w:rPr>
      <w:t>TM</w:t>
    </w:r>
    <w:r w:rsidR="00F12997">
      <w:rPr>
        <w:sz w:val="20"/>
        <w:szCs w:val="20"/>
      </w:rPr>
      <w:t>P</w:t>
    </w:r>
    <w:r w:rsidRPr="008C30CC">
      <w:rPr>
        <w:sz w:val="20"/>
        <w:szCs w:val="20"/>
      </w:rPr>
      <w:t>rot_</w:t>
    </w:r>
    <w:r w:rsidR="007F6043">
      <w:rPr>
        <w:sz w:val="20"/>
        <w:szCs w:val="20"/>
      </w:rPr>
      <w:t>0</w:t>
    </w:r>
    <w:r w:rsidR="00E95782">
      <w:rPr>
        <w:sz w:val="20"/>
        <w:szCs w:val="20"/>
      </w:rPr>
      <w:t>4</w:t>
    </w:r>
    <w:r w:rsidR="007F6043">
      <w:rPr>
        <w:sz w:val="20"/>
        <w:szCs w:val="20"/>
      </w:rPr>
      <w:t>12</w:t>
    </w:r>
    <w:r w:rsidR="00F50A3D">
      <w:rPr>
        <w:sz w:val="20"/>
        <w:szCs w:val="20"/>
      </w:rPr>
      <w:t>12</w:t>
    </w:r>
    <w:r w:rsidRPr="008C30CC">
      <w:rPr>
        <w:sz w:val="20"/>
        <w:szCs w:val="20"/>
      </w:rPr>
      <w:t>_</w:t>
    </w:r>
    <w:r w:rsidR="00F12997">
      <w:rPr>
        <w:sz w:val="20"/>
        <w:szCs w:val="20"/>
      </w:rPr>
      <w:t>takses</w:t>
    </w:r>
    <w:r w:rsidRPr="008C30CC">
      <w:rPr>
        <w:sz w:val="20"/>
        <w:szCs w:val="20"/>
      </w:rPr>
      <w:t>; Ministru kabineta sēdes protokollēmuma projekts „</w:t>
    </w:r>
    <w:r w:rsidR="00F50A3D" w:rsidRPr="00F50A3D">
      <w:rPr>
        <w:sz w:val="20"/>
        <w:szCs w:val="20"/>
      </w:rPr>
      <w:t>Par Ministru kabineta noteikumu projektu „Grozījumi Ministru kabineta 2009.gada 22.decembra noteikumos Nr.1493 „Noteikumi par valsts nodrošinātās juridiskās palīdzības apjomu, samaksas apmēru, atlīdzināmajiem izdevumiem un to izmaksas kārtību”</w:t>
    </w:r>
    <w:r w:rsidRPr="008C30C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BB" w:rsidRDefault="00F72CBB">
      <w:r>
        <w:separator/>
      </w:r>
    </w:p>
  </w:footnote>
  <w:footnote w:type="continuationSeparator" w:id="0">
    <w:p w:rsidR="00F72CBB" w:rsidRDefault="00F7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Default="00FE70AD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799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799C" w:rsidRDefault="0094799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Pr="00B65848" w:rsidRDefault="00FE70AD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94799C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F50A3D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94799C" w:rsidRDefault="009479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07AC"/>
    <w:rsid w:val="000062EB"/>
    <w:rsid w:val="00020CF1"/>
    <w:rsid w:val="0003009C"/>
    <w:rsid w:val="000319A2"/>
    <w:rsid w:val="0007312B"/>
    <w:rsid w:val="00080A01"/>
    <w:rsid w:val="00085DF7"/>
    <w:rsid w:val="00090A63"/>
    <w:rsid w:val="000C0BA9"/>
    <w:rsid w:val="000C33C5"/>
    <w:rsid w:val="000C511D"/>
    <w:rsid w:val="000D2426"/>
    <w:rsid w:val="000E3296"/>
    <w:rsid w:val="000F479A"/>
    <w:rsid w:val="000F72EB"/>
    <w:rsid w:val="00113599"/>
    <w:rsid w:val="0011421E"/>
    <w:rsid w:val="001325A1"/>
    <w:rsid w:val="0013385C"/>
    <w:rsid w:val="00165740"/>
    <w:rsid w:val="001818BF"/>
    <w:rsid w:val="00187F3C"/>
    <w:rsid w:val="00195A18"/>
    <w:rsid w:val="001B3E9E"/>
    <w:rsid w:val="001C34D3"/>
    <w:rsid w:val="001E5035"/>
    <w:rsid w:val="001F4235"/>
    <w:rsid w:val="00222737"/>
    <w:rsid w:val="002373C1"/>
    <w:rsid w:val="002510E6"/>
    <w:rsid w:val="002A2959"/>
    <w:rsid w:val="002D3499"/>
    <w:rsid w:val="002D3BCA"/>
    <w:rsid w:val="00324C15"/>
    <w:rsid w:val="0032548E"/>
    <w:rsid w:val="00340F2D"/>
    <w:rsid w:val="00370C2B"/>
    <w:rsid w:val="003750DD"/>
    <w:rsid w:val="003C157B"/>
    <w:rsid w:val="003E5543"/>
    <w:rsid w:val="004150E0"/>
    <w:rsid w:val="00443D9B"/>
    <w:rsid w:val="00470FFE"/>
    <w:rsid w:val="0047602E"/>
    <w:rsid w:val="004B5430"/>
    <w:rsid w:val="004C3E22"/>
    <w:rsid w:val="00517EFC"/>
    <w:rsid w:val="005331B3"/>
    <w:rsid w:val="005C09FF"/>
    <w:rsid w:val="006015E7"/>
    <w:rsid w:val="006049E9"/>
    <w:rsid w:val="00623FF8"/>
    <w:rsid w:val="00635176"/>
    <w:rsid w:val="00670539"/>
    <w:rsid w:val="006936EB"/>
    <w:rsid w:val="00695D14"/>
    <w:rsid w:val="006B5729"/>
    <w:rsid w:val="0073050F"/>
    <w:rsid w:val="00761BF2"/>
    <w:rsid w:val="00783C80"/>
    <w:rsid w:val="00790E47"/>
    <w:rsid w:val="007C06AD"/>
    <w:rsid w:val="007E470A"/>
    <w:rsid w:val="007F3A9C"/>
    <w:rsid w:val="007F6043"/>
    <w:rsid w:val="00826843"/>
    <w:rsid w:val="00837C22"/>
    <w:rsid w:val="00842DA7"/>
    <w:rsid w:val="00854662"/>
    <w:rsid w:val="008940A1"/>
    <w:rsid w:val="008A06D4"/>
    <w:rsid w:val="008B2210"/>
    <w:rsid w:val="008C0BB2"/>
    <w:rsid w:val="008C30CC"/>
    <w:rsid w:val="008D6011"/>
    <w:rsid w:val="00944952"/>
    <w:rsid w:val="0094799C"/>
    <w:rsid w:val="00954D54"/>
    <w:rsid w:val="0098356C"/>
    <w:rsid w:val="009C61ED"/>
    <w:rsid w:val="009F1BDA"/>
    <w:rsid w:val="009F70E2"/>
    <w:rsid w:val="00A37527"/>
    <w:rsid w:val="00A75011"/>
    <w:rsid w:val="00A82625"/>
    <w:rsid w:val="00A834E7"/>
    <w:rsid w:val="00AA47D7"/>
    <w:rsid w:val="00AA5F2E"/>
    <w:rsid w:val="00AE436C"/>
    <w:rsid w:val="00AE4E73"/>
    <w:rsid w:val="00B112D1"/>
    <w:rsid w:val="00BA7AE4"/>
    <w:rsid w:val="00BB113A"/>
    <w:rsid w:val="00BC097E"/>
    <w:rsid w:val="00BF65B2"/>
    <w:rsid w:val="00C22FC4"/>
    <w:rsid w:val="00C36031"/>
    <w:rsid w:val="00C839A2"/>
    <w:rsid w:val="00CE012A"/>
    <w:rsid w:val="00D2196E"/>
    <w:rsid w:val="00D36C02"/>
    <w:rsid w:val="00D71B65"/>
    <w:rsid w:val="00D73C1E"/>
    <w:rsid w:val="00D7606A"/>
    <w:rsid w:val="00DF3D39"/>
    <w:rsid w:val="00DF62F1"/>
    <w:rsid w:val="00E26C27"/>
    <w:rsid w:val="00E356F6"/>
    <w:rsid w:val="00E72DC6"/>
    <w:rsid w:val="00E759D0"/>
    <w:rsid w:val="00E875DD"/>
    <w:rsid w:val="00E95782"/>
    <w:rsid w:val="00EC73FF"/>
    <w:rsid w:val="00ED1220"/>
    <w:rsid w:val="00ED574E"/>
    <w:rsid w:val="00ED5FE6"/>
    <w:rsid w:val="00EF0887"/>
    <w:rsid w:val="00EF1825"/>
    <w:rsid w:val="00F12997"/>
    <w:rsid w:val="00F13F85"/>
    <w:rsid w:val="00F47389"/>
    <w:rsid w:val="00F50A3D"/>
    <w:rsid w:val="00F71E19"/>
    <w:rsid w:val="00F72CBB"/>
    <w:rsid w:val="00F7622F"/>
    <w:rsid w:val="00F87FCF"/>
    <w:rsid w:val="00F95EE7"/>
    <w:rsid w:val="00FB0C32"/>
    <w:rsid w:val="00FD0112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8C30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30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0CC"/>
  </w:style>
  <w:style w:type="paragraph" w:styleId="Komentratma">
    <w:name w:val="annotation subject"/>
    <w:basedOn w:val="Komentrateksts"/>
    <w:next w:val="Komentrateksts"/>
    <w:link w:val="KomentratmaRakstz"/>
    <w:rsid w:val="008C30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C30CC"/>
    <w:rPr>
      <w:b/>
      <w:bCs/>
    </w:rPr>
  </w:style>
  <w:style w:type="paragraph" w:styleId="Balonteksts">
    <w:name w:val="Balloon Text"/>
    <w:basedOn w:val="Parasts"/>
    <w:link w:val="BalontekstsRakstz"/>
    <w:rsid w:val="008C30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C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8C30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30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0CC"/>
  </w:style>
  <w:style w:type="paragraph" w:styleId="Komentratma">
    <w:name w:val="annotation subject"/>
    <w:basedOn w:val="Komentrateksts"/>
    <w:next w:val="Komentrateksts"/>
    <w:link w:val="KomentratmaRakstz"/>
    <w:rsid w:val="008C30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C30CC"/>
    <w:rPr>
      <w:b/>
      <w:bCs/>
    </w:rPr>
  </w:style>
  <w:style w:type="paragraph" w:styleId="Balonteksts">
    <w:name w:val="Balloon Text"/>
    <w:basedOn w:val="Parasts"/>
    <w:link w:val="BalontekstsRakstz"/>
    <w:rsid w:val="008C30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C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Kalnaca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MK noteikumu projektu</vt:lpstr>
      <vt:lpstr>Par informatīvo ziņojumu„Par priekšlikumiem par iespējamiem grozījumiem normatīvajos aktos, paredzot normu ierobežojumu saglabāšanu līdz 2016. gada 1. janvārim vai arī to apjoma pakāpenisku atjaunošanu trīs gadu laikā"</vt:lpstr>
    </vt:vector>
  </TitlesOfParts>
  <Company>TM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noteikumu projektu</dc:title>
  <dc:subject>protokollēmuma projekts</dc:subject>
  <dc:creator>Ruta Kalnača</dc:creator>
  <dc:description>Tieslietu ministrijas
Brīvo juridisko profesiju departamenta 
juriskonsulte D. Baha 
67036838, Daina.Baha@tm.gov.lv 
fakss 67210823</dc:description>
  <cp:lastModifiedBy>Daina Baha</cp:lastModifiedBy>
  <cp:revision>3</cp:revision>
  <cp:lastPrinted>2012-07-02T11:53:00Z</cp:lastPrinted>
  <dcterms:created xsi:type="dcterms:W3CDTF">2012-12-04T09:47:00Z</dcterms:created>
  <dcterms:modified xsi:type="dcterms:W3CDTF">2012-12-04T09:47:00Z</dcterms:modified>
</cp:coreProperties>
</file>