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53" w:rsidRPr="00441CBC" w:rsidRDefault="004B1253" w:rsidP="00B54032">
      <w:pPr>
        <w:jc w:val="right"/>
        <w:rPr>
          <w:i/>
          <w:sz w:val="28"/>
          <w:szCs w:val="28"/>
        </w:rPr>
      </w:pPr>
      <w:bookmarkStart w:id="0" w:name="_GoBack"/>
      <w:bookmarkEnd w:id="0"/>
      <w:r w:rsidRPr="00441CBC">
        <w:rPr>
          <w:i/>
          <w:sz w:val="28"/>
          <w:szCs w:val="28"/>
        </w:rPr>
        <w:t>Projekts</w:t>
      </w:r>
    </w:p>
    <w:p w:rsidR="004B1253" w:rsidRDefault="004B1253" w:rsidP="004B12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LATVIJAS REPUBLIKAS </w:t>
      </w:r>
      <w:r w:rsidR="00003761" w:rsidRPr="00B54032">
        <w:rPr>
          <w:b/>
          <w:bCs/>
          <w:sz w:val="28"/>
          <w:szCs w:val="28"/>
        </w:rPr>
        <w:t>MINISTRU KABINETA</w:t>
      </w:r>
    </w:p>
    <w:p w:rsidR="00003761" w:rsidRPr="00B54032" w:rsidRDefault="00003761" w:rsidP="004B1253">
      <w:pPr>
        <w:jc w:val="center"/>
        <w:rPr>
          <w:sz w:val="28"/>
          <w:szCs w:val="28"/>
        </w:rPr>
      </w:pPr>
      <w:r w:rsidRPr="00B54032">
        <w:rPr>
          <w:b/>
          <w:bCs/>
          <w:sz w:val="28"/>
          <w:szCs w:val="28"/>
        </w:rPr>
        <w:t>SĒDES PROTOKOLLĒMUMS</w:t>
      </w:r>
    </w:p>
    <w:p w:rsidR="004B1253" w:rsidRDefault="004B1253" w:rsidP="004B1253">
      <w:pPr>
        <w:jc w:val="center"/>
        <w:rPr>
          <w:b/>
        </w:rPr>
      </w:pPr>
    </w:p>
    <w:tbl>
      <w:tblPr>
        <w:tblW w:w="9214" w:type="dxa"/>
        <w:jc w:val="center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003761" w:rsidRPr="004B1253" w:rsidTr="00C26552">
        <w:trPr>
          <w:cantSplit/>
          <w:jc w:val="center"/>
        </w:trPr>
        <w:tc>
          <w:tcPr>
            <w:tcW w:w="3967" w:type="dxa"/>
          </w:tcPr>
          <w:p w:rsidR="00003761" w:rsidRPr="00B54032" w:rsidRDefault="00003761" w:rsidP="00B54032">
            <w:pPr>
              <w:jc w:val="center"/>
              <w:rPr>
                <w:sz w:val="28"/>
                <w:szCs w:val="28"/>
              </w:rPr>
            </w:pPr>
            <w:r w:rsidRPr="00B54032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003761" w:rsidRPr="00B54032" w:rsidRDefault="00003761" w:rsidP="00B54032">
            <w:pPr>
              <w:jc w:val="center"/>
              <w:rPr>
                <w:sz w:val="28"/>
                <w:szCs w:val="28"/>
              </w:rPr>
            </w:pPr>
            <w:r w:rsidRPr="00B54032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:rsidR="004B1253" w:rsidRDefault="00003761" w:rsidP="00B54032">
            <w:pPr>
              <w:jc w:val="center"/>
              <w:rPr>
                <w:sz w:val="28"/>
                <w:szCs w:val="28"/>
              </w:rPr>
            </w:pPr>
            <w:r w:rsidRPr="00B54032">
              <w:rPr>
                <w:sz w:val="28"/>
                <w:szCs w:val="28"/>
              </w:rPr>
              <w:t>201</w:t>
            </w:r>
            <w:r w:rsidR="00AF53B5">
              <w:rPr>
                <w:sz w:val="28"/>
                <w:szCs w:val="28"/>
              </w:rPr>
              <w:t>3</w:t>
            </w:r>
            <w:r w:rsidRPr="00B54032">
              <w:rPr>
                <w:sz w:val="28"/>
                <w:szCs w:val="28"/>
              </w:rPr>
              <w:t>. gada __.________</w:t>
            </w:r>
          </w:p>
          <w:p w:rsidR="00003761" w:rsidRPr="00B54032" w:rsidRDefault="00003761" w:rsidP="00B540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3761" w:rsidRPr="004B1253" w:rsidRDefault="00003761" w:rsidP="004B1253">
      <w:pPr>
        <w:jc w:val="center"/>
        <w:rPr>
          <w:b/>
          <w:sz w:val="28"/>
          <w:szCs w:val="28"/>
        </w:rPr>
      </w:pPr>
      <w:r w:rsidRPr="004B1253">
        <w:rPr>
          <w:b/>
          <w:sz w:val="28"/>
          <w:szCs w:val="28"/>
        </w:rPr>
        <w:t>.§</w:t>
      </w:r>
    </w:p>
    <w:p w:rsidR="004F5CB7" w:rsidRPr="000227E8" w:rsidRDefault="00003761" w:rsidP="004B1253">
      <w:pPr>
        <w:jc w:val="center"/>
        <w:rPr>
          <w:b/>
          <w:sz w:val="26"/>
          <w:szCs w:val="26"/>
        </w:rPr>
      </w:pPr>
      <w:r w:rsidRPr="000227E8">
        <w:rPr>
          <w:b/>
          <w:sz w:val="26"/>
          <w:szCs w:val="26"/>
        </w:rPr>
        <w:t xml:space="preserve">Informatīvais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0227E8">
          <w:rPr>
            <w:b/>
            <w:sz w:val="26"/>
            <w:szCs w:val="26"/>
          </w:rPr>
          <w:t>ziņojums</w:t>
        </w:r>
      </w:smartTag>
      <w:r w:rsidRPr="000227E8">
        <w:rPr>
          <w:b/>
          <w:sz w:val="26"/>
          <w:szCs w:val="26"/>
        </w:rPr>
        <w:t xml:space="preserve"> par hipotekārās kreditēšanas tiesiskā regulējuma </w:t>
      </w:r>
      <w:r w:rsidR="00AF53B5" w:rsidRPr="000227E8">
        <w:rPr>
          <w:b/>
          <w:sz w:val="26"/>
          <w:szCs w:val="26"/>
        </w:rPr>
        <w:t>nepilnību izvērtējumu un priekšlikumiem tā pilnveidošanai</w:t>
      </w:r>
    </w:p>
    <w:p w:rsidR="004B1253" w:rsidRPr="000227E8" w:rsidRDefault="004B1253" w:rsidP="00003761">
      <w:pPr>
        <w:jc w:val="center"/>
        <w:rPr>
          <w:b/>
          <w:sz w:val="26"/>
          <w:szCs w:val="26"/>
        </w:rPr>
      </w:pPr>
    </w:p>
    <w:p w:rsidR="00003761" w:rsidRPr="000227E8" w:rsidRDefault="00003761" w:rsidP="00B54032">
      <w:pPr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  <w:r w:rsidRPr="000227E8">
        <w:rPr>
          <w:sz w:val="26"/>
          <w:szCs w:val="26"/>
        </w:rPr>
        <w:t>1. Pieņemt zināšanai tieslietu ministra iesniegto informatīvo ziņojumu.</w:t>
      </w:r>
    </w:p>
    <w:p w:rsidR="004B1253" w:rsidRPr="000227E8" w:rsidRDefault="004B1253" w:rsidP="00B54032">
      <w:pPr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</w:p>
    <w:p w:rsidR="00A65F95" w:rsidRPr="000227E8" w:rsidRDefault="00D93A57" w:rsidP="004F5CB7">
      <w:pPr>
        <w:ind w:firstLine="720"/>
        <w:jc w:val="both"/>
        <w:outlineLvl w:val="2"/>
        <w:rPr>
          <w:sz w:val="26"/>
          <w:szCs w:val="26"/>
        </w:rPr>
      </w:pPr>
      <w:r w:rsidRPr="000227E8">
        <w:rPr>
          <w:sz w:val="26"/>
          <w:szCs w:val="26"/>
        </w:rPr>
        <w:t>2</w:t>
      </w:r>
      <w:r w:rsidR="001B6858" w:rsidRPr="000227E8">
        <w:rPr>
          <w:sz w:val="26"/>
          <w:szCs w:val="26"/>
        </w:rPr>
        <w:t xml:space="preserve">. Ekonomikas ministrijai </w:t>
      </w:r>
      <w:r w:rsidRPr="000227E8">
        <w:rPr>
          <w:sz w:val="26"/>
          <w:szCs w:val="26"/>
        </w:rPr>
        <w:t xml:space="preserve">sadarbībā ar Tieslietu ministriju izstrādāt </w:t>
      </w:r>
      <w:r w:rsidR="00CE12B1" w:rsidRPr="000227E8">
        <w:rPr>
          <w:sz w:val="26"/>
          <w:szCs w:val="26"/>
        </w:rPr>
        <w:t>patērētāju</w:t>
      </w:r>
      <w:r w:rsidR="00CE12B1" w:rsidRPr="000227E8">
        <w:rPr>
          <w:b/>
          <w:sz w:val="26"/>
          <w:szCs w:val="26"/>
        </w:rPr>
        <w:t xml:space="preserve"> </w:t>
      </w:r>
      <w:r w:rsidRPr="000227E8">
        <w:rPr>
          <w:sz w:val="26"/>
          <w:szCs w:val="26"/>
        </w:rPr>
        <w:t xml:space="preserve">hipotekārās kreditēšanas tiesisko regulējumu un to </w:t>
      </w:r>
      <w:r w:rsidR="001B6858" w:rsidRPr="000227E8">
        <w:rPr>
          <w:sz w:val="26"/>
          <w:szCs w:val="26"/>
        </w:rPr>
        <w:t>iekļaut likumprojektā par patērētāju kreditēšanu</w:t>
      </w:r>
      <w:r w:rsidRPr="000227E8">
        <w:rPr>
          <w:sz w:val="26"/>
          <w:szCs w:val="26"/>
        </w:rPr>
        <w:t xml:space="preserve"> (Ministru kabineta 2011.gada 29.marta </w:t>
      </w:r>
      <w:proofErr w:type="spellStart"/>
      <w:r w:rsidRPr="000227E8">
        <w:rPr>
          <w:sz w:val="26"/>
          <w:szCs w:val="26"/>
        </w:rPr>
        <w:t>protokollēmuma</w:t>
      </w:r>
      <w:proofErr w:type="spellEnd"/>
      <w:r w:rsidRPr="000227E8">
        <w:rPr>
          <w:sz w:val="26"/>
          <w:szCs w:val="26"/>
        </w:rPr>
        <w:t xml:space="preserve"> Nr.20, 41.§ 4.punkts)</w:t>
      </w:r>
      <w:r w:rsidR="00AF53B5" w:rsidRPr="000227E8">
        <w:rPr>
          <w:sz w:val="26"/>
          <w:szCs w:val="26"/>
        </w:rPr>
        <w:t xml:space="preserve"> pēc Eiropas Parlamenta un Padomes direktīvas par kredītlīgumiem saistībā ar nekustamo īpašumu pieņemšanas</w:t>
      </w:r>
      <w:r w:rsidRPr="000227E8">
        <w:rPr>
          <w:sz w:val="26"/>
          <w:szCs w:val="26"/>
        </w:rPr>
        <w:t xml:space="preserve">. </w:t>
      </w:r>
    </w:p>
    <w:p w:rsidR="00A65F95" w:rsidRPr="000227E8" w:rsidRDefault="00A65F95" w:rsidP="004F5CB7">
      <w:pPr>
        <w:ind w:firstLine="720"/>
        <w:jc w:val="both"/>
        <w:outlineLvl w:val="2"/>
        <w:rPr>
          <w:sz w:val="26"/>
          <w:szCs w:val="26"/>
        </w:rPr>
      </w:pPr>
    </w:p>
    <w:p w:rsidR="00003761" w:rsidRPr="000227E8" w:rsidRDefault="00CE12B1" w:rsidP="004F5CB7">
      <w:pPr>
        <w:ind w:firstLine="720"/>
        <w:jc w:val="both"/>
        <w:outlineLvl w:val="2"/>
        <w:rPr>
          <w:sz w:val="26"/>
          <w:szCs w:val="26"/>
        </w:rPr>
      </w:pPr>
      <w:r w:rsidRPr="000227E8">
        <w:rPr>
          <w:sz w:val="26"/>
          <w:szCs w:val="26"/>
        </w:rPr>
        <w:t>3</w:t>
      </w:r>
      <w:r w:rsidR="00003761" w:rsidRPr="000227E8">
        <w:rPr>
          <w:sz w:val="26"/>
          <w:szCs w:val="26"/>
        </w:rPr>
        <w:t xml:space="preserve">. </w:t>
      </w:r>
      <w:r w:rsidRPr="000227E8">
        <w:rPr>
          <w:sz w:val="26"/>
          <w:szCs w:val="26"/>
        </w:rPr>
        <w:t>Tieslietu</w:t>
      </w:r>
      <w:r w:rsidR="001B6858" w:rsidRPr="000227E8">
        <w:rPr>
          <w:sz w:val="26"/>
          <w:szCs w:val="26"/>
        </w:rPr>
        <w:t xml:space="preserve"> ministrijai sadarbībā ar </w:t>
      </w:r>
      <w:r w:rsidRPr="000227E8">
        <w:rPr>
          <w:sz w:val="26"/>
          <w:szCs w:val="26"/>
        </w:rPr>
        <w:t>Ekonomikas</w:t>
      </w:r>
      <w:r w:rsidR="001B6858" w:rsidRPr="000227E8">
        <w:rPr>
          <w:b/>
          <w:sz w:val="26"/>
          <w:szCs w:val="26"/>
        </w:rPr>
        <w:t xml:space="preserve"> </w:t>
      </w:r>
      <w:r w:rsidR="001B6858" w:rsidRPr="000227E8">
        <w:rPr>
          <w:sz w:val="26"/>
          <w:szCs w:val="26"/>
        </w:rPr>
        <w:t xml:space="preserve">ministriju un Finanšu ministriju izstrādāt un </w:t>
      </w:r>
      <w:r w:rsidRPr="000227E8">
        <w:rPr>
          <w:sz w:val="26"/>
          <w:szCs w:val="26"/>
        </w:rPr>
        <w:t>tieslietu</w:t>
      </w:r>
      <w:r w:rsidR="001B6858" w:rsidRPr="000227E8">
        <w:rPr>
          <w:sz w:val="26"/>
          <w:szCs w:val="26"/>
        </w:rPr>
        <w:t xml:space="preserve"> ministram noteiktajā kārtībā līdz 201</w:t>
      </w:r>
      <w:r w:rsidRPr="000227E8">
        <w:rPr>
          <w:sz w:val="26"/>
          <w:szCs w:val="26"/>
        </w:rPr>
        <w:t>4</w:t>
      </w:r>
      <w:r w:rsidR="001B6858" w:rsidRPr="000227E8">
        <w:rPr>
          <w:sz w:val="26"/>
          <w:szCs w:val="26"/>
        </w:rPr>
        <w:t>. gada 1. </w:t>
      </w:r>
      <w:r w:rsidRPr="000227E8">
        <w:rPr>
          <w:sz w:val="26"/>
          <w:szCs w:val="26"/>
        </w:rPr>
        <w:t>janvārim</w:t>
      </w:r>
      <w:r w:rsidRPr="000227E8">
        <w:rPr>
          <w:b/>
          <w:sz w:val="26"/>
          <w:szCs w:val="26"/>
        </w:rPr>
        <w:t xml:space="preserve"> </w:t>
      </w:r>
      <w:r w:rsidRPr="000227E8">
        <w:rPr>
          <w:sz w:val="26"/>
          <w:szCs w:val="26"/>
        </w:rPr>
        <w:t>i</w:t>
      </w:r>
      <w:r w:rsidR="003F0448" w:rsidRPr="000227E8">
        <w:rPr>
          <w:sz w:val="26"/>
          <w:szCs w:val="26"/>
        </w:rPr>
        <w:t>esniegt</w:t>
      </w:r>
      <w:r w:rsidR="001B6858" w:rsidRPr="000227E8">
        <w:rPr>
          <w:sz w:val="26"/>
          <w:szCs w:val="26"/>
        </w:rPr>
        <w:t xml:space="preserve"> </w:t>
      </w:r>
      <w:r w:rsidRPr="000227E8">
        <w:rPr>
          <w:sz w:val="26"/>
          <w:szCs w:val="26"/>
        </w:rPr>
        <w:t>i</w:t>
      </w:r>
      <w:r w:rsidR="00AF53B5" w:rsidRPr="000227E8">
        <w:rPr>
          <w:sz w:val="26"/>
          <w:szCs w:val="26"/>
        </w:rPr>
        <w:t>nformatīvajā ziņojumā paredzēto</w:t>
      </w:r>
      <w:r w:rsidRPr="000227E8">
        <w:rPr>
          <w:b/>
          <w:sz w:val="26"/>
          <w:szCs w:val="26"/>
        </w:rPr>
        <w:t xml:space="preserve"> </w:t>
      </w:r>
      <w:r w:rsidRPr="000227E8">
        <w:rPr>
          <w:sz w:val="26"/>
          <w:szCs w:val="26"/>
        </w:rPr>
        <w:t xml:space="preserve">grozījumu </w:t>
      </w:r>
      <w:r w:rsidR="00AF53B5" w:rsidRPr="000227E8">
        <w:rPr>
          <w:sz w:val="26"/>
          <w:szCs w:val="26"/>
        </w:rPr>
        <w:t>likumā „Par reglamentētajām profesijām un profesionālās kvalifikācijas atzīšanu”</w:t>
      </w:r>
      <w:r w:rsidRPr="000227E8">
        <w:rPr>
          <w:sz w:val="26"/>
          <w:szCs w:val="26"/>
        </w:rPr>
        <w:t xml:space="preserve"> </w:t>
      </w:r>
      <w:r w:rsidR="004F5CB7" w:rsidRPr="000227E8">
        <w:rPr>
          <w:sz w:val="26"/>
          <w:szCs w:val="26"/>
        </w:rPr>
        <w:t>izskatīšanai Ministru kabinetā.</w:t>
      </w:r>
    </w:p>
    <w:p w:rsidR="004B1253" w:rsidRPr="000227E8" w:rsidRDefault="004B1253" w:rsidP="004F5CB7">
      <w:pPr>
        <w:ind w:firstLine="720"/>
        <w:jc w:val="both"/>
        <w:outlineLvl w:val="2"/>
        <w:rPr>
          <w:sz w:val="26"/>
          <w:szCs w:val="26"/>
        </w:rPr>
      </w:pPr>
    </w:p>
    <w:p w:rsidR="003F0448" w:rsidRPr="000227E8" w:rsidRDefault="00A65F95" w:rsidP="004F5CB7">
      <w:pPr>
        <w:ind w:firstLine="720"/>
        <w:jc w:val="both"/>
        <w:outlineLvl w:val="2"/>
        <w:rPr>
          <w:sz w:val="26"/>
          <w:szCs w:val="26"/>
        </w:rPr>
      </w:pPr>
      <w:r w:rsidRPr="000227E8">
        <w:rPr>
          <w:bCs/>
          <w:sz w:val="26"/>
          <w:szCs w:val="26"/>
        </w:rPr>
        <w:t>4</w:t>
      </w:r>
      <w:r w:rsidR="00003761" w:rsidRPr="000227E8">
        <w:rPr>
          <w:bCs/>
          <w:sz w:val="26"/>
          <w:szCs w:val="26"/>
        </w:rPr>
        <w:t xml:space="preserve">. </w:t>
      </w:r>
      <w:r w:rsidR="00003761" w:rsidRPr="000227E8">
        <w:rPr>
          <w:sz w:val="26"/>
          <w:szCs w:val="26"/>
        </w:rPr>
        <w:t>Finanšu ministrij</w:t>
      </w:r>
      <w:r w:rsidR="003F0448" w:rsidRPr="000227E8">
        <w:rPr>
          <w:sz w:val="26"/>
          <w:szCs w:val="26"/>
        </w:rPr>
        <w:t>ai</w:t>
      </w:r>
      <w:r w:rsidR="00003761" w:rsidRPr="000227E8">
        <w:rPr>
          <w:sz w:val="26"/>
          <w:szCs w:val="26"/>
        </w:rPr>
        <w:t xml:space="preserve"> sagatavot</w:t>
      </w:r>
      <w:r w:rsidR="003F0448" w:rsidRPr="000227E8">
        <w:rPr>
          <w:sz w:val="26"/>
          <w:szCs w:val="26"/>
        </w:rPr>
        <w:t xml:space="preserve"> un finanšu ministram līdz 2013.gada 1.</w:t>
      </w:r>
      <w:r w:rsidR="0044040B" w:rsidRPr="000227E8">
        <w:rPr>
          <w:sz w:val="26"/>
          <w:szCs w:val="26"/>
        </w:rPr>
        <w:t>jūnijam</w:t>
      </w:r>
      <w:r w:rsidR="00A237DA" w:rsidRPr="000227E8">
        <w:rPr>
          <w:sz w:val="26"/>
          <w:szCs w:val="26"/>
        </w:rPr>
        <w:t xml:space="preserve"> </w:t>
      </w:r>
      <w:r w:rsidR="003F0448" w:rsidRPr="000227E8">
        <w:rPr>
          <w:sz w:val="26"/>
          <w:szCs w:val="26"/>
        </w:rPr>
        <w:t>iesniegt Saeimā priekšlikumus</w:t>
      </w:r>
      <w:r w:rsidR="00003761" w:rsidRPr="000227E8">
        <w:rPr>
          <w:sz w:val="26"/>
          <w:szCs w:val="26"/>
        </w:rPr>
        <w:t xml:space="preserve"> </w:t>
      </w:r>
      <w:r w:rsidR="003F0448" w:rsidRPr="000227E8">
        <w:rPr>
          <w:sz w:val="26"/>
          <w:szCs w:val="26"/>
        </w:rPr>
        <w:t xml:space="preserve">grozījumiem Kredītiestāžu likumā, kas paredz </w:t>
      </w:r>
      <w:r w:rsidR="00AF53B5" w:rsidRPr="000227E8">
        <w:rPr>
          <w:sz w:val="26"/>
          <w:szCs w:val="26"/>
        </w:rPr>
        <w:t>pienākumu kredītiestādei tās rīcībā esošās ziņas par kredītņēmēja veiktajiem maksājumiem saskaņā ar kredītlīgumu, maksājuma grafiku un atlikušo parādsaistību apjomu izpaust galv</w:t>
      </w:r>
      <w:r w:rsidR="00564864" w:rsidRPr="000227E8">
        <w:rPr>
          <w:sz w:val="26"/>
          <w:szCs w:val="26"/>
        </w:rPr>
        <w:t>iniekam</w:t>
      </w:r>
      <w:r w:rsidR="00AF53B5" w:rsidRPr="000227E8">
        <w:rPr>
          <w:sz w:val="26"/>
          <w:szCs w:val="26"/>
        </w:rPr>
        <w:t xml:space="preserve"> pēc pieprasījuma</w:t>
      </w:r>
      <w:r w:rsidR="003F0448" w:rsidRPr="000227E8">
        <w:rPr>
          <w:sz w:val="26"/>
          <w:szCs w:val="26"/>
        </w:rPr>
        <w:t xml:space="preserve">. </w:t>
      </w:r>
    </w:p>
    <w:p w:rsidR="004B1253" w:rsidRPr="000227E8" w:rsidRDefault="004B1253" w:rsidP="004F5CB7">
      <w:pPr>
        <w:ind w:firstLine="720"/>
        <w:jc w:val="both"/>
        <w:outlineLvl w:val="2"/>
        <w:rPr>
          <w:sz w:val="26"/>
          <w:szCs w:val="26"/>
        </w:rPr>
      </w:pPr>
    </w:p>
    <w:p w:rsidR="00003761" w:rsidRPr="000227E8" w:rsidRDefault="00A65F95" w:rsidP="004F5CB7">
      <w:pPr>
        <w:ind w:firstLine="720"/>
        <w:jc w:val="both"/>
        <w:outlineLvl w:val="2"/>
        <w:rPr>
          <w:rFonts w:eastAsia="Calibri"/>
          <w:color w:val="000000"/>
          <w:sz w:val="26"/>
          <w:szCs w:val="26"/>
          <w:lang w:eastAsia="en-US"/>
        </w:rPr>
      </w:pPr>
      <w:r w:rsidRPr="000227E8">
        <w:rPr>
          <w:rFonts w:eastAsia="Calibri"/>
          <w:color w:val="000000"/>
          <w:sz w:val="26"/>
          <w:szCs w:val="26"/>
          <w:lang w:eastAsia="en-US"/>
        </w:rPr>
        <w:t>5</w:t>
      </w:r>
      <w:r w:rsidR="00003761" w:rsidRPr="000227E8">
        <w:rPr>
          <w:rFonts w:eastAsia="Calibri"/>
          <w:color w:val="000000"/>
          <w:sz w:val="26"/>
          <w:szCs w:val="26"/>
          <w:lang w:eastAsia="en-US"/>
        </w:rPr>
        <w:t xml:space="preserve">. </w:t>
      </w:r>
      <w:r w:rsidR="003F0448" w:rsidRPr="000227E8">
        <w:rPr>
          <w:rFonts w:eastAsia="Calibri"/>
          <w:color w:val="000000"/>
          <w:sz w:val="26"/>
          <w:szCs w:val="26"/>
          <w:lang w:eastAsia="en-US"/>
        </w:rPr>
        <w:t>Ekonomikas ministrijai</w:t>
      </w:r>
      <w:r w:rsidR="00003761" w:rsidRPr="000227E8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3F0448" w:rsidRPr="000227E8">
        <w:rPr>
          <w:sz w:val="26"/>
          <w:szCs w:val="26"/>
        </w:rPr>
        <w:t xml:space="preserve">sadarbībā ar Tieslietu ministriju un Finanšu ministriju </w:t>
      </w:r>
      <w:r w:rsidR="00A237DA" w:rsidRPr="000227E8">
        <w:rPr>
          <w:sz w:val="26"/>
          <w:szCs w:val="26"/>
        </w:rPr>
        <w:t xml:space="preserve">izvērtēt nepieciešamību </w:t>
      </w:r>
      <w:r w:rsidR="003F0448" w:rsidRPr="000227E8">
        <w:rPr>
          <w:sz w:val="26"/>
          <w:szCs w:val="26"/>
        </w:rPr>
        <w:t xml:space="preserve">izstrādāt un ekonomikas ministram </w:t>
      </w:r>
      <w:r w:rsidR="00A237DA" w:rsidRPr="000227E8">
        <w:rPr>
          <w:sz w:val="26"/>
          <w:szCs w:val="26"/>
        </w:rPr>
        <w:t xml:space="preserve">nepieciešamības gadījumā </w:t>
      </w:r>
      <w:r w:rsidR="003F0448" w:rsidRPr="000227E8">
        <w:rPr>
          <w:sz w:val="26"/>
          <w:szCs w:val="26"/>
        </w:rPr>
        <w:t>līdz 201</w:t>
      </w:r>
      <w:r w:rsidR="0044040B" w:rsidRPr="000227E8">
        <w:rPr>
          <w:sz w:val="26"/>
          <w:szCs w:val="26"/>
        </w:rPr>
        <w:t>4</w:t>
      </w:r>
      <w:r w:rsidR="003F0448" w:rsidRPr="000227E8">
        <w:rPr>
          <w:sz w:val="26"/>
          <w:szCs w:val="26"/>
        </w:rPr>
        <w:t>. gada 1. </w:t>
      </w:r>
      <w:r w:rsidR="0044040B" w:rsidRPr="000227E8">
        <w:rPr>
          <w:sz w:val="26"/>
          <w:szCs w:val="26"/>
        </w:rPr>
        <w:t>janvārim</w:t>
      </w:r>
      <w:r w:rsidR="00A237DA" w:rsidRPr="000227E8">
        <w:rPr>
          <w:sz w:val="26"/>
          <w:szCs w:val="26"/>
        </w:rPr>
        <w:t xml:space="preserve"> noteiktajā kārtībā </w:t>
      </w:r>
      <w:r w:rsidR="003F0448" w:rsidRPr="000227E8">
        <w:rPr>
          <w:rFonts w:eastAsia="Calibri"/>
          <w:color w:val="000000"/>
          <w:sz w:val="26"/>
          <w:szCs w:val="26"/>
          <w:lang w:eastAsia="en-US"/>
        </w:rPr>
        <w:t>iesniegt</w:t>
      </w:r>
      <w:r w:rsidR="004F5CB7" w:rsidRPr="000227E8">
        <w:rPr>
          <w:rFonts w:eastAsia="Calibri"/>
          <w:color w:val="000000"/>
          <w:sz w:val="26"/>
          <w:szCs w:val="26"/>
          <w:lang w:eastAsia="en-US"/>
        </w:rPr>
        <w:t xml:space="preserve"> izskatīšanai Ministru kabinetā</w:t>
      </w:r>
      <w:r w:rsidR="0044040B" w:rsidRPr="000227E8"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  <w:r w:rsidR="0044040B" w:rsidRPr="000227E8">
        <w:rPr>
          <w:rFonts w:eastAsia="Calibri"/>
          <w:color w:val="000000"/>
          <w:sz w:val="26"/>
          <w:szCs w:val="26"/>
          <w:lang w:eastAsia="en-US"/>
        </w:rPr>
        <w:t>priekšlikumus</w:t>
      </w:r>
      <w:r w:rsidR="004F5CB7" w:rsidRPr="000227E8">
        <w:rPr>
          <w:rFonts w:eastAsia="Calibri"/>
          <w:color w:val="000000"/>
          <w:sz w:val="26"/>
          <w:szCs w:val="26"/>
          <w:lang w:eastAsia="en-US"/>
        </w:rPr>
        <w:t xml:space="preserve"> grozījum</w:t>
      </w:r>
      <w:r w:rsidR="0044040B" w:rsidRPr="000227E8">
        <w:rPr>
          <w:rFonts w:eastAsia="Calibri"/>
          <w:color w:val="000000"/>
          <w:sz w:val="26"/>
          <w:szCs w:val="26"/>
          <w:lang w:eastAsia="en-US"/>
        </w:rPr>
        <w:t>iem</w:t>
      </w:r>
      <w:r w:rsidR="004F5CB7" w:rsidRPr="000227E8">
        <w:rPr>
          <w:rFonts w:eastAsia="Calibri"/>
          <w:color w:val="000000"/>
          <w:sz w:val="26"/>
          <w:szCs w:val="26"/>
          <w:lang w:eastAsia="en-US"/>
        </w:rPr>
        <w:t xml:space="preserve"> Patērētāju tiesību aizsardzības likumā </w:t>
      </w:r>
      <w:r w:rsidR="0044040B" w:rsidRPr="000227E8">
        <w:rPr>
          <w:sz w:val="26"/>
          <w:szCs w:val="26"/>
        </w:rPr>
        <w:t>attiecībā uz</w:t>
      </w:r>
      <w:r w:rsidR="004F5CB7" w:rsidRPr="000227E8">
        <w:rPr>
          <w:sz w:val="26"/>
          <w:szCs w:val="26"/>
        </w:rPr>
        <w:t xml:space="preserve"> </w:t>
      </w:r>
      <w:r w:rsidR="0044040B" w:rsidRPr="000227E8">
        <w:rPr>
          <w:sz w:val="26"/>
          <w:szCs w:val="26"/>
        </w:rPr>
        <w:t>gadījumiem</w:t>
      </w:r>
      <w:r w:rsidR="004F5CB7" w:rsidRPr="000227E8">
        <w:rPr>
          <w:sz w:val="26"/>
          <w:szCs w:val="26"/>
        </w:rPr>
        <w:t xml:space="preserve">, kad kredīta devējam nav tiesību </w:t>
      </w:r>
      <w:r w:rsidR="00AF53B5" w:rsidRPr="000227E8">
        <w:rPr>
          <w:sz w:val="26"/>
          <w:szCs w:val="26"/>
        </w:rPr>
        <w:t>papildus</w:t>
      </w:r>
      <w:r w:rsidR="004F5CB7" w:rsidRPr="000227E8">
        <w:rPr>
          <w:sz w:val="26"/>
          <w:szCs w:val="26"/>
        </w:rPr>
        <w:t xml:space="preserve"> nekustamā īpašuma hipotēkai pieprasīt no patērētāja kā kredītņēmēja </w:t>
      </w:r>
      <w:r w:rsidR="00AF53B5" w:rsidRPr="000227E8">
        <w:rPr>
          <w:sz w:val="26"/>
          <w:szCs w:val="26"/>
        </w:rPr>
        <w:t>citus</w:t>
      </w:r>
      <w:r w:rsidR="00AF53B5" w:rsidRPr="000227E8">
        <w:rPr>
          <w:b/>
          <w:sz w:val="26"/>
          <w:szCs w:val="26"/>
        </w:rPr>
        <w:t xml:space="preserve"> </w:t>
      </w:r>
      <w:r w:rsidR="004F5CB7" w:rsidRPr="000227E8">
        <w:rPr>
          <w:sz w:val="26"/>
          <w:szCs w:val="26"/>
        </w:rPr>
        <w:t>saistību izpildes nodrošinājumus.</w:t>
      </w:r>
    </w:p>
    <w:p w:rsidR="00003761" w:rsidRPr="004B1253" w:rsidRDefault="00003761" w:rsidP="00003761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003761" w:rsidRPr="000227E8" w:rsidTr="00C26552">
        <w:tc>
          <w:tcPr>
            <w:tcW w:w="4643" w:type="dxa"/>
          </w:tcPr>
          <w:p w:rsidR="00003761" w:rsidRPr="000227E8" w:rsidRDefault="00003761" w:rsidP="00C26552">
            <w:pPr>
              <w:jc w:val="both"/>
              <w:rPr>
                <w:sz w:val="26"/>
                <w:szCs w:val="26"/>
              </w:rPr>
            </w:pPr>
            <w:r w:rsidRPr="000227E8">
              <w:rPr>
                <w:sz w:val="26"/>
                <w:szCs w:val="26"/>
              </w:rPr>
              <w:t>Ministru prezidents</w:t>
            </w:r>
          </w:p>
          <w:p w:rsidR="00003761" w:rsidRPr="000227E8" w:rsidRDefault="00003761" w:rsidP="00C265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003761" w:rsidRPr="000227E8" w:rsidRDefault="00003761" w:rsidP="00C26552">
            <w:pPr>
              <w:jc w:val="right"/>
              <w:rPr>
                <w:sz w:val="26"/>
                <w:szCs w:val="26"/>
              </w:rPr>
            </w:pPr>
            <w:proofErr w:type="spellStart"/>
            <w:r w:rsidRPr="000227E8">
              <w:rPr>
                <w:sz w:val="26"/>
                <w:szCs w:val="26"/>
              </w:rPr>
              <w:t>V.Dombrovskis</w:t>
            </w:r>
            <w:proofErr w:type="spellEnd"/>
          </w:p>
        </w:tc>
      </w:tr>
      <w:tr w:rsidR="00003761" w:rsidRPr="000227E8" w:rsidTr="00C26552">
        <w:tc>
          <w:tcPr>
            <w:tcW w:w="4643" w:type="dxa"/>
          </w:tcPr>
          <w:p w:rsidR="00003761" w:rsidRPr="000227E8" w:rsidRDefault="00003761" w:rsidP="00C26552">
            <w:pPr>
              <w:jc w:val="both"/>
              <w:rPr>
                <w:sz w:val="26"/>
                <w:szCs w:val="26"/>
              </w:rPr>
            </w:pPr>
            <w:r w:rsidRPr="000227E8">
              <w:rPr>
                <w:sz w:val="26"/>
                <w:szCs w:val="26"/>
              </w:rPr>
              <w:t>Valsts kancelejas direktore</w:t>
            </w:r>
          </w:p>
        </w:tc>
        <w:tc>
          <w:tcPr>
            <w:tcW w:w="4644" w:type="dxa"/>
          </w:tcPr>
          <w:p w:rsidR="00003761" w:rsidRPr="000227E8" w:rsidRDefault="00003761" w:rsidP="00C26552">
            <w:pPr>
              <w:jc w:val="right"/>
              <w:rPr>
                <w:sz w:val="26"/>
                <w:szCs w:val="26"/>
              </w:rPr>
            </w:pPr>
            <w:r w:rsidRPr="000227E8">
              <w:rPr>
                <w:sz w:val="26"/>
                <w:szCs w:val="26"/>
              </w:rPr>
              <w:t>E.Dreimane</w:t>
            </w:r>
          </w:p>
        </w:tc>
      </w:tr>
    </w:tbl>
    <w:p w:rsidR="0026070A" w:rsidRDefault="0026070A">
      <w:pPr>
        <w:rPr>
          <w:sz w:val="28"/>
          <w:szCs w:val="28"/>
        </w:rPr>
      </w:pPr>
    </w:p>
    <w:p w:rsidR="000227E8" w:rsidRPr="00FD135E" w:rsidRDefault="00FD135E">
      <w:pPr>
        <w:rPr>
          <w:sz w:val="26"/>
          <w:szCs w:val="26"/>
        </w:rPr>
      </w:pPr>
      <w:r>
        <w:rPr>
          <w:sz w:val="26"/>
          <w:szCs w:val="26"/>
        </w:rPr>
        <w:t>Tieslietu ministrs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C17CE8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J.Bordāns</w:t>
      </w:r>
      <w:proofErr w:type="spellEnd"/>
    </w:p>
    <w:p w:rsidR="00FD135E" w:rsidRDefault="00FD135E" w:rsidP="004F5CB7">
      <w:pPr>
        <w:pStyle w:val="naisf"/>
        <w:spacing w:before="0" w:beforeAutospacing="0" w:after="0" w:afterAutospacing="0"/>
        <w:jc w:val="both"/>
        <w:rPr>
          <w:sz w:val="22"/>
          <w:szCs w:val="22"/>
          <w:lang w:val="lv-LV"/>
        </w:rPr>
      </w:pPr>
    </w:p>
    <w:p w:rsidR="004F5CB7" w:rsidRPr="00B54032" w:rsidRDefault="00FD135E" w:rsidP="004F5CB7">
      <w:pPr>
        <w:pStyle w:val="naisf"/>
        <w:spacing w:before="0" w:beforeAutospacing="0" w:after="0" w:afterAutospacing="0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15</w:t>
      </w:r>
      <w:r w:rsidR="004F5CB7" w:rsidRPr="00B54032">
        <w:rPr>
          <w:sz w:val="22"/>
          <w:szCs w:val="22"/>
          <w:lang w:val="lv-LV"/>
        </w:rPr>
        <w:t>.</w:t>
      </w:r>
      <w:r w:rsidR="00A237DA">
        <w:rPr>
          <w:sz w:val="22"/>
          <w:szCs w:val="22"/>
          <w:lang w:val="lv-LV"/>
        </w:rPr>
        <w:t>0</w:t>
      </w:r>
      <w:r w:rsidR="000227E8">
        <w:rPr>
          <w:sz w:val="22"/>
          <w:szCs w:val="22"/>
          <w:lang w:val="lv-LV"/>
        </w:rPr>
        <w:t>4</w:t>
      </w:r>
      <w:r w:rsidR="00F5222D" w:rsidRPr="00B54032">
        <w:rPr>
          <w:sz w:val="22"/>
          <w:szCs w:val="22"/>
          <w:lang w:val="lv-LV"/>
        </w:rPr>
        <w:t>.</w:t>
      </w:r>
      <w:r w:rsidR="000227E8">
        <w:rPr>
          <w:sz w:val="22"/>
          <w:szCs w:val="22"/>
          <w:lang w:val="lv-LV"/>
        </w:rPr>
        <w:t>20</w:t>
      </w:r>
      <w:r w:rsidR="00A237DA" w:rsidRPr="00B54032">
        <w:rPr>
          <w:sz w:val="22"/>
          <w:szCs w:val="22"/>
          <w:lang w:val="lv-LV"/>
        </w:rPr>
        <w:t>1</w:t>
      </w:r>
      <w:r w:rsidR="00A237DA">
        <w:rPr>
          <w:sz w:val="22"/>
          <w:szCs w:val="22"/>
          <w:lang w:val="lv-LV"/>
        </w:rPr>
        <w:t>3</w:t>
      </w:r>
      <w:r w:rsidR="004F5CB7" w:rsidRPr="00B54032">
        <w:rPr>
          <w:sz w:val="22"/>
          <w:szCs w:val="22"/>
          <w:lang w:val="lv-LV"/>
        </w:rPr>
        <w:t xml:space="preserve">. </w:t>
      </w:r>
      <w:r>
        <w:rPr>
          <w:sz w:val="22"/>
          <w:szCs w:val="22"/>
          <w:lang w:val="lv-LV"/>
        </w:rPr>
        <w:t>10:00</w:t>
      </w:r>
    </w:p>
    <w:p w:rsidR="004F5CB7" w:rsidRPr="00B54032" w:rsidRDefault="00AF53B5" w:rsidP="004F5CB7">
      <w:pPr>
        <w:jc w:val="both"/>
        <w:rPr>
          <w:sz w:val="22"/>
          <w:szCs w:val="22"/>
        </w:rPr>
      </w:pPr>
      <w:r>
        <w:rPr>
          <w:sz w:val="22"/>
          <w:szCs w:val="22"/>
        </w:rPr>
        <w:t>22</w:t>
      </w:r>
      <w:r w:rsidR="00FD135E">
        <w:rPr>
          <w:sz w:val="22"/>
          <w:szCs w:val="22"/>
        </w:rPr>
        <w:t>5</w:t>
      </w:r>
    </w:p>
    <w:p w:rsidR="004F5CB7" w:rsidRPr="00B54032" w:rsidRDefault="004F5CB7" w:rsidP="004F5CB7">
      <w:pPr>
        <w:jc w:val="both"/>
        <w:rPr>
          <w:sz w:val="22"/>
          <w:szCs w:val="22"/>
        </w:rPr>
      </w:pPr>
      <w:proofErr w:type="spellStart"/>
      <w:r w:rsidRPr="00B54032">
        <w:rPr>
          <w:sz w:val="22"/>
          <w:szCs w:val="22"/>
        </w:rPr>
        <w:t>S.Rāgs</w:t>
      </w:r>
      <w:proofErr w:type="spellEnd"/>
    </w:p>
    <w:p w:rsidR="004F5CB7" w:rsidRPr="00B54032" w:rsidRDefault="004F5CB7" w:rsidP="00801043">
      <w:pPr>
        <w:jc w:val="both"/>
        <w:rPr>
          <w:sz w:val="22"/>
          <w:szCs w:val="22"/>
        </w:rPr>
      </w:pPr>
      <w:r w:rsidRPr="00B54032">
        <w:rPr>
          <w:sz w:val="22"/>
          <w:szCs w:val="22"/>
        </w:rPr>
        <w:t>67036974, Sandris.Rags@tm.gov.lv</w:t>
      </w:r>
      <w:bookmarkStart w:id="1" w:name="bkm827"/>
      <w:bookmarkStart w:id="2" w:name="p2180"/>
      <w:bookmarkEnd w:id="1"/>
      <w:bookmarkEnd w:id="2"/>
    </w:p>
    <w:sectPr w:rsidR="004F5CB7" w:rsidRPr="00B54032" w:rsidSect="004F5CB7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5AF" w:rsidRDefault="005545AF" w:rsidP="00801043">
      <w:r>
        <w:separator/>
      </w:r>
    </w:p>
  </w:endnote>
  <w:endnote w:type="continuationSeparator" w:id="0">
    <w:p w:rsidR="005545AF" w:rsidRDefault="005545AF" w:rsidP="0080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B5" w:rsidRPr="00B54032" w:rsidRDefault="00AF53B5" w:rsidP="00AF53B5">
    <w:pPr>
      <w:pStyle w:val="Nosaukums"/>
      <w:jc w:val="both"/>
      <w:rPr>
        <w:b w:val="0"/>
        <w:sz w:val="22"/>
        <w:szCs w:val="22"/>
      </w:rPr>
    </w:pPr>
    <w:r w:rsidRPr="00B54032">
      <w:rPr>
        <w:b w:val="0"/>
        <w:sz w:val="22"/>
        <w:szCs w:val="22"/>
      </w:rPr>
      <w:t>TMProt_</w:t>
    </w:r>
    <w:r>
      <w:rPr>
        <w:b w:val="0"/>
        <w:sz w:val="22"/>
        <w:szCs w:val="22"/>
      </w:rPr>
      <w:t>180313</w:t>
    </w:r>
    <w:r w:rsidRPr="00B54032">
      <w:rPr>
        <w:b w:val="0"/>
        <w:sz w:val="22"/>
        <w:szCs w:val="22"/>
      </w:rPr>
      <w:t>_</w:t>
    </w:r>
    <w:r>
      <w:rPr>
        <w:b w:val="0"/>
        <w:sz w:val="22"/>
        <w:szCs w:val="22"/>
      </w:rPr>
      <w:t>VSS-1121</w:t>
    </w:r>
    <w:r w:rsidRPr="00B54032">
      <w:rPr>
        <w:b w:val="0"/>
        <w:sz w:val="22"/>
        <w:szCs w:val="22"/>
      </w:rPr>
      <w:t xml:space="preserve">; Ministru kabineta sēdes </w:t>
    </w:r>
    <w:proofErr w:type="spellStart"/>
    <w:r w:rsidRPr="00B54032">
      <w:rPr>
        <w:b w:val="0"/>
        <w:sz w:val="22"/>
        <w:szCs w:val="22"/>
      </w:rPr>
      <w:t>protokollēmuma</w:t>
    </w:r>
    <w:proofErr w:type="spellEnd"/>
    <w:r w:rsidRPr="00B54032">
      <w:rPr>
        <w:b w:val="0"/>
        <w:sz w:val="22"/>
        <w:szCs w:val="22"/>
      </w:rPr>
      <w:t xml:space="preserve"> projekts „Informatīvais ziņojums par hipotekārās kreditēšanas tiesiskā regulējuma </w:t>
    </w:r>
    <w:r>
      <w:rPr>
        <w:b w:val="0"/>
        <w:sz w:val="22"/>
        <w:szCs w:val="22"/>
      </w:rPr>
      <w:t>nepilnību izvērtējumu un priekšlikumiem tā pilnveidošanai</w:t>
    </w:r>
    <w:r w:rsidRPr="00B54032">
      <w:rPr>
        <w:b w:val="0"/>
        <w:sz w:val="22"/>
        <w:szCs w:val="22"/>
      </w:rPr>
      <w:t>”</w:t>
    </w:r>
  </w:p>
  <w:p w:rsidR="003D29A1" w:rsidRPr="00AF53B5" w:rsidRDefault="00F62210" w:rsidP="00AF53B5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A1" w:rsidRPr="00B54032" w:rsidRDefault="00801043" w:rsidP="00094296">
    <w:pPr>
      <w:pStyle w:val="Nosaukums"/>
      <w:jc w:val="both"/>
      <w:rPr>
        <w:b w:val="0"/>
        <w:sz w:val="22"/>
        <w:szCs w:val="22"/>
      </w:rPr>
    </w:pPr>
    <w:r w:rsidRPr="00B54032">
      <w:rPr>
        <w:b w:val="0"/>
        <w:sz w:val="22"/>
        <w:szCs w:val="22"/>
      </w:rPr>
      <w:t>TMProt_</w:t>
    </w:r>
    <w:r w:rsidR="00FD135E">
      <w:rPr>
        <w:b w:val="0"/>
        <w:sz w:val="22"/>
        <w:szCs w:val="22"/>
      </w:rPr>
      <w:t>15</w:t>
    </w:r>
    <w:r w:rsidR="00A237DA">
      <w:rPr>
        <w:b w:val="0"/>
        <w:sz w:val="22"/>
        <w:szCs w:val="22"/>
      </w:rPr>
      <w:t>0</w:t>
    </w:r>
    <w:r w:rsidR="000227E8">
      <w:rPr>
        <w:b w:val="0"/>
        <w:sz w:val="22"/>
        <w:szCs w:val="22"/>
      </w:rPr>
      <w:t>4</w:t>
    </w:r>
    <w:r w:rsidR="00A237DA">
      <w:rPr>
        <w:b w:val="0"/>
        <w:sz w:val="22"/>
        <w:szCs w:val="22"/>
      </w:rPr>
      <w:t>13</w:t>
    </w:r>
    <w:r w:rsidRPr="00B54032">
      <w:rPr>
        <w:b w:val="0"/>
        <w:sz w:val="22"/>
        <w:szCs w:val="22"/>
      </w:rPr>
      <w:t>_</w:t>
    </w:r>
    <w:r w:rsidR="00A237DA">
      <w:rPr>
        <w:b w:val="0"/>
        <w:sz w:val="22"/>
        <w:szCs w:val="22"/>
      </w:rPr>
      <w:t>VSS-1121</w:t>
    </w:r>
    <w:r w:rsidR="00C972FD" w:rsidRPr="00B54032">
      <w:rPr>
        <w:b w:val="0"/>
        <w:sz w:val="22"/>
        <w:szCs w:val="22"/>
      </w:rPr>
      <w:t xml:space="preserve">; </w:t>
    </w:r>
    <w:r w:rsidRPr="00B54032">
      <w:rPr>
        <w:b w:val="0"/>
        <w:sz w:val="22"/>
        <w:szCs w:val="22"/>
      </w:rPr>
      <w:t xml:space="preserve">Ministru kabineta sēdes </w:t>
    </w:r>
    <w:proofErr w:type="spellStart"/>
    <w:r w:rsidRPr="00B54032">
      <w:rPr>
        <w:b w:val="0"/>
        <w:sz w:val="22"/>
        <w:szCs w:val="22"/>
      </w:rPr>
      <w:t>protokollēmuma</w:t>
    </w:r>
    <w:proofErr w:type="spellEnd"/>
    <w:r w:rsidRPr="00B54032">
      <w:rPr>
        <w:b w:val="0"/>
        <w:sz w:val="22"/>
        <w:szCs w:val="22"/>
      </w:rPr>
      <w:t xml:space="preserve"> projekts „</w:t>
    </w:r>
    <w:r w:rsidR="00C972FD" w:rsidRPr="00B54032">
      <w:rPr>
        <w:b w:val="0"/>
        <w:sz w:val="22"/>
        <w:szCs w:val="22"/>
      </w:rPr>
      <w:t xml:space="preserve">Informatīvais ziņojums </w:t>
    </w:r>
    <w:r w:rsidRPr="00B54032">
      <w:rPr>
        <w:b w:val="0"/>
        <w:sz w:val="22"/>
        <w:szCs w:val="22"/>
      </w:rPr>
      <w:t xml:space="preserve">par hipotekārās kreditēšanas tiesiskā regulējuma </w:t>
    </w:r>
    <w:r w:rsidR="00AF53B5">
      <w:rPr>
        <w:b w:val="0"/>
        <w:sz w:val="22"/>
        <w:szCs w:val="22"/>
      </w:rPr>
      <w:t>nepilnību izvērtējumu un priekšlikumiem tā pilnveidošanai</w:t>
    </w:r>
    <w:r w:rsidRPr="00B54032">
      <w:rPr>
        <w:b w:val="0"/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5AF" w:rsidRDefault="005545AF" w:rsidP="00801043">
      <w:r>
        <w:separator/>
      </w:r>
    </w:p>
  </w:footnote>
  <w:footnote w:type="continuationSeparator" w:id="0">
    <w:p w:rsidR="005545AF" w:rsidRDefault="005545AF" w:rsidP="00801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A1" w:rsidRDefault="007F2A3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C972FD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972FD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3D29A1" w:rsidRDefault="00F62210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A1" w:rsidRDefault="007F2A3C">
    <w:pPr>
      <w:pStyle w:val="Galvene"/>
      <w:framePr w:wrap="around" w:vAnchor="text" w:hAnchor="margin" w:xAlign="center" w:y="1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 w:rsidR="00C972FD"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E51C71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3D29A1" w:rsidRDefault="00F6221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61"/>
    <w:rsid w:val="00003761"/>
    <w:rsid w:val="000172FF"/>
    <w:rsid w:val="000227E8"/>
    <w:rsid w:val="0007409E"/>
    <w:rsid w:val="001B6858"/>
    <w:rsid w:val="0026070A"/>
    <w:rsid w:val="003F0448"/>
    <w:rsid w:val="0044040B"/>
    <w:rsid w:val="00441CBC"/>
    <w:rsid w:val="004B1253"/>
    <w:rsid w:val="004F5CB7"/>
    <w:rsid w:val="004F6573"/>
    <w:rsid w:val="005545AF"/>
    <w:rsid w:val="00564864"/>
    <w:rsid w:val="006B2F3C"/>
    <w:rsid w:val="007E6492"/>
    <w:rsid w:val="007F2A3C"/>
    <w:rsid w:val="00801043"/>
    <w:rsid w:val="00934250"/>
    <w:rsid w:val="00976219"/>
    <w:rsid w:val="00A237DA"/>
    <w:rsid w:val="00A65F95"/>
    <w:rsid w:val="00A834FE"/>
    <w:rsid w:val="00AF53B5"/>
    <w:rsid w:val="00B54032"/>
    <w:rsid w:val="00C17CE8"/>
    <w:rsid w:val="00C972FD"/>
    <w:rsid w:val="00CE12B1"/>
    <w:rsid w:val="00D93A57"/>
    <w:rsid w:val="00E51C71"/>
    <w:rsid w:val="00F5222D"/>
    <w:rsid w:val="00F62210"/>
    <w:rsid w:val="00F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03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003761"/>
    <w:pPr>
      <w:jc w:val="center"/>
    </w:pPr>
    <w:rPr>
      <w:b/>
      <w:sz w:val="32"/>
    </w:rPr>
  </w:style>
  <w:style w:type="character" w:customStyle="1" w:styleId="NosaukumsRakstz">
    <w:name w:val="Nosaukums Rakstz."/>
    <w:basedOn w:val="Noklusjumarindkopasfonts"/>
    <w:link w:val="Nosaukums"/>
    <w:rsid w:val="00003761"/>
    <w:rPr>
      <w:rFonts w:ascii="Times New Roman" w:eastAsia="Times New Roman" w:hAnsi="Times New Roman" w:cs="Times New Roman"/>
      <w:b/>
      <w:sz w:val="32"/>
      <w:szCs w:val="20"/>
      <w:lang w:eastAsia="lv-LV"/>
    </w:rPr>
  </w:style>
  <w:style w:type="paragraph" w:styleId="Galvene">
    <w:name w:val="header"/>
    <w:basedOn w:val="Parasts"/>
    <w:link w:val="GalveneRakstz"/>
    <w:uiPriority w:val="99"/>
    <w:rsid w:val="0000376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0376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Pamatteksts">
    <w:name w:val="Body Text"/>
    <w:basedOn w:val="Parasts"/>
    <w:link w:val="PamattekstsRakstz"/>
    <w:rsid w:val="00003761"/>
    <w:pPr>
      <w:jc w:val="both"/>
    </w:pPr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003761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Lappusesnumurs">
    <w:name w:val="page number"/>
    <w:basedOn w:val="Noklusjumarindkopasfonts"/>
    <w:rsid w:val="00003761"/>
  </w:style>
  <w:style w:type="paragraph" w:styleId="Kjene">
    <w:name w:val="footer"/>
    <w:basedOn w:val="Parasts"/>
    <w:link w:val="KjeneRakstz"/>
    <w:rsid w:val="0000376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00376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0376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3761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f">
    <w:name w:val="naisf"/>
    <w:basedOn w:val="Parasts"/>
    <w:rsid w:val="004F5CB7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03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003761"/>
    <w:pPr>
      <w:jc w:val="center"/>
    </w:pPr>
    <w:rPr>
      <w:b/>
      <w:sz w:val="32"/>
    </w:rPr>
  </w:style>
  <w:style w:type="character" w:customStyle="1" w:styleId="NosaukumsRakstz">
    <w:name w:val="Nosaukums Rakstz."/>
    <w:basedOn w:val="Noklusjumarindkopasfonts"/>
    <w:link w:val="Nosaukums"/>
    <w:rsid w:val="00003761"/>
    <w:rPr>
      <w:rFonts w:ascii="Times New Roman" w:eastAsia="Times New Roman" w:hAnsi="Times New Roman" w:cs="Times New Roman"/>
      <w:b/>
      <w:sz w:val="32"/>
      <w:szCs w:val="20"/>
      <w:lang w:eastAsia="lv-LV"/>
    </w:rPr>
  </w:style>
  <w:style w:type="paragraph" w:styleId="Galvene">
    <w:name w:val="header"/>
    <w:basedOn w:val="Parasts"/>
    <w:link w:val="GalveneRakstz"/>
    <w:uiPriority w:val="99"/>
    <w:rsid w:val="0000376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0376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Pamatteksts">
    <w:name w:val="Body Text"/>
    <w:basedOn w:val="Parasts"/>
    <w:link w:val="PamattekstsRakstz"/>
    <w:rsid w:val="00003761"/>
    <w:pPr>
      <w:jc w:val="both"/>
    </w:pPr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003761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Lappusesnumurs">
    <w:name w:val="page number"/>
    <w:basedOn w:val="Noklusjumarindkopasfonts"/>
    <w:rsid w:val="00003761"/>
  </w:style>
  <w:style w:type="paragraph" w:styleId="Kjene">
    <w:name w:val="footer"/>
    <w:basedOn w:val="Parasts"/>
    <w:link w:val="KjeneRakstz"/>
    <w:rsid w:val="0000376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00376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0376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3761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f">
    <w:name w:val="naisf"/>
    <w:basedOn w:val="Parasts"/>
    <w:rsid w:val="004F5CB7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1300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Tieslietu Sektors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hipotekārās kreditēšanas tiesiskā regulējuma nepilnību izvērtējumu un priekšlikumiem tā pilnveidošanai</dc:title>
  <dc:subject>Protokollēmuma projekts</dc:subject>
  <dc:creator>Sandris Rags</dc:creator>
  <dc:description>67036974
Sandris.Rags@tm.gov.lv</dc:description>
  <cp:lastModifiedBy>as1301</cp:lastModifiedBy>
  <cp:revision>4</cp:revision>
  <cp:lastPrinted>2012-10-30T07:34:00Z</cp:lastPrinted>
  <dcterms:created xsi:type="dcterms:W3CDTF">2013-04-15T09:36:00Z</dcterms:created>
  <dcterms:modified xsi:type="dcterms:W3CDTF">2013-04-18T09:02:00Z</dcterms:modified>
</cp:coreProperties>
</file>