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2" w:rsidRPr="006429EF" w:rsidRDefault="00E27DAF" w:rsidP="00870CB2">
      <w:pPr>
        <w:pStyle w:val="Header"/>
        <w:jc w:val="right"/>
        <w:rPr>
          <w:i/>
          <w:sz w:val="28"/>
          <w:szCs w:val="28"/>
          <w:lang w:val="lv-LV"/>
        </w:rPr>
      </w:pPr>
      <w:r w:rsidRPr="00E27DAF">
        <w:rPr>
          <w:i/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2436FD" w:rsidRDefault="00D231CE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LATVIJAS REPUBLIKAS MINISTRU KABINETA </w:t>
      </w:r>
    </w:p>
    <w:p w:rsidR="00D231CE" w:rsidRPr="002436FD" w:rsidRDefault="00562816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SĒDES </w:t>
      </w:r>
      <w:r w:rsidR="00D231CE" w:rsidRPr="002436FD">
        <w:rPr>
          <w:sz w:val="28"/>
          <w:szCs w:val="28"/>
          <w:lang w:val="lv-LV"/>
        </w:rPr>
        <w:t>PROTOKOLLĒMUMS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231CE" w:rsidRPr="002436FD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2436FD" w:rsidRDefault="00D231CE" w:rsidP="007564A7">
            <w:pPr>
              <w:jc w:val="right"/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20</w:t>
            </w:r>
            <w:r w:rsidR="00566C50" w:rsidRPr="002436FD">
              <w:rPr>
                <w:sz w:val="28"/>
                <w:szCs w:val="28"/>
                <w:lang w:val="lv-LV"/>
              </w:rPr>
              <w:t>1</w:t>
            </w:r>
            <w:r w:rsidR="007564A7" w:rsidRPr="002436FD">
              <w:rPr>
                <w:sz w:val="28"/>
                <w:szCs w:val="28"/>
                <w:lang w:val="lv-LV"/>
              </w:rPr>
              <w:t>3</w:t>
            </w:r>
            <w:r w:rsidRPr="002436FD">
              <w:rPr>
                <w:sz w:val="28"/>
                <w:szCs w:val="28"/>
                <w:lang w:val="lv-LV"/>
              </w:rPr>
              <w:t>.</w:t>
            </w:r>
            <w:r w:rsidR="008F27F7" w:rsidRPr="002436FD">
              <w:rPr>
                <w:sz w:val="28"/>
                <w:szCs w:val="28"/>
                <w:lang w:val="lv-LV"/>
              </w:rPr>
              <w:t xml:space="preserve"> </w:t>
            </w:r>
            <w:r w:rsidRPr="002436FD">
              <w:rPr>
                <w:sz w:val="28"/>
                <w:szCs w:val="28"/>
                <w:lang w:val="lv-LV"/>
              </w:rPr>
              <w:t>gada      .</w:t>
            </w:r>
            <w:r w:rsidR="003E0672" w:rsidRPr="002436FD">
              <w:rPr>
                <w:sz w:val="28"/>
                <w:szCs w:val="28"/>
                <w:lang w:val="lv-LV"/>
              </w:rPr>
              <w:t xml:space="preserve"> </w:t>
            </w:r>
            <w:r w:rsidR="007564A7" w:rsidRPr="002436FD">
              <w:rPr>
                <w:sz w:val="28"/>
                <w:szCs w:val="28"/>
                <w:lang w:val="lv-LV"/>
              </w:rPr>
              <w:t>februārī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E5599B" w:rsidRDefault="00E96CE4" w:rsidP="006925FF">
      <w:pPr>
        <w:pStyle w:val="BodyText"/>
        <w:rPr>
          <w:i/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Par Latvijas Republikas nostāj</w:t>
      </w:r>
      <w:r w:rsidR="004C366A" w:rsidRPr="002436FD">
        <w:rPr>
          <w:szCs w:val="28"/>
        </w:rPr>
        <w:t>as projektu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r w:rsidR="00B757C9" w:rsidRPr="002436FD">
        <w:rPr>
          <w:szCs w:val="28"/>
        </w:rPr>
        <w:t xml:space="preserve">     </w:t>
      </w:r>
      <w:r w:rsidR="00080365" w:rsidRPr="002436FD">
        <w:rPr>
          <w:szCs w:val="28"/>
        </w:rPr>
        <w:t xml:space="preserve"> C</w:t>
      </w:r>
      <w:r w:rsidR="00B1174F" w:rsidRPr="002436FD">
        <w:rPr>
          <w:szCs w:val="28"/>
        </w:rPr>
        <w:t>-</w:t>
      </w:r>
      <w:r w:rsidR="00E5599B">
        <w:rPr>
          <w:szCs w:val="28"/>
        </w:rPr>
        <w:t>571</w:t>
      </w:r>
      <w:r w:rsidR="00A507D0" w:rsidRPr="002436FD">
        <w:rPr>
          <w:szCs w:val="28"/>
        </w:rPr>
        <w:t>/</w:t>
      </w:r>
      <w:r w:rsidR="00F219E0" w:rsidRPr="002436FD">
        <w:rPr>
          <w:szCs w:val="28"/>
        </w:rPr>
        <w:t>1</w:t>
      </w:r>
      <w:r w:rsidR="00E22D38" w:rsidRPr="002436FD">
        <w:rPr>
          <w:szCs w:val="28"/>
        </w:rPr>
        <w:t>2</w:t>
      </w:r>
      <w:r w:rsidR="00080365" w:rsidRPr="002436FD">
        <w:rPr>
          <w:szCs w:val="28"/>
        </w:rPr>
        <w:t xml:space="preserve"> </w:t>
      </w:r>
      <w:bookmarkEnd w:id="0"/>
      <w:bookmarkEnd w:id="1"/>
      <w:r w:rsidR="00E5599B" w:rsidRPr="00E5599B">
        <w:rPr>
          <w:i/>
          <w:szCs w:val="28"/>
        </w:rPr>
        <w:t>G</w:t>
      </w:r>
      <w:bookmarkStart w:id="2" w:name="_GoBack"/>
      <w:bookmarkEnd w:id="2"/>
      <w:r w:rsidR="00E5599B" w:rsidRPr="00E5599B">
        <w:rPr>
          <w:i/>
          <w:szCs w:val="28"/>
        </w:rPr>
        <w:t>reencarrier Freight Services Latvia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2436FD" w:rsidRDefault="00E96CE4" w:rsidP="006925FF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(...)</w:t>
      </w:r>
    </w:p>
    <w:p w:rsidR="00E96CE4" w:rsidRPr="002436FD" w:rsidRDefault="00E96CE4" w:rsidP="006925FF">
      <w:pPr>
        <w:rPr>
          <w:sz w:val="28"/>
          <w:szCs w:val="28"/>
          <w:lang w:val="lv-LV"/>
        </w:rPr>
      </w:pPr>
    </w:p>
    <w:p w:rsidR="007564A7" w:rsidRPr="00E5599B" w:rsidRDefault="00C74AF7" w:rsidP="007564A7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projektu</w:t>
      </w:r>
      <w:r w:rsidR="007564A7" w:rsidRP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 </w:t>
      </w:r>
      <w:r w:rsidR="00E5599B">
        <w:rPr>
          <w:sz w:val="28"/>
          <w:szCs w:val="28"/>
          <w:lang w:val="lv-LV"/>
        </w:rPr>
        <w:t>C</w:t>
      </w:r>
      <w:r w:rsidR="00E5599B">
        <w:rPr>
          <w:sz w:val="28"/>
          <w:szCs w:val="28"/>
          <w:lang w:val="lv-LV"/>
        </w:rPr>
        <w:noBreakHyphen/>
        <w:t>571</w:t>
      </w:r>
      <w:r w:rsidR="007564A7" w:rsidRPr="002436FD">
        <w:rPr>
          <w:sz w:val="28"/>
          <w:szCs w:val="28"/>
          <w:lang w:val="lv-LV"/>
        </w:rPr>
        <w:t>/12</w:t>
      </w:r>
      <w:r w:rsidRPr="002436FD">
        <w:rPr>
          <w:sz w:val="28"/>
          <w:szCs w:val="28"/>
          <w:lang w:val="lv-LV"/>
        </w:rPr>
        <w:t xml:space="preserve"> </w:t>
      </w:r>
      <w:r w:rsidR="00E5599B" w:rsidRPr="00E5599B">
        <w:rPr>
          <w:i/>
          <w:sz w:val="28"/>
          <w:szCs w:val="28"/>
          <w:lang w:val="lv-LV"/>
        </w:rPr>
        <w:t>Greencarrier Freight Services Latvia</w:t>
      </w:r>
      <w:r w:rsidRPr="00E5599B">
        <w:rPr>
          <w:sz w:val="28"/>
          <w:szCs w:val="28"/>
          <w:lang w:val="lv-LV"/>
        </w:rPr>
        <w:t>.</w:t>
      </w:r>
    </w:p>
    <w:p w:rsidR="00932ED3" w:rsidRPr="002436FD" w:rsidRDefault="00932ED3" w:rsidP="007564A7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2. </w:t>
      </w:r>
      <w:r w:rsidR="00E5599B">
        <w:rPr>
          <w:color w:val="000000" w:themeColor="text1"/>
          <w:sz w:val="28"/>
          <w:szCs w:val="28"/>
          <w:lang w:val="lv-LV"/>
        </w:rPr>
        <w:t>Finanšu</w:t>
      </w:r>
      <w:r w:rsidR="00095405">
        <w:rPr>
          <w:color w:val="000000" w:themeColor="text1"/>
          <w:sz w:val="28"/>
          <w:szCs w:val="28"/>
          <w:lang w:val="lv-LV"/>
        </w:rPr>
        <w:t xml:space="preserve"> ministrija</w:t>
      </w:r>
      <w:r w:rsidR="00E5599B">
        <w:rPr>
          <w:color w:val="000000" w:themeColor="text1"/>
          <w:sz w:val="28"/>
          <w:szCs w:val="28"/>
          <w:lang w:val="lv-LV"/>
        </w:rPr>
        <w:t xml:space="preserve"> un Valsts ieņēmumu dienests</w:t>
      </w:r>
      <w:r w:rsidR="002436FD" w:rsidRPr="002436FD">
        <w:rPr>
          <w:color w:val="000000" w:themeColor="text1"/>
          <w:sz w:val="28"/>
          <w:szCs w:val="28"/>
          <w:lang w:val="lv-LV"/>
        </w:rPr>
        <w:t xml:space="preserve"> sniedz nepieciešamo atbalstu Tieslietu ministrijai, nesniedzot atsevišķus rakstiskos apsvērumus</w:t>
      </w:r>
      <w:r w:rsidR="0088299A" w:rsidRPr="002436FD">
        <w:rPr>
          <w:color w:val="000000" w:themeColor="text1"/>
          <w:sz w:val="28"/>
          <w:szCs w:val="28"/>
          <w:lang w:val="lv-LV"/>
        </w:rPr>
        <w:t>.</w:t>
      </w:r>
    </w:p>
    <w:p w:rsidR="00E96CE4" w:rsidRPr="002436FD" w:rsidRDefault="00DC1DED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r w:rsidR="003D1FFE" w:rsidRPr="002436FD">
        <w:rPr>
          <w:sz w:val="28"/>
          <w:szCs w:val="28"/>
          <w:lang w:val="lv-LV"/>
        </w:rPr>
        <w:t>Ingusu Kalniņu</w:t>
      </w:r>
      <w:r w:rsidR="00494316">
        <w:rPr>
          <w:sz w:val="28"/>
          <w:szCs w:val="28"/>
          <w:lang w:val="lv-LV"/>
        </w:rPr>
        <w:t xml:space="preserve">, </w:t>
      </w:r>
      <w:r w:rsidR="00494316" w:rsidRPr="002436FD">
        <w:rPr>
          <w:sz w:val="28"/>
          <w:szCs w:val="28"/>
          <w:lang w:val="lv-LV"/>
        </w:rPr>
        <w:t>Tieslietu ministrijas Eiropas Savienības Tiesas departamenta</w:t>
      </w:r>
      <w:r w:rsidR="00494316">
        <w:rPr>
          <w:sz w:val="28"/>
          <w:szCs w:val="28"/>
          <w:lang w:val="lv-LV"/>
        </w:rPr>
        <w:t xml:space="preserve"> direktori Irēnu Kucinu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departamenta </w:t>
      </w:r>
      <w:r w:rsidR="00E22D38" w:rsidRPr="002436FD">
        <w:rPr>
          <w:sz w:val="28"/>
          <w:szCs w:val="28"/>
          <w:lang w:val="lv-LV"/>
        </w:rPr>
        <w:t>juriskonsult</w:t>
      </w:r>
      <w:r w:rsidR="00E5599B">
        <w:rPr>
          <w:sz w:val="28"/>
          <w:szCs w:val="28"/>
          <w:lang w:val="lv-LV"/>
        </w:rPr>
        <w:t>u</w:t>
      </w:r>
      <w:r w:rsidR="00A34191" w:rsidRPr="002436FD">
        <w:rPr>
          <w:sz w:val="28"/>
          <w:szCs w:val="28"/>
          <w:lang w:val="lv-LV"/>
        </w:rPr>
        <w:t xml:space="preserve"> </w:t>
      </w:r>
      <w:r w:rsidR="00E5599B">
        <w:rPr>
          <w:sz w:val="28"/>
          <w:szCs w:val="28"/>
          <w:lang w:val="lv-LV"/>
        </w:rPr>
        <w:t>Kristapu Freimani</w:t>
      </w:r>
      <w:r w:rsidR="00AC1E5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pārstāvēt Latvijas Republiku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E5599B">
        <w:rPr>
          <w:sz w:val="28"/>
          <w:szCs w:val="28"/>
          <w:lang w:val="lv-LV"/>
        </w:rPr>
        <w:t>571</w:t>
      </w:r>
      <w:r w:rsidR="007564A7" w:rsidRPr="002436FD">
        <w:rPr>
          <w:sz w:val="28"/>
          <w:szCs w:val="28"/>
          <w:lang w:val="lv-LV"/>
        </w:rPr>
        <w:t>/12</w:t>
      </w:r>
      <w:r w:rsidR="00A507D0" w:rsidRPr="002436FD">
        <w:rPr>
          <w:sz w:val="28"/>
          <w:szCs w:val="28"/>
          <w:lang w:val="lv-LV"/>
        </w:rPr>
        <w:t xml:space="preserve"> </w:t>
      </w:r>
      <w:r w:rsidR="00E5599B" w:rsidRPr="00E5599B">
        <w:rPr>
          <w:i/>
          <w:sz w:val="28"/>
          <w:szCs w:val="28"/>
          <w:lang w:val="lv-LV"/>
        </w:rPr>
        <w:t>Greencarrier Freight Services Latvia</w:t>
      </w:r>
      <w:r w:rsidR="00566C50" w:rsidRPr="002436FD">
        <w:rPr>
          <w:i/>
          <w:sz w:val="28"/>
          <w:szCs w:val="28"/>
          <w:lang w:val="lv-LV"/>
        </w:rPr>
        <w:t>.</w:t>
      </w:r>
      <w:r w:rsidR="00C74AF7" w:rsidRPr="002436FD">
        <w:rPr>
          <w:sz w:val="28"/>
          <w:szCs w:val="28"/>
          <w:lang w:val="lv-LV"/>
        </w:rPr>
        <w:t xml:space="preserve"> Ministru prezidentam </w:t>
      </w:r>
      <w:r w:rsidR="00A507D0" w:rsidRPr="002436FD">
        <w:rPr>
          <w:sz w:val="28"/>
          <w:szCs w:val="28"/>
          <w:lang w:val="lv-LV"/>
        </w:rPr>
        <w:t>Valdim Dombrovskim</w:t>
      </w:r>
      <w:r w:rsidR="00C74AF7" w:rsidRPr="002436FD">
        <w:rPr>
          <w:sz w:val="28"/>
          <w:szCs w:val="28"/>
          <w:lang w:val="lv-LV"/>
        </w:rPr>
        <w:t xml:space="preserve"> 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Ministru prezidents</w:t>
      </w:r>
      <w:r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 w:rsidR="00A507D0" w:rsidRPr="002436FD">
        <w:rPr>
          <w:sz w:val="28"/>
          <w:szCs w:val="28"/>
          <w:lang w:val="lv-LV"/>
        </w:rPr>
        <w:t>V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A507D0" w:rsidRPr="002436FD">
        <w:rPr>
          <w:sz w:val="28"/>
          <w:szCs w:val="28"/>
          <w:lang w:val="lv-LV"/>
        </w:rPr>
        <w:t>Dombrovskis</w:t>
      </w:r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D06A40" w:rsidRPr="002436FD">
        <w:rPr>
          <w:sz w:val="28"/>
          <w:szCs w:val="28"/>
          <w:lang w:val="lv-LV"/>
        </w:rPr>
        <w:t>Dreimane</w:t>
      </w:r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CB03EF" w:rsidRPr="002436FD" w:rsidRDefault="00CB03EF" w:rsidP="00CB03EF">
      <w:pPr>
        <w:pStyle w:val="naiskr"/>
        <w:spacing w:before="0" w:after="0"/>
        <w:rPr>
          <w:szCs w:val="28"/>
        </w:rPr>
      </w:pPr>
      <w:r w:rsidRPr="002436FD">
        <w:rPr>
          <w:szCs w:val="28"/>
        </w:rPr>
        <w:t xml:space="preserve">Tieslietu </w:t>
      </w:r>
      <w:r w:rsidR="003D1FFE" w:rsidRPr="002436FD">
        <w:rPr>
          <w:szCs w:val="28"/>
        </w:rPr>
        <w:t>ministrs</w:t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="00AC59FB" w:rsidRPr="002436FD">
        <w:rPr>
          <w:szCs w:val="28"/>
        </w:rPr>
        <w:tab/>
      </w:r>
      <w:r w:rsidR="003D1FFE" w:rsidRPr="002436FD">
        <w:rPr>
          <w:szCs w:val="28"/>
        </w:rPr>
        <w:tab/>
      </w:r>
      <w:r w:rsidR="00E22D38" w:rsidRPr="002436FD">
        <w:rPr>
          <w:szCs w:val="28"/>
        </w:rPr>
        <w:t>J. Bordāns</w:t>
      </w:r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494316" w:rsidRDefault="00E5599B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494316">
        <w:rPr>
          <w:sz w:val="20"/>
          <w:szCs w:val="20"/>
          <w:lang w:val="lv-LV"/>
        </w:rPr>
        <w:t>19</w:t>
      </w:r>
      <w:r w:rsidR="002436FD" w:rsidRPr="00494316">
        <w:rPr>
          <w:sz w:val="20"/>
          <w:szCs w:val="20"/>
          <w:lang w:val="lv-LV"/>
        </w:rPr>
        <w:t>.02</w:t>
      </w:r>
      <w:r w:rsidR="00F219E0" w:rsidRPr="00494316">
        <w:rPr>
          <w:sz w:val="20"/>
          <w:szCs w:val="20"/>
          <w:lang w:val="lv-LV"/>
        </w:rPr>
        <w:t>.201</w:t>
      </w:r>
      <w:r w:rsidR="007564A7" w:rsidRPr="00494316">
        <w:rPr>
          <w:sz w:val="20"/>
          <w:szCs w:val="20"/>
          <w:lang w:val="lv-LV"/>
        </w:rPr>
        <w:t>3</w:t>
      </w:r>
      <w:r w:rsidR="00AF305D" w:rsidRPr="00494316">
        <w:rPr>
          <w:sz w:val="20"/>
          <w:szCs w:val="20"/>
          <w:lang w:val="lv-LV"/>
        </w:rPr>
        <w:t>.</w:t>
      </w:r>
      <w:r w:rsidR="00F545D0" w:rsidRPr="00494316">
        <w:rPr>
          <w:sz w:val="20"/>
          <w:szCs w:val="20"/>
          <w:lang w:val="lv-LV"/>
        </w:rPr>
        <w:t xml:space="preserve"> </w:t>
      </w:r>
      <w:r w:rsidR="002436FD" w:rsidRPr="00494316">
        <w:rPr>
          <w:sz w:val="20"/>
          <w:szCs w:val="20"/>
          <w:lang w:val="lv-LV"/>
        </w:rPr>
        <w:t>09:</w:t>
      </w:r>
      <w:r w:rsidRPr="00494316">
        <w:rPr>
          <w:sz w:val="20"/>
          <w:szCs w:val="20"/>
          <w:lang w:val="lv-LV"/>
        </w:rPr>
        <w:t>10</w:t>
      </w:r>
    </w:p>
    <w:p w:rsidR="00E30ACC" w:rsidRPr="00494316" w:rsidRDefault="0069070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494316">
        <w:rPr>
          <w:sz w:val="20"/>
          <w:szCs w:val="20"/>
          <w:lang w:val="lv-LV"/>
        </w:rPr>
        <w:t>1</w:t>
      </w:r>
      <w:r w:rsidR="00494316" w:rsidRPr="00494316">
        <w:rPr>
          <w:sz w:val="20"/>
          <w:szCs w:val="20"/>
          <w:lang w:val="lv-LV"/>
        </w:rPr>
        <w:t>43</w:t>
      </w:r>
    </w:p>
    <w:p w:rsidR="00C74AF7" w:rsidRPr="00494316" w:rsidRDefault="00E5599B" w:rsidP="00C74AF7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 w:rsidRPr="00494316">
        <w:rPr>
          <w:sz w:val="20"/>
          <w:szCs w:val="20"/>
          <w:lang w:val="lv-LV"/>
        </w:rPr>
        <w:t>K. Freimanis</w:t>
      </w:r>
    </w:p>
    <w:p w:rsidR="00E96CE4" w:rsidRPr="00494316" w:rsidRDefault="00C74AF7" w:rsidP="0088299A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 w:rsidRPr="00494316">
        <w:rPr>
          <w:sz w:val="20"/>
          <w:szCs w:val="20"/>
          <w:lang w:val="lv-LV"/>
        </w:rPr>
        <w:lastRenderedPageBreak/>
        <w:t>670369</w:t>
      </w:r>
      <w:r w:rsidR="00E5599B" w:rsidRPr="00494316">
        <w:rPr>
          <w:sz w:val="20"/>
          <w:szCs w:val="20"/>
          <w:lang w:val="lv-LV"/>
        </w:rPr>
        <w:t>20</w:t>
      </w:r>
      <w:r w:rsidRPr="00494316">
        <w:rPr>
          <w:sz w:val="20"/>
          <w:szCs w:val="20"/>
          <w:lang w:val="lv-LV"/>
        </w:rPr>
        <w:t>,</w:t>
      </w:r>
      <w:r w:rsidR="00B07E86" w:rsidRPr="00494316">
        <w:rPr>
          <w:sz w:val="20"/>
          <w:szCs w:val="20"/>
          <w:lang w:val="lv-LV"/>
        </w:rPr>
        <w:t xml:space="preserve"> </w:t>
      </w:r>
      <w:bookmarkStart w:id="3" w:name="OLE_LINK3"/>
      <w:bookmarkStart w:id="4" w:name="OLE_LINK4"/>
      <w:r w:rsidR="00E5599B" w:rsidRPr="00494316">
        <w:rPr>
          <w:sz w:val="20"/>
          <w:szCs w:val="20"/>
          <w:lang w:val="lv-LV"/>
        </w:rPr>
        <w:t>kristaps.freimanis</w:t>
      </w:r>
      <w:r w:rsidRPr="00494316">
        <w:rPr>
          <w:sz w:val="20"/>
          <w:szCs w:val="20"/>
          <w:lang w:val="lv-LV"/>
        </w:rPr>
        <w:t>@tm.gov.lv</w:t>
      </w:r>
      <w:bookmarkEnd w:id="3"/>
      <w:bookmarkEnd w:id="4"/>
    </w:p>
    <w:sectPr w:rsidR="00E96CE4" w:rsidRPr="00494316" w:rsidSect="00DC1DE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E5599B" w:rsidRDefault="00AD0EC6">
    <w:pPr>
      <w:pStyle w:val="Footer"/>
      <w:jc w:val="both"/>
      <w:rPr>
        <w:i/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E5599B">
      <w:rPr>
        <w:sz w:val="20"/>
        <w:szCs w:val="20"/>
        <w:lang w:val="lv-LV"/>
      </w:rPr>
      <w:t>19</w:t>
    </w:r>
    <w:r w:rsidR="002436FD">
      <w:rPr>
        <w:sz w:val="20"/>
        <w:szCs w:val="20"/>
        <w:lang w:val="lv-LV"/>
      </w:rPr>
      <w:t>02</w:t>
    </w:r>
    <w:r w:rsidR="007564A7">
      <w:rPr>
        <w:sz w:val="20"/>
        <w:szCs w:val="20"/>
        <w:lang w:val="lv-LV"/>
      </w:rPr>
      <w:t>13_</w:t>
    </w:r>
    <w:r w:rsidRPr="002D5E7F">
      <w:rPr>
        <w:sz w:val="20"/>
        <w:szCs w:val="20"/>
        <w:lang w:val="lv-LV"/>
      </w:rPr>
      <w:t>C_</w:t>
    </w:r>
    <w:r w:rsidR="007564A7">
      <w:rPr>
        <w:sz w:val="20"/>
        <w:szCs w:val="20"/>
        <w:lang w:val="lv-LV"/>
      </w:rPr>
      <w:t>57</w:t>
    </w:r>
    <w:r w:rsidR="00E5599B">
      <w:rPr>
        <w:sz w:val="20"/>
        <w:szCs w:val="20"/>
        <w:lang w:val="lv-LV"/>
      </w:rPr>
      <w:t>1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E22D38">
      <w:rPr>
        <w:sz w:val="20"/>
        <w:szCs w:val="20"/>
        <w:lang w:val="lv-LV"/>
      </w:rPr>
      <w:t>2</w:t>
    </w:r>
    <w:r w:rsidR="00D21767">
      <w:rPr>
        <w:sz w:val="20"/>
        <w:szCs w:val="20"/>
        <w:lang w:val="lv-LV"/>
      </w:rPr>
      <w:t xml:space="preserve">; </w:t>
    </w:r>
    <w:r w:rsidR="006429EF">
      <w:rPr>
        <w:sz w:val="20"/>
        <w:szCs w:val="20"/>
        <w:lang w:val="lv-LV"/>
      </w:rPr>
      <w:t>Ministru kabineta sēdes protokollēmuma projekts „</w:t>
    </w:r>
    <w:r w:rsidR="004C366A" w:rsidRPr="004C366A">
      <w:rPr>
        <w:sz w:val="20"/>
        <w:szCs w:val="20"/>
      </w:rPr>
      <w:t>Par Latvijas Republikas nostājas projektu, sniedzot rakstiskos apsvērumus prejudiciālā nolēmuma lūguma procesā Eiropas Savienības Tiesas lietā</w:t>
    </w:r>
    <w:r w:rsidR="004C366A">
      <w:rPr>
        <w:sz w:val="20"/>
        <w:szCs w:val="20"/>
      </w:rPr>
      <w:t xml:space="preserve"> </w:t>
    </w:r>
    <w:r w:rsidR="007564A7">
      <w:rPr>
        <w:sz w:val="20"/>
        <w:szCs w:val="20"/>
      </w:rPr>
      <w:t>C-57</w:t>
    </w:r>
    <w:r w:rsidR="00E5599B">
      <w:rPr>
        <w:sz w:val="20"/>
        <w:szCs w:val="20"/>
      </w:rPr>
      <w:t>1</w:t>
    </w:r>
    <w:r w:rsidR="004C366A" w:rsidRPr="004C366A">
      <w:rPr>
        <w:sz w:val="20"/>
        <w:szCs w:val="20"/>
      </w:rPr>
      <w:t xml:space="preserve">/12 </w:t>
    </w:r>
    <w:r w:rsidR="00E5599B" w:rsidRPr="00E5599B">
      <w:rPr>
        <w:i/>
        <w:sz w:val="20"/>
        <w:szCs w:val="20"/>
      </w:rPr>
      <w:t>Greencarrier Freight Services Latvia</w:t>
    </w:r>
    <w:r w:rsidR="006429EF">
      <w:rPr>
        <w:i/>
        <w:sz w:val="20"/>
        <w:szCs w:val="20"/>
      </w:rPr>
      <w:t>”</w:t>
    </w:r>
  </w:p>
  <w:p w:rsidR="00AF305D" w:rsidRDefault="00AF305D">
    <w:pPr>
      <w:pStyle w:val="Footer"/>
      <w:jc w:val="both"/>
      <w:rPr>
        <w:i/>
        <w:sz w:val="20"/>
        <w:szCs w:val="20"/>
        <w:lang w:val="lv-LV"/>
      </w:rPr>
    </w:pPr>
  </w:p>
  <w:p w:rsidR="00AF305D" w:rsidRPr="00AF305D" w:rsidRDefault="00AF305D" w:rsidP="003F69C9">
    <w:pPr>
      <w:pStyle w:val="Footer"/>
      <w:jc w:val="both"/>
      <w:rPr>
        <w:b/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6925FF" w:rsidRDefault="00AD0EC6" w:rsidP="00D231CE">
    <w:pPr>
      <w:pStyle w:val="Header"/>
      <w:jc w:val="right"/>
      <w:rPr>
        <w:sz w:val="26"/>
        <w:szCs w:val="26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95405"/>
    <w:rsid w:val="000B1A0F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086D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94316"/>
    <w:rsid w:val="004A7AC4"/>
    <w:rsid w:val="004C2286"/>
    <w:rsid w:val="004C366A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D3488"/>
    <w:rsid w:val="005D38A5"/>
    <w:rsid w:val="00601989"/>
    <w:rsid w:val="006134E7"/>
    <w:rsid w:val="006243F3"/>
    <w:rsid w:val="006274FA"/>
    <w:rsid w:val="00640B8E"/>
    <w:rsid w:val="006429EF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D20C1"/>
    <w:rsid w:val="007F0A92"/>
    <w:rsid w:val="007F2872"/>
    <w:rsid w:val="00832883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B2D62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A00EF7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F19B9"/>
    <w:rsid w:val="00BF6044"/>
    <w:rsid w:val="00BF7C7C"/>
    <w:rsid w:val="00BF7ECF"/>
    <w:rsid w:val="00C077F9"/>
    <w:rsid w:val="00C11F64"/>
    <w:rsid w:val="00C25CAD"/>
    <w:rsid w:val="00C27132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70F5"/>
    <w:rsid w:val="00DC7754"/>
    <w:rsid w:val="00DF23FA"/>
    <w:rsid w:val="00E06CFA"/>
    <w:rsid w:val="00E144F2"/>
    <w:rsid w:val="00E22D38"/>
    <w:rsid w:val="00E2652E"/>
    <w:rsid w:val="00E2786D"/>
    <w:rsid w:val="00E27DAF"/>
    <w:rsid w:val="00E30ACC"/>
    <w:rsid w:val="00E34846"/>
    <w:rsid w:val="00E37AA5"/>
    <w:rsid w:val="00E507FB"/>
    <w:rsid w:val="00E5599B"/>
    <w:rsid w:val="00E56FA3"/>
    <w:rsid w:val="00E61CE0"/>
    <w:rsid w:val="00E702E5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438F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DefaultParagraphFont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9539-6D44-40C5-87CD-891FF0B1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1213</Characters>
  <Application>Microsoft Office Word</Application>
  <DocSecurity>4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C-571/12 Greencarrier Freight Services Latvia</vt:lpstr>
      <vt:lpstr>Par Latvijas Republikas nostāju prejudiciālā nolēmuma lūguma procesā Eiropas Savienības Tiesas lietā C-317/11 Reimann</vt:lpstr>
    </vt:vector>
  </TitlesOfParts>
  <Company>Tieslietu Ministrija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C-571/12 Greencarrier Freight Services Latvia</dc:title>
  <dc:subject>protokollēmums</dc:subject>
  <dc:creator>Kristaps Freimanis</dc:creator>
  <dc:description>kristaps.freimanis@tm.gov.lv; 67036920</dc:description>
  <cp:lastModifiedBy>kf1901</cp:lastModifiedBy>
  <cp:revision>2</cp:revision>
  <cp:lastPrinted>2011-11-24T07:29:00Z</cp:lastPrinted>
  <dcterms:created xsi:type="dcterms:W3CDTF">2013-02-22T13:28:00Z</dcterms:created>
  <dcterms:modified xsi:type="dcterms:W3CDTF">2013-02-22T13:28:00Z</dcterms:modified>
</cp:coreProperties>
</file>