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BE0" w:rsidRPr="00FB5BC4" w:rsidRDefault="00B10BE0" w:rsidP="003B0BE2">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KONVENCIJA PAR ĀRVALSTU AMATPERSONU KUKUĻOŠANAS</w:t>
      </w:r>
    </w:p>
    <w:p w:rsidR="00B10BE0" w:rsidRPr="00FB5BC4" w:rsidRDefault="00B10BE0" w:rsidP="003B0BE2">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APKAROŠANU STARPTAUTISKAJOS BIZNESA DARĪJUMOS</w:t>
      </w:r>
    </w:p>
    <w:p w:rsidR="00B10BE0" w:rsidRPr="00FB5BC4" w:rsidRDefault="00B10BE0" w:rsidP="00501160">
      <w:pPr>
        <w:pStyle w:val="Vienkrsteksts"/>
        <w:rPr>
          <w:rFonts w:ascii="Times New Roman" w:hAnsi="Times New Roman" w:cs="Times New Roman"/>
          <w:sz w:val="24"/>
          <w:szCs w:val="24"/>
        </w:rPr>
      </w:pPr>
    </w:p>
    <w:p w:rsidR="00B10BE0" w:rsidRPr="00FB5BC4" w:rsidRDefault="00B10BE0" w:rsidP="00501160">
      <w:pPr>
        <w:pStyle w:val="Vienkrsteksts"/>
        <w:rPr>
          <w:rFonts w:ascii="Times New Roman" w:hAnsi="Times New Roman" w:cs="Times New Roman"/>
          <w:sz w:val="24"/>
          <w:szCs w:val="24"/>
        </w:rPr>
      </w:pPr>
    </w:p>
    <w:p w:rsidR="00B10BE0" w:rsidRPr="00FB5BC4" w:rsidRDefault="00B10BE0" w:rsidP="00B63451">
      <w:pPr>
        <w:pStyle w:val="Vienkrsteksts"/>
        <w:ind w:firstLine="720"/>
        <w:rPr>
          <w:rFonts w:ascii="Times New Roman" w:hAnsi="Times New Roman" w:cs="Times New Roman"/>
          <w:sz w:val="24"/>
          <w:szCs w:val="24"/>
        </w:rPr>
      </w:pPr>
      <w:r w:rsidRPr="00FB5BC4">
        <w:rPr>
          <w:rFonts w:ascii="Times New Roman" w:hAnsi="Times New Roman" w:cs="Times New Roman"/>
          <w:sz w:val="24"/>
          <w:szCs w:val="24"/>
        </w:rPr>
        <w:t xml:space="preserve">Pieņemta 1997. gada 21. novembra Konferencē </w:t>
      </w:r>
    </w:p>
    <w:p w:rsidR="00B10BE0" w:rsidRPr="00FB5BC4" w:rsidRDefault="00B10BE0" w:rsidP="00B63451">
      <w:pPr>
        <w:pStyle w:val="Vienkrsteksts"/>
        <w:ind w:firstLine="720"/>
        <w:rPr>
          <w:rFonts w:ascii="Times New Roman" w:hAnsi="Times New Roman" w:cs="Times New Roman"/>
          <w:sz w:val="24"/>
          <w:szCs w:val="24"/>
        </w:rPr>
      </w:pPr>
    </w:p>
    <w:p w:rsidR="00B10BE0" w:rsidRPr="00FB5BC4" w:rsidRDefault="00B10BE0" w:rsidP="00B63451">
      <w:pPr>
        <w:pStyle w:val="Vienkrsteksts"/>
        <w:ind w:firstLine="720"/>
        <w:jc w:val="center"/>
        <w:rPr>
          <w:rFonts w:ascii="Times New Roman" w:hAnsi="Times New Roman" w:cs="Times New Roman"/>
          <w:sz w:val="24"/>
          <w:szCs w:val="24"/>
        </w:rPr>
      </w:pPr>
      <w:r w:rsidRPr="00FB5BC4">
        <w:rPr>
          <w:rFonts w:ascii="Times New Roman" w:hAnsi="Times New Roman" w:cs="Times New Roman"/>
          <w:sz w:val="24"/>
          <w:szCs w:val="24"/>
        </w:rPr>
        <w:t>Preambula</w:t>
      </w:r>
    </w:p>
    <w:p w:rsidR="00B10BE0" w:rsidRPr="00FB5BC4" w:rsidRDefault="00B10BE0" w:rsidP="00B63451">
      <w:pPr>
        <w:pStyle w:val="Vienkrsteksts"/>
        <w:ind w:firstLine="720"/>
        <w:rPr>
          <w:rFonts w:ascii="Times New Roman" w:hAnsi="Times New Roman" w:cs="Times New Roman"/>
          <w:sz w:val="24"/>
          <w:szCs w:val="24"/>
        </w:rPr>
      </w:pPr>
    </w:p>
    <w:p w:rsidR="00B10BE0" w:rsidRPr="00FB5BC4" w:rsidRDefault="00B10BE0" w:rsidP="00B63451">
      <w:pPr>
        <w:pStyle w:val="Vienkrsteksts"/>
        <w:ind w:firstLine="720"/>
        <w:rPr>
          <w:rFonts w:ascii="Times New Roman" w:hAnsi="Times New Roman" w:cs="Times New Roman"/>
          <w:sz w:val="24"/>
          <w:szCs w:val="24"/>
        </w:rPr>
      </w:pPr>
      <w:r w:rsidRPr="00FB5BC4">
        <w:rPr>
          <w:rFonts w:ascii="Times New Roman" w:hAnsi="Times New Roman" w:cs="Times New Roman"/>
          <w:sz w:val="24"/>
          <w:szCs w:val="24"/>
        </w:rPr>
        <w:t xml:space="preserve">Puses, </w:t>
      </w:r>
    </w:p>
    <w:p w:rsidR="00B10BE0" w:rsidRPr="00FB5BC4" w:rsidRDefault="00B10BE0" w:rsidP="00B63451">
      <w:pPr>
        <w:pStyle w:val="Vienkrsteksts"/>
        <w:ind w:firstLine="720"/>
        <w:rPr>
          <w:rFonts w:ascii="Times New Roman" w:hAnsi="Times New Roman" w:cs="Times New Roman"/>
          <w:sz w:val="24"/>
          <w:szCs w:val="24"/>
        </w:rPr>
      </w:pPr>
    </w:p>
    <w:p w:rsidR="00B10BE0" w:rsidRPr="00FB5BC4" w:rsidRDefault="00B10BE0" w:rsidP="00B63451">
      <w:pPr>
        <w:pStyle w:val="Vienkrsteksts"/>
        <w:ind w:firstLine="720"/>
        <w:jc w:val="both"/>
        <w:rPr>
          <w:rFonts w:ascii="Times New Roman" w:hAnsi="Times New Roman" w:cs="Times New Roman"/>
          <w:sz w:val="24"/>
          <w:szCs w:val="24"/>
        </w:rPr>
      </w:pPr>
      <w:r w:rsidRPr="00FB5BC4">
        <w:rPr>
          <w:rFonts w:ascii="Times New Roman" w:hAnsi="Times New Roman" w:cs="Times New Roman"/>
          <w:sz w:val="24"/>
          <w:szCs w:val="24"/>
        </w:rPr>
        <w:t>Ņemot vērā, ka kukuļošana ir plaši izplatīta parādība starptautiskajos biznesa darījumos,</w:t>
      </w:r>
      <w:r w:rsidR="003B0BE2">
        <w:rPr>
          <w:rFonts w:ascii="Times New Roman" w:hAnsi="Times New Roman" w:cs="Times New Roman"/>
          <w:sz w:val="24"/>
          <w:szCs w:val="24"/>
        </w:rPr>
        <w:t xml:space="preserve"> </w:t>
      </w:r>
      <w:r w:rsidRPr="00FB5BC4">
        <w:rPr>
          <w:rFonts w:ascii="Times New Roman" w:hAnsi="Times New Roman" w:cs="Times New Roman"/>
          <w:sz w:val="24"/>
          <w:szCs w:val="24"/>
        </w:rPr>
        <w:t xml:space="preserve">ieskaitot tirdzniecību un investīcijas, kas rada nopietnas morālas dabas un politiskas bažas, </w:t>
      </w:r>
      <w:r w:rsidR="003B0BE2">
        <w:rPr>
          <w:rFonts w:ascii="Times New Roman" w:hAnsi="Times New Roman" w:cs="Times New Roman"/>
          <w:sz w:val="24"/>
          <w:szCs w:val="24"/>
        </w:rPr>
        <w:t>a</w:t>
      </w:r>
      <w:r w:rsidRPr="00FB5BC4">
        <w:rPr>
          <w:rFonts w:ascii="Times New Roman" w:hAnsi="Times New Roman" w:cs="Times New Roman"/>
          <w:sz w:val="24"/>
          <w:szCs w:val="24"/>
        </w:rPr>
        <w:t xml:space="preserve">pdraud labu valsts pārvaldību un tautsaimniecības attīstību, un izkropļo starptautiskās konkurences nosacījumus; </w:t>
      </w:r>
    </w:p>
    <w:p w:rsidR="00B10BE0" w:rsidRPr="00FB5BC4" w:rsidRDefault="00B10BE0" w:rsidP="00B63451">
      <w:pPr>
        <w:pStyle w:val="Vienkrsteksts"/>
        <w:ind w:firstLine="720"/>
        <w:jc w:val="both"/>
        <w:rPr>
          <w:rFonts w:ascii="Times New Roman" w:hAnsi="Times New Roman" w:cs="Times New Roman"/>
          <w:sz w:val="24"/>
          <w:szCs w:val="24"/>
        </w:rPr>
      </w:pPr>
    </w:p>
    <w:p w:rsidR="00B10BE0" w:rsidRPr="00FB5BC4" w:rsidRDefault="00B10BE0" w:rsidP="00B63451">
      <w:pPr>
        <w:pStyle w:val="Vienkrsteksts"/>
        <w:ind w:firstLine="720"/>
        <w:jc w:val="both"/>
        <w:rPr>
          <w:rFonts w:ascii="Times New Roman" w:hAnsi="Times New Roman" w:cs="Times New Roman"/>
          <w:sz w:val="24"/>
          <w:szCs w:val="24"/>
        </w:rPr>
      </w:pPr>
      <w:r w:rsidRPr="00FB5BC4">
        <w:rPr>
          <w:rFonts w:ascii="Times New Roman" w:hAnsi="Times New Roman" w:cs="Times New Roman"/>
          <w:sz w:val="24"/>
          <w:szCs w:val="24"/>
        </w:rPr>
        <w:t xml:space="preserve">Ņemot vērā, ka visām valstīm ir kopīgs pienākums apkarot kukuļošanu starptautiskajos biznesa </w:t>
      </w:r>
    </w:p>
    <w:p w:rsidR="00B10BE0" w:rsidRPr="00FB5BC4" w:rsidRDefault="00B10BE0" w:rsidP="00B63451">
      <w:pPr>
        <w:pStyle w:val="Vienkrsteksts"/>
        <w:ind w:firstLine="720"/>
        <w:jc w:val="both"/>
        <w:rPr>
          <w:rFonts w:ascii="Times New Roman" w:hAnsi="Times New Roman" w:cs="Times New Roman"/>
          <w:sz w:val="24"/>
          <w:szCs w:val="24"/>
        </w:rPr>
      </w:pPr>
      <w:r w:rsidRPr="00FB5BC4">
        <w:rPr>
          <w:rFonts w:ascii="Times New Roman" w:hAnsi="Times New Roman" w:cs="Times New Roman"/>
          <w:sz w:val="24"/>
          <w:szCs w:val="24"/>
        </w:rPr>
        <w:t xml:space="preserve">darījumos; </w:t>
      </w:r>
    </w:p>
    <w:p w:rsidR="00B10BE0" w:rsidRPr="00FB5BC4" w:rsidRDefault="00B10BE0" w:rsidP="00B63451">
      <w:pPr>
        <w:pStyle w:val="Vienkrsteksts"/>
        <w:ind w:firstLine="720"/>
        <w:jc w:val="both"/>
        <w:rPr>
          <w:rFonts w:ascii="Times New Roman" w:hAnsi="Times New Roman" w:cs="Times New Roman"/>
          <w:sz w:val="24"/>
          <w:szCs w:val="24"/>
        </w:rPr>
      </w:pPr>
    </w:p>
    <w:p w:rsidR="00B10BE0" w:rsidRPr="00FB5BC4" w:rsidRDefault="00B10BE0" w:rsidP="00B63451">
      <w:pPr>
        <w:pStyle w:val="Vienkrsteksts"/>
        <w:ind w:firstLine="720"/>
        <w:jc w:val="both"/>
        <w:rPr>
          <w:rFonts w:ascii="Times New Roman" w:hAnsi="Times New Roman" w:cs="Times New Roman"/>
          <w:sz w:val="24"/>
          <w:szCs w:val="24"/>
        </w:rPr>
      </w:pPr>
      <w:r w:rsidRPr="00FB5BC4">
        <w:rPr>
          <w:rFonts w:ascii="Times New Roman" w:hAnsi="Times New Roman" w:cs="Times New Roman"/>
          <w:sz w:val="24"/>
          <w:szCs w:val="24"/>
        </w:rPr>
        <w:t xml:space="preserve">Pamatojoties uz pārstrādāto Rekomendāciju “Par kukuļošanas apkarošanu starptautiskajos biznesa darījumos”, ko 1997. gada 23. maijā pieņēmusi Ekonomiskās sadarbības un attīstības organizācijas (ESAO) Padome, kas, </w:t>
      </w:r>
      <w:proofErr w:type="spellStart"/>
      <w:r w:rsidRPr="003B0BE2">
        <w:rPr>
          <w:rFonts w:ascii="Times New Roman" w:hAnsi="Times New Roman" w:cs="Times New Roman"/>
          <w:i/>
          <w:sz w:val="24"/>
          <w:szCs w:val="24"/>
        </w:rPr>
        <w:t>inter</w:t>
      </w:r>
      <w:proofErr w:type="spellEnd"/>
      <w:r w:rsidRPr="003B0BE2">
        <w:rPr>
          <w:rFonts w:ascii="Times New Roman" w:hAnsi="Times New Roman" w:cs="Times New Roman"/>
          <w:i/>
          <w:sz w:val="24"/>
          <w:szCs w:val="24"/>
        </w:rPr>
        <w:t xml:space="preserve"> </w:t>
      </w:r>
      <w:proofErr w:type="spellStart"/>
      <w:r w:rsidRPr="003B0BE2">
        <w:rPr>
          <w:rFonts w:ascii="Times New Roman" w:hAnsi="Times New Roman" w:cs="Times New Roman"/>
          <w:i/>
          <w:sz w:val="24"/>
          <w:szCs w:val="24"/>
        </w:rPr>
        <w:t>alia</w:t>
      </w:r>
      <w:proofErr w:type="spellEnd"/>
      <w:r w:rsidRPr="00FB5BC4">
        <w:rPr>
          <w:rFonts w:ascii="Times New Roman" w:hAnsi="Times New Roman" w:cs="Times New Roman"/>
          <w:sz w:val="24"/>
          <w:szCs w:val="24"/>
        </w:rPr>
        <w:t xml:space="preserve">, aicina veikt iedarbīgus pasākumus, lai mazinātu, novērstu un apkarotu ārvalstu amatpersonu kukuļošanu saistībā ar starptautiskajiem biznesa darījumiem, jo īpaši mudinot </w:t>
      </w:r>
      <w:r w:rsidR="00313E67">
        <w:rPr>
          <w:rFonts w:ascii="Times New Roman" w:hAnsi="Times New Roman" w:cs="Times New Roman"/>
          <w:sz w:val="24"/>
          <w:szCs w:val="24"/>
        </w:rPr>
        <w:t>efektīvā veidā</w:t>
      </w:r>
      <w:r w:rsidRPr="00FB5BC4">
        <w:rPr>
          <w:rFonts w:ascii="Times New Roman" w:hAnsi="Times New Roman" w:cs="Times New Roman"/>
          <w:sz w:val="24"/>
          <w:szCs w:val="24"/>
        </w:rPr>
        <w:t xml:space="preserve"> un saskaņoti, un atbilstoši Rekomendācijā izklāstītajiem apstiprinātajiem vienotajiem elementiem, kā arī saskaņā ar katras valsts jurisdikcijas un citiem</w:t>
      </w:r>
      <w:r w:rsidR="003B0BE2">
        <w:rPr>
          <w:rFonts w:ascii="Times New Roman" w:hAnsi="Times New Roman" w:cs="Times New Roman"/>
          <w:sz w:val="24"/>
          <w:szCs w:val="24"/>
        </w:rPr>
        <w:t xml:space="preserve"> </w:t>
      </w:r>
      <w:r w:rsidRPr="00FB5BC4">
        <w:rPr>
          <w:rFonts w:ascii="Times New Roman" w:hAnsi="Times New Roman" w:cs="Times New Roman"/>
          <w:sz w:val="24"/>
          <w:szCs w:val="24"/>
        </w:rPr>
        <w:t>tiesiskajiem pama</w:t>
      </w:r>
      <w:r w:rsidR="00D8631E">
        <w:rPr>
          <w:rFonts w:ascii="Times New Roman" w:hAnsi="Times New Roman" w:cs="Times New Roman"/>
          <w:sz w:val="24"/>
          <w:szCs w:val="24"/>
        </w:rPr>
        <w:t>tprincipiem, paredzēt krimināl</w:t>
      </w:r>
      <w:r w:rsidRPr="00FB5BC4">
        <w:rPr>
          <w:rFonts w:ascii="Times New Roman" w:hAnsi="Times New Roman" w:cs="Times New Roman"/>
          <w:sz w:val="24"/>
          <w:szCs w:val="24"/>
        </w:rPr>
        <w:t xml:space="preserve">atbildību par šāda vieda kukuļošanu; </w:t>
      </w:r>
    </w:p>
    <w:p w:rsidR="00B10BE0" w:rsidRPr="00FB5BC4" w:rsidRDefault="00B10BE0" w:rsidP="00B63451">
      <w:pPr>
        <w:pStyle w:val="Vienkrsteksts"/>
        <w:ind w:firstLine="720"/>
        <w:jc w:val="both"/>
        <w:rPr>
          <w:rFonts w:ascii="Times New Roman" w:hAnsi="Times New Roman" w:cs="Times New Roman"/>
          <w:sz w:val="24"/>
          <w:szCs w:val="24"/>
        </w:rPr>
      </w:pPr>
    </w:p>
    <w:p w:rsidR="00B10BE0" w:rsidRPr="00FB5BC4" w:rsidRDefault="00B10BE0" w:rsidP="00B63451">
      <w:pPr>
        <w:pStyle w:val="Vienkrsteksts"/>
        <w:ind w:firstLine="720"/>
        <w:jc w:val="both"/>
        <w:rPr>
          <w:rFonts w:ascii="Times New Roman" w:hAnsi="Times New Roman" w:cs="Times New Roman"/>
          <w:sz w:val="24"/>
          <w:szCs w:val="24"/>
        </w:rPr>
      </w:pPr>
      <w:r w:rsidRPr="00FB5BC4">
        <w:rPr>
          <w:rFonts w:ascii="Times New Roman" w:hAnsi="Times New Roman" w:cs="Times New Roman"/>
          <w:sz w:val="24"/>
          <w:szCs w:val="24"/>
        </w:rPr>
        <w:t>Apsveicot citus nesenos sasniegumus, kas veicina tālāku izpratni starptautiskajā līmenī un sadarbību cīņā pret ārvalstu amatpersonu kukuļošanu, ieskaitot Apvienot Nāciju Organizācijas,</w:t>
      </w:r>
      <w:r w:rsidR="003B0BE2">
        <w:rPr>
          <w:rFonts w:ascii="Times New Roman" w:hAnsi="Times New Roman" w:cs="Times New Roman"/>
          <w:sz w:val="24"/>
          <w:szCs w:val="24"/>
        </w:rPr>
        <w:t xml:space="preserve"> </w:t>
      </w:r>
      <w:r w:rsidRPr="00FB5BC4">
        <w:rPr>
          <w:rFonts w:ascii="Times New Roman" w:hAnsi="Times New Roman" w:cs="Times New Roman"/>
          <w:sz w:val="24"/>
          <w:szCs w:val="24"/>
        </w:rPr>
        <w:t>Pasaules Bankas, Starptautiskā Valūtas Fonda, Pasaules Tirdzniecības Organizācijas, Amerikas</w:t>
      </w:r>
      <w:r w:rsidR="003B0BE2">
        <w:rPr>
          <w:rFonts w:ascii="Times New Roman" w:hAnsi="Times New Roman" w:cs="Times New Roman"/>
          <w:sz w:val="24"/>
          <w:szCs w:val="24"/>
        </w:rPr>
        <w:t xml:space="preserve"> </w:t>
      </w:r>
      <w:r w:rsidR="00935B1F">
        <w:rPr>
          <w:rFonts w:ascii="Times New Roman" w:hAnsi="Times New Roman" w:cs="Times New Roman"/>
          <w:sz w:val="24"/>
          <w:szCs w:val="24"/>
        </w:rPr>
        <w:t>valstu</w:t>
      </w:r>
      <w:r w:rsidRPr="00FB5BC4">
        <w:rPr>
          <w:rFonts w:ascii="Times New Roman" w:hAnsi="Times New Roman" w:cs="Times New Roman"/>
          <w:sz w:val="24"/>
          <w:szCs w:val="24"/>
        </w:rPr>
        <w:t xml:space="preserve"> organizācijas, Eiropas Padomes un Eiropas Savienības īstenoto rīcību; </w:t>
      </w:r>
    </w:p>
    <w:p w:rsidR="00B10BE0" w:rsidRPr="00FB5BC4" w:rsidRDefault="00B10BE0" w:rsidP="00B63451">
      <w:pPr>
        <w:pStyle w:val="Vienkrsteksts"/>
        <w:ind w:firstLine="720"/>
        <w:jc w:val="both"/>
        <w:rPr>
          <w:rFonts w:ascii="Times New Roman" w:hAnsi="Times New Roman" w:cs="Times New Roman"/>
          <w:sz w:val="24"/>
          <w:szCs w:val="24"/>
        </w:rPr>
      </w:pPr>
    </w:p>
    <w:p w:rsidR="00B10BE0" w:rsidRPr="00FB5BC4" w:rsidRDefault="00B10BE0" w:rsidP="00B63451">
      <w:pPr>
        <w:pStyle w:val="Vienkrsteksts"/>
        <w:ind w:firstLine="720"/>
        <w:jc w:val="both"/>
        <w:rPr>
          <w:rFonts w:ascii="Times New Roman" w:hAnsi="Times New Roman" w:cs="Times New Roman"/>
          <w:sz w:val="24"/>
          <w:szCs w:val="24"/>
        </w:rPr>
      </w:pPr>
      <w:r w:rsidRPr="00FB5BC4">
        <w:rPr>
          <w:rFonts w:ascii="Times New Roman" w:hAnsi="Times New Roman" w:cs="Times New Roman"/>
          <w:sz w:val="24"/>
          <w:szCs w:val="24"/>
        </w:rPr>
        <w:t xml:space="preserve">Apsveicot uzņēmumu, uzņēmēju organizāciju un arodbiedrību, kā arī citu nevalstisko organizāciju centienus apkarot kukuļošanu; </w:t>
      </w:r>
    </w:p>
    <w:p w:rsidR="00B10BE0" w:rsidRPr="00FB5BC4" w:rsidRDefault="00B10BE0" w:rsidP="00B63451">
      <w:pPr>
        <w:pStyle w:val="Vienkrsteksts"/>
        <w:ind w:firstLine="720"/>
        <w:jc w:val="both"/>
        <w:rPr>
          <w:rFonts w:ascii="Times New Roman" w:hAnsi="Times New Roman" w:cs="Times New Roman"/>
          <w:sz w:val="24"/>
          <w:szCs w:val="24"/>
        </w:rPr>
      </w:pPr>
    </w:p>
    <w:p w:rsidR="00B10BE0" w:rsidRPr="00FB5BC4" w:rsidRDefault="00B10BE0" w:rsidP="00B63451">
      <w:pPr>
        <w:pStyle w:val="Vienkrsteksts"/>
        <w:ind w:firstLine="720"/>
        <w:jc w:val="both"/>
        <w:rPr>
          <w:rFonts w:ascii="Times New Roman" w:hAnsi="Times New Roman" w:cs="Times New Roman"/>
          <w:sz w:val="24"/>
          <w:szCs w:val="24"/>
        </w:rPr>
      </w:pPr>
      <w:r w:rsidRPr="00FB5BC4">
        <w:rPr>
          <w:rFonts w:ascii="Times New Roman" w:hAnsi="Times New Roman" w:cs="Times New Roman"/>
          <w:sz w:val="24"/>
          <w:szCs w:val="24"/>
        </w:rPr>
        <w:t xml:space="preserve">Atzīstot valstu valdību lomu tajā, lai novērstu kukuļu pieprasīšanu no indivīdiem un uzņēmumiem starptautiskajos biznesa darījumos; </w:t>
      </w:r>
    </w:p>
    <w:p w:rsidR="00B10BE0" w:rsidRPr="00FB5BC4" w:rsidRDefault="00B10BE0" w:rsidP="00B63451">
      <w:pPr>
        <w:pStyle w:val="Vienkrsteksts"/>
        <w:ind w:firstLine="720"/>
        <w:jc w:val="both"/>
        <w:rPr>
          <w:rFonts w:ascii="Times New Roman" w:hAnsi="Times New Roman" w:cs="Times New Roman"/>
          <w:sz w:val="24"/>
          <w:szCs w:val="24"/>
        </w:rPr>
      </w:pPr>
    </w:p>
    <w:p w:rsidR="00B10BE0" w:rsidRPr="00FB5BC4" w:rsidRDefault="00B10BE0" w:rsidP="00B63451">
      <w:pPr>
        <w:pStyle w:val="Vienkrsteksts"/>
        <w:ind w:firstLine="720"/>
        <w:jc w:val="both"/>
        <w:rPr>
          <w:rFonts w:ascii="Times New Roman" w:hAnsi="Times New Roman" w:cs="Times New Roman"/>
          <w:sz w:val="24"/>
          <w:szCs w:val="24"/>
        </w:rPr>
      </w:pPr>
      <w:r w:rsidRPr="00FB5BC4">
        <w:rPr>
          <w:rFonts w:ascii="Times New Roman" w:hAnsi="Times New Roman" w:cs="Times New Roman"/>
          <w:sz w:val="24"/>
          <w:szCs w:val="24"/>
        </w:rPr>
        <w:t xml:space="preserve">Atzīstot, ka, lai panāktu progresu šajā jomā, ir nepieciešami attiecīgi pasākumi ne tikai valstu līmenī, bet nepieciešama arī daudzpusējā sadarbība, uzraudzība un pārbaudes; </w:t>
      </w:r>
    </w:p>
    <w:p w:rsidR="00B10BE0" w:rsidRPr="00FB5BC4" w:rsidRDefault="00B10BE0" w:rsidP="00B63451">
      <w:pPr>
        <w:pStyle w:val="Vienkrsteksts"/>
        <w:ind w:firstLine="720"/>
        <w:jc w:val="both"/>
        <w:rPr>
          <w:rFonts w:ascii="Times New Roman" w:hAnsi="Times New Roman" w:cs="Times New Roman"/>
          <w:sz w:val="24"/>
          <w:szCs w:val="24"/>
        </w:rPr>
      </w:pPr>
    </w:p>
    <w:p w:rsidR="00B10BE0" w:rsidRPr="00FB5BC4" w:rsidRDefault="00B10BE0" w:rsidP="00B63451">
      <w:pPr>
        <w:pStyle w:val="Vienkrsteksts"/>
        <w:ind w:firstLine="720"/>
        <w:jc w:val="both"/>
        <w:rPr>
          <w:rFonts w:ascii="Times New Roman" w:hAnsi="Times New Roman" w:cs="Times New Roman"/>
          <w:sz w:val="24"/>
          <w:szCs w:val="24"/>
        </w:rPr>
      </w:pPr>
      <w:r w:rsidRPr="00FB5BC4">
        <w:rPr>
          <w:rFonts w:ascii="Times New Roman" w:hAnsi="Times New Roman" w:cs="Times New Roman"/>
          <w:sz w:val="24"/>
          <w:szCs w:val="24"/>
        </w:rPr>
        <w:t xml:space="preserve">Atzīstot, ka Konvencijas būtiskais mērķis un nolūks ir panākt pušu veicamo pasākumu funkcionālo līdzvērtību, kam nepieciešama Konvencijas ratificēšana bez izņēmumiem un atkāpēm, kas ietekmē šo līdzvērtīgumu; </w:t>
      </w:r>
    </w:p>
    <w:p w:rsidR="00B10BE0" w:rsidRPr="00FB5BC4" w:rsidRDefault="00B10BE0" w:rsidP="00B63451">
      <w:pPr>
        <w:pStyle w:val="Vienkrsteksts"/>
        <w:ind w:firstLine="720"/>
        <w:jc w:val="both"/>
        <w:rPr>
          <w:rFonts w:ascii="Times New Roman" w:hAnsi="Times New Roman" w:cs="Times New Roman"/>
          <w:sz w:val="24"/>
          <w:szCs w:val="24"/>
        </w:rPr>
      </w:pPr>
    </w:p>
    <w:p w:rsidR="00B10BE0" w:rsidRPr="00FB5BC4" w:rsidRDefault="00B10BE0" w:rsidP="00B63451">
      <w:pPr>
        <w:pStyle w:val="Vienkrsteksts"/>
        <w:ind w:firstLine="720"/>
        <w:jc w:val="both"/>
        <w:rPr>
          <w:rFonts w:ascii="Times New Roman" w:hAnsi="Times New Roman" w:cs="Times New Roman"/>
          <w:sz w:val="24"/>
          <w:szCs w:val="24"/>
        </w:rPr>
      </w:pPr>
    </w:p>
    <w:p w:rsidR="00B10BE0" w:rsidRPr="00FB5BC4" w:rsidRDefault="00B10BE0" w:rsidP="00B63451">
      <w:pPr>
        <w:pStyle w:val="Vienkrsteksts"/>
        <w:ind w:firstLine="720"/>
        <w:rPr>
          <w:rFonts w:ascii="Times New Roman" w:hAnsi="Times New Roman" w:cs="Times New Roman"/>
          <w:sz w:val="24"/>
          <w:szCs w:val="24"/>
        </w:rPr>
      </w:pPr>
    </w:p>
    <w:p w:rsidR="00B10BE0" w:rsidRPr="00FB5BC4" w:rsidRDefault="00B10BE0" w:rsidP="00B63451">
      <w:pPr>
        <w:pStyle w:val="Vienkrsteksts"/>
        <w:ind w:firstLine="720"/>
        <w:rPr>
          <w:rFonts w:ascii="Times New Roman" w:hAnsi="Times New Roman" w:cs="Times New Roman"/>
          <w:sz w:val="24"/>
          <w:szCs w:val="24"/>
        </w:rPr>
      </w:pPr>
      <w:r w:rsidRPr="00FB5BC4">
        <w:rPr>
          <w:rFonts w:ascii="Times New Roman" w:hAnsi="Times New Roman" w:cs="Times New Roman"/>
          <w:sz w:val="24"/>
          <w:szCs w:val="24"/>
        </w:rPr>
        <w:br w:type="page"/>
      </w:r>
    </w:p>
    <w:p w:rsidR="00B10BE0" w:rsidRPr="00FB5BC4" w:rsidRDefault="00B10BE0" w:rsidP="00B63451">
      <w:pPr>
        <w:pStyle w:val="Vienkrsteksts"/>
        <w:ind w:firstLine="720"/>
        <w:rPr>
          <w:rFonts w:ascii="Times New Roman" w:hAnsi="Times New Roman" w:cs="Times New Roman"/>
          <w:sz w:val="24"/>
          <w:szCs w:val="24"/>
        </w:rPr>
      </w:pPr>
    </w:p>
    <w:p w:rsidR="00B10BE0" w:rsidRPr="00FB5BC4" w:rsidRDefault="00B10BE0" w:rsidP="00B63451">
      <w:pPr>
        <w:pStyle w:val="Vienkrsteksts"/>
        <w:ind w:firstLine="720"/>
        <w:rPr>
          <w:rFonts w:ascii="Times New Roman" w:hAnsi="Times New Roman" w:cs="Times New Roman"/>
          <w:sz w:val="24"/>
          <w:szCs w:val="24"/>
        </w:rPr>
      </w:pPr>
      <w:r w:rsidRPr="00FB5BC4">
        <w:rPr>
          <w:rFonts w:ascii="Times New Roman" w:hAnsi="Times New Roman" w:cs="Times New Roman"/>
          <w:sz w:val="24"/>
          <w:szCs w:val="24"/>
        </w:rPr>
        <w:t xml:space="preserve">ir vienojušās par sekojošo: </w:t>
      </w:r>
    </w:p>
    <w:p w:rsidR="00B10BE0" w:rsidRPr="00FB5BC4" w:rsidRDefault="00B10BE0" w:rsidP="00B63451">
      <w:pPr>
        <w:pStyle w:val="Vienkrsteksts"/>
        <w:ind w:firstLine="720"/>
        <w:rPr>
          <w:rFonts w:ascii="Times New Roman" w:hAnsi="Times New Roman" w:cs="Times New Roman"/>
          <w:sz w:val="24"/>
          <w:szCs w:val="24"/>
        </w:rPr>
      </w:pPr>
    </w:p>
    <w:p w:rsidR="00B10BE0" w:rsidRPr="00FB5BC4" w:rsidRDefault="00B10BE0" w:rsidP="00B63451">
      <w:pPr>
        <w:pStyle w:val="Vienkrsteksts"/>
        <w:ind w:firstLine="720"/>
        <w:jc w:val="center"/>
        <w:rPr>
          <w:rFonts w:ascii="Times New Roman" w:hAnsi="Times New Roman" w:cs="Times New Roman"/>
          <w:sz w:val="24"/>
          <w:szCs w:val="24"/>
        </w:rPr>
      </w:pPr>
      <w:r w:rsidRPr="00FB5BC4">
        <w:rPr>
          <w:rFonts w:ascii="Times New Roman" w:hAnsi="Times New Roman" w:cs="Times New Roman"/>
          <w:sz w:val="24"/>
          <w:szCs w:val="24"/>
        </w:rPr>
        <w:t>1. pants</w:t>
      </w:r>
    </w:p>
    <w:p w:rsidR="00B10BE0" w:rsidRPr="00FB5BC4" w:rsidRDefault="00B10BE0" w:rsidP="00B63451">
      <w:pPr>
        <w:pStyle w:val="Vienkrsteksts"/>
        <w:ind w:firstLine="720"/>
        <w:jc w:val="center"/>
        <w:rPr>
          <w:rFonts w:ascii="Times New Roman" w:hAnsi="Times New Roman" w:cs="Times New Roman"/>
          <w:sz w:val="24"/>
          <w:szCs w:val="24"/>
        </w:rPr>
      </w:pPr>
      <w:r w:rsidRPr="00FB5BC4">
        <w:rPr>
          <w:rFonts w:ascii="Times New Roman" w:hAnsi="Times New Roman" w:cs="Times New Roman"/>
          <w:sz w:val="24"/>
          <w:szCs w:val="24"/>
        </w:rPr>
        <w:t xml:space="preserve">Ārvalstu amatpersonu kukuļošana kā </w:t>
      </w:r>
      <w:r w:rsidR="00B20330">
        <w:rPr>
          <w:rFonts w:ascii="Times New Roman" w:hAnsi="Times New Roman" w:cs="Times New Roman"/>
          <w:sz w:val="24"/>
          <w:szCs w:val="24"/>
        </w:rPr>
        <w:t>nodarījums</w:t>
      </w:r>
    </w:p>
    <w:p w:rsidR="00B10BE0" w:rsidRPr="00FB5BC4" w:rsidRDefault="00B10BE0" w:rsidP="00B63451">
      <w:pPr>
        <w:pStyle w:val="Vienkrsteksts"/>
        <w:ind w:firstLine="720"/>
        <w:rPr>
          <w:rFonts w:ascii="Times New Roman" w:hAnsi="Times New Roman" w:cs="Times New Roman"/>
          <w:sz w:val="24"/>
          <w:szCs w:val="24"/>
        </w:rPr>
      </w:pPr>
    </w:p>
    <w:p w:rsidR="003B0BE2" w:rsidRDefault="00B10BE0" w:rsidP="00B63451">
      <w:pPr>
        <w:pStyle w:val="Vienkrsteksts"/>
        <w:numPr>
          <w:ilvl w:val="0"/>
          <w:numId w:val="1"/>
        </w:numPr>
        <w:ind w:left="0" w:firstLine="720"/>
        <w:jc w:val="both"/>
        <w:rPr>
          <w:rFonts w:ascii="Times New Roman" w:hAnsi="Times New Roman" w:cs="Times New Roman"/>
          <w:sz w:val="24"/>
          <w:szCs w:val="24"/>
        </w:rPr>
      </w:pPr>
      <w:r w:rsidRPr="00FB5BC4">
        <w:rPr>
          <w:rFonts w:ascii="Times New Roman" w:hAnsi="Times New Roman" w:cs="Times New Roman"/>
          <w:sz w:val="24"/>
          <w:szCs w:val="24"/>
        </w:rPr>
        <w:t xml:space="preserve">Ikviena Puse veic tādus pasākumus, kas varētu būt nepieciešami, lai noteiktu, ka saskaņā ar tās </w:t>
      </w:r>
      <w:r w:rsidR="00222A27">
        <w:rPr>
          <w:rFonts w:ascii="Times New Roman" w:hAnsi="Times New Roman" w:cs="Times New Roman"/>
          <w:sz w:val="24"/>
          <w:szCs w:val="24"/>
        </w:rPr>
        <w:t>normatīvajiem aktiem</w:t>
      </w:r>
      <w:r w:rsidRPr="00FB5BC4">
        <w:rPr>
          <w:rFonts w:ascii="Times New Roman" w:hAnsi="Times New Roman" w:cs="Times New Roman"/>
          <w:sz w:val="24"/>
          <w:szCs w:val="24"/>
        </w:rPr>
        <w:t xml:space="preserve"> ikvienas personas veikta apzināta nepiemērotu finansu vai cita veida labumu piedāvāšana, apsolīšana vai došana ārvalsts amatpersonai vai trešajai Pusei, nododot to tieši šai ārvalsts amatpersonai vai caur starpniekiem, lai amatpersona rīkotos vai atturētos no zināmas rīcības, kas saistīta ar amatpersonas amata pienākumu izpildi, nolūkā iegūt vai saglabāt darījumu vai cita veida neatbilstošas priekšrocības starptautiskas komercdarbības veikšanā, ir uzskatāma par krimināli sodāmu </w:t>
      </w:r>
      <w:r w:rsidR="00B20330">
        <w:rPr>
          <w:rFonts w:ascii="Times New Roman" w:hAnsi="Times New Roman" w:cs="Times New Roman"/>
          <w:sz w:val="24"/>
          <w:szCs w:val="24"/>
        </w:rPr>
        <w:t>nodarījum</w:t>
      </w:r>
      <w:r w:rsidR="003B0BE2">
        <w:rPr>
          <w:rFonts w:ascii="Times New Roman" w:hAnsi="Times New Roman" w:cs="Times New Roman"/>
          <w:sz w:val="24"/>
          <w:szCs w:val="24"/>
        </w:rPr>
        <w:t>u.</w:t>
      </w:r>
    </w:p>
    <w:p w:rsidR="00935B1F" w:rsidRDefault="00935B1F" w:rsidP="00B63451">
      <w:pPr>
        <w:pStyle w:val="Vienkrsteksts"/>
        <w:ind w:firstLine="720"/>
        <w:jc w:val="both"/>
        <w:rPr>
          <w:rFonts w:ascii="Times New Roman" w:hAnsi="Times New Roman" w:cs="Times New Roman"/>
          <w:sz w:val="24"/>
          <w:szCs w:val="24"/>
        </w:rPr>
      </w:pPr>
    </w:p>
    <w:p w:rsidR="006C17FE" w:rsidRDefault="00B10BE0" w:rsidP="00B63451">
      <w:pPr>
        <w:pStyle w:val="Vienkrsteksts"/>
        <w:numPr>
          <w:ilvl w:val="0"/>
          <w:numId w:val="1"/>
        </w:numPr>
        <w:ind w:left="0" w:firstLine="720"/>
        <w:jc w:val="both"/>
        <w:rPr>
          <w:rFonts w:ascii="Times New Roman" w:hAnsi="Times New Roman" w:cs="Times New Roman"/>
          <w:sz w:val="24"/>
          <w:szCs w:val="24"/>
        </w:rPr>
      </w:pPr>
      <w:r w:rsidRPr="006C17FE">
        <w:rPr>
          <w:rFonts w:ascii="Times New Roman" w:hAnsi="Times New Roman" w:cs="Times New Roman"/>
          <w:sz w:val="24"/>
          <w:szCs w:val="24"/>
        </w:rPr>
        <w:t xml:space="preserve">Ikviena Puse veic jebkurus pasākumus, kas nepieciešami, lai noteiktu, ka līdzdalība ārvalstu amatpersonas kukuļošanā, ieskaitot pamudinājumu, palīdzību un atbalstīšanu, vai kukuļošanas pilnvarošana ir krimināli sodāms </w:t>
      </w:r>
      <w:r w:rsidR="00B20330">
        <w:rPr>
          <w:rFonts w:ascii="Times New Roman" w:hAnsi="Times New Roman" w:cs="Times New Roman"/>
          <w:sz w:val="24"/>
          <w:szCs w:val="24"/>
        </w:rPr>
        <w:t>nodarījums</w:t>
      </w:r>
      <w:r w:rsidRPr="006C17FE">
        <w:rPr>
          <w:rFonts w:ascii="Times New Roman" w:hAnsi="Times New Roman" w:cs="Times New Roman"/>
          <w:sz w:val="24"/>
          <w:szCs w:val="24"/>
        </w:rPr>
        <w:t xml:space="preserve">. Ārvalstu amatpersonas kukuļošanas mēģinājums un sazvērestība šādas darbības veikšanai uzskatāma par krimināli sodāmu </w:t>
      </w:r>
      <w:r w:rsidR="00B20330">
        <w:rPr>
          <w:rFonts w:ascii="Times New Roman" w:hAnsi="Times New Roman" w:cs="Times New Roman"/>
          <w:sz w:val="24"/>
          <w:szCs w:val="24"/>
        </w:rPr>
        <w:t>nodarījumu</w:t>
      </w:r>
      <w:r w:rsidRPr="006C17FE">
        <w:rPr>
          <w:rFonts w:ascii="Times New Roman" w:hAnsi="Times New Roman" w:cs="Times New Roman"/>
          <w:sz w:val="24"/>
          <w:szCs w:val="24"/>
        </w:rPr>
        <w:t xml:space="preserve"> tādā pat mērā, kā mēģinājums vai sazvērestība piekukuļot</w:t>
      </w:r>
      <w:r w:rsidR="003B0BE2" w:rsidRPr="006C17FE">
        <w:rPr>
          <w:rFonts w:ascii="Times New Roman" w:hAnsi="Times New Roman" w:cs="Times New Roman"/>
          <w:sz w:val="24"/>
          <w:szCs w:val="24"/>
        </w:rPr>
        <w:t xml:space="preserve"> </w:t>
      </w:r>
      <w:r w:rsidRPr="006C17FE">
        <w:rPr>
          <w:rFonts w:ascii="Times New Roman" w:hAnsi="Times New Roman" w:cs="Times New Roman"/>
          <w:sz w:val="24"/>
          <w:szCs w:val="24"/>
        </w:rPr>
        <w:t xml:space="preserve">pašas valsts amatpersonu. </w:t>
      </w:r>
    </w:p>
    <w:p w:rsidR="00935B1F" w:rsidRDefault="00935B1F" w:rsidP="00B63451">
      <w:pPr>
        <w:pStyle w:val="Sarakstarindkopa"/>
        <w:ind w:left="0" w:firstLine="720"/>
        <w:rPr>
          <w:rFonts w:ascii="Times New Roman" w:hAnsi="Times New Roman" w:cs="Times New Roman"/>
          <w:sz w:val="24"/>
          <w:szCs w:val="24"/>
        </w:rPr>
      </w:pPr>
    </w:p>
    <w:p w:rsidR="006C17FE" w:rsidRDefault="00B20330" w:rsidP="00B63451">
      <w:pPr>
        <w:pStyle w:val="Vienkrsteksts"/>
        <w:numPr>
          <w:ilvl w:val="0"/>
          <w:numId w:val="1"/>
        </w:numPr>
        <w:ind w:left="0" w:firstLine="720"/>
        <w:jc w:val="both"/>
        <w:rPr>
          <w:rFonts w:ascii="Times New Roman" w:hAnsi="Times New Roman" w:cs="Times New Roman"/>
          <w:sz w:val="24"/>
          <w:szCs w:val="24"/>
        </w:rPr>
      </w:pPr>
      <w:r>
        <w:rPr>
          <w:rFonts w:ascii="Times New Roman" w:hAnsi="Times New Roman" w:cs="Times New Roman"/>
          <w:sz w:val="24"/>
          <w:szCs w:val="24"/>
        </w:rPr>
        <w:t>Nodarījum</w:t>
      </w:r>
      <w:r w:rsidR="00B10BE0" w:rsidRPr="006C17FE">
        <w:rPr>
          <w:rFonts w:ascii="Times New Roman" w:hAnsi="Times New Roman" w:cs="Times New Roman"/>
          <w:sz w:val="24"/>
          <w:szCs w:val="24"/>
        </w:rPr>
        <w:t xml:space="preserve">i, kas noteikti šī panta 1. un 2. punktā, turpmāk tekstā saukti kā “ārvalstu amatpersonas kukuļošana”. </w:t>
      </w:r>
    </w:p>
    <w:p w:rsidR="00935B1F" w:rsidRDefault="00935B1F" w:rsidP="00B63451">
      <w:pPr>
        <w:pStyle w:val="Sarakstarindkopa"/>
        <w:ind w:left="0" w:firstLine="720"/>
        <w:rPr>
          <w:rFonts w:ascii="Times New Roman" w:hAnsi="Times New Roman" w:cs="Times New Roman"/>
          <w:sz w:val="24"/>
          <w:szCs w:val="24"/>
        </w:rPr>
      </w:pPr>
    </w:p>
    <w:p w:rsidR="00B10BE0" w:rsidRDefault="00B10BE0" w:rsidP="00B63451">
      <w:pPr>
        <w:pStyle w:val="Vienkrsteksts"/>
        <w:numPr>
          <w:ilvl w:val="0"/>
          <w:numId w:val="1"/>
        </w:numPr>
        <w:ind w:left="0" w:firstLine="720"/>
        <w:jc w:val="both"/>
        <w:rPr>
          <w:rFonts w:ascii="Times New Roman" w:hAnsi="Times New Roman" w:cs="Times New Roman"/>
          <w:sz w:val="24"/>
          <w:szCs w:val="24"/>
        </w:rPr>
      </w:pPr>
      <w:r w:rsidRPr="006C17FE">
        <w:rPr>
          <w:rFonts w:ascii="Times New Roman" w:hAnsi="Times New Roman" w:cs="Times New Roman"/>
          <w:sz w:val="24"/>
          <w:szCs w:val="24"/>
        </w:rPr>
        <w:t xml:space="preserve">Šajā Konvencijā: </w:t>
      </w:r>
    </w:p>
    <w:p w:rsidR="00935B1F" w:rsidRDefault="00935B1F" w:rsidP="00B63451">
      <w:pPr>
        <w:pStyle w:val="Sarakstarindkopa"/>
        <w:ind w:firstLine="720"/>
        <w:rPr>
          <w:rFonts w:ascii="Times New Roman" w:hAnsi="Times New Roman" w:cs="Times New Roman"/>
          <w:sz w:val="24"/>
          <w:szCs w:val="24"/>
        </w:rPr>
      </w:pPr>
    </w:p>
    <w:p w:rsidR="00B10BE0" w:rsidRPr="00FB5BC4" w:rsidRDefault="00B10BE0" w:rsidP="00B63451">
      <w:pPr>
        <w:pStyle w:val="Vienkrsteksts"/>
        <w:ind w:firstLine="720"/>
        <w:jc w:val="both"/>
        <w:rPr>
          <w:rFonts w:ascii="Times New Roman" w:hAnsi="Times New Roman" w:cs="Times New Roman"/>
          <w:sz w:val="24"/>
          <w:szCs w:val="24"/>
        </w:rPr>
      </w:pPr>
      <w:r w:rsidRPr="00FB5BC4">
        <w:rPr>
          <w:rFonts w:ascii="Times New Roman" w:hAnsi="Times New Roman" w:cs="Times New Roman"/>
          <w:sz w:val="24"/>
          <w:szCs w:val="24"/>
        </w:rPr>
        <w:t xml:space="preserve">a) “ārvalstu amatpersona” nozīmē jebkuru personu, kura ieņem ārvalsts likumdevēja, administratīvu vai tiesu varas amatu, neatkarīgi no tā, vai šī persona amatā ir iecelta vai ievēlēta; jebkuru personu, kura pilda publiskās funkcijas šīs ārvalsts interesēs, ieskaitot publisko aģentūru vai valsts vai pašvaldību uzņēmumu; un jebkuru publiskas starptautiskas organizācijas amatpersonu vai aģentu; </w:t>
      </w:r>
    </w:p>
    <w:p w:rsidR="00B10BE0" w:rsidRPr="00FB5BC4" w:rsidRDefault="00B10BE0" w:rsidP="00B63451">
      <w:pPr>
        <w:pStyle w:val="Vienkrsteksts"/>
        <w:ind w:firstLine="720"/>
        <w:jc w:val="both"/>
        <w:rPr>
          <w:rFonts w:ascii="Times New Roman" w:hAnsi="Times New Roman" w:cs="Times New Roman"/>
          <w:sz w:val="24"/>
          <w:szCs w:val="24"/>
        </w:rPr>
      </w:pPr>
    </w:p>
    <w:p w:rsidR="00B10BE0" w:rsidRPr="00FB5BC4" w:rsidRDefault="00B10BE0" w:rsidP="00B63451">
      <w:pPr>
        <w:pStyle w:val="Vienkrsteksts"/>
        <w:ind w:firstLine="720"/>
        <w:jc w:val="both"/>
        <w:rPr>
          <w:rFonts w:ascii="Times New Roman" w:hAnsi="Times New Roman" w:cs="Times New Roman"/>
          <w:sz w:val="24"/>
          <w:szCs w:val="24"/>
        </w:rPr>
      </w:pPr>
      <w:r w:rsidRPr="00FB5BC4">
        <w:rPr>
          <w:rFonts w:ascii="Times New Roman" w:hAnsi="Times New Roman" w:cs="Times New Roman"/>
          <w:sz w:val="24"/>
          <w:szCs w:val="24"/>
        </w:rPr>
        <w:t xml:space="preserve">b) “ārvalsts/cita valsts” ietver visus valsts pārvaldes līmeņus un iedalījuma vienības, sākot no centrālā līdz vietējam; </w:t>
      </w:r>
    </w:p>
    <w:p w:rsidR="00B10BE0" w:rsidRPr="00FB5BC4" w:rsidRDefault="00B10BE0" w:rsidP="00B63451">
      <w:pPr>
        <w:pStyle w:val="Vienkrsteksts"/>
        <w:ind w:firstLine="720"/>
        <w:jc w:val="both"/>
        <w:rPr>
          <w:rFonts w:ascii="Times New Roman" w:hAnsi="Times New Roman" w:cs="Times New Roman"/>
          <w:sz w:val="24"/>
          <w:szCs w:val="24"/>
        </w:rPr>
      </w:pPr>
    </w:p>
    <w:p w:rsidR="00B10BE0" w:rsidRPr="00FB5BC4" w:rsidRDefault="00B10BE0" w:rsidP="00B63451">
      <w:pPr>
        <w:pStyle w:val="Vienkrsteksts"/>
        <w:ind w:firstLine="720"/>
        <w:jc w:val="both"/>
        <w:rPr>
          <w:rFonts w:ascii="Times New Roman" w:hAnsi="Times New Roman" w:cs="Times New Roman"/>
          <w:sz w:val="24"/>
          <w:szCs w:val="24"/>
        </w:rPr>
      </w:pPr>
      <w:r w:rsidRPr="00FB5BC4">
        <w:rPr>
          <w:rFonts w:ascii="Times New Roman" w:hAnsi="Times New Roman" w:cs="Times New Roman"/>
          <w:sz w:val="24"/>
          <w:szCs w:val="24"/>
        </w:rPr>
        <w:t xml:space="preserve">c) “rīcība vai atturēšanās no rīcības saistībā ar savu amata pienākumu izpildi” ietver amatpersonas amata stāvokļa jebkādu izmantošanu, neatkarīgi no tā, vai tas ietilpst šīs personas oficiālajā pilnvarojumā vai nē. </w:t>
      </w:r>
    </w:p>
    <w:p w:rsidR="00B10BE0" w:rsidRPr="00FB5BC4" w:rsidRDefault="00B10BE0" w:rsidP="00B63451">
      <w:pPr>
        <w:pStyle w:val="Vienkrsteksts"/>
        <w:ind w:firstLine="720"/>
        <w:jc w:val="both"/>
        <w:rPr>
          <w:rFonts w:ascii="Times New Roman" w:hAnsi="Times New Roman" w:cs="Times New Roman"/>
          <w:sz w:val="24"/>
          <w:szCs w:val="24"/>
        </w:rPr>
      </w:pPr>
    </w:p>
    <w:p w:rsidR="00B10BE0" w:rsidRPr="00FB5BC4" w:rsidRDefault="00B10BE0" w:rsidP="00B63451">
      <w:pPr>
        <w:pStyle w:val="Vienkrsteksts"/>
        <w:ind w:firstLine="720"/>
        <w:jc w:val="center"/>
        <w:rPr>
          <w:rFonts w:ascii="Times New Roman" w:hAnsi="Times New Roman" w:cs="Times New Roman"/>
          <w:sz w:val="24"/>
          <w:szCs w:val="24"/>
        </w:rPr>
      </w:pPr>
      <w:r w:rsidRPr="00FB5BC4">
        <w:rPr>
          <w:rFonts w:ascii="Times New Roman" w:hAnsi="Times New Roman" w:cs="Times New Roman"/>
          <w:sz w:val="24"/>
          <w:szCs w:val="24"/>
        </w:rPr>
        <w:t>2. pants</w:t>
      </w:r>
    </w:p>
    <w:p w:rsidR="00B10BE0" w:rsidRPr="00FB5BC4" w:rsidRDefault="00B10BE0" w:rsidP="00B63451">
      <w:pPr>
        <w:pStyle w:val="Vienkrsteksts"/>
        <w:ind w:firstLine="720"/>
        <w:jc w:val="center"/>
        <w:rPr>
          <w:rFonts w:ascii="Times New Roman" w:hAnsi="Times New Roman" w:cs="Times New Roman"/>
          <w:sz w:val="24"/>
          <w:szCs w:val="24"/>
        </w:rPr>
      </w:pPr>
      <w:r w:rsidRPr="00FB5BC4">
        <w:rPr>
          <w:rFonts w:ascii="Times New Roman" w:hAnsi="Times New Roman" w:cs="Times New Roman"/>
          <w:sz w:val="24"/>
          <w:szCs w:val="24"/>
        </w:rPr>
        <w:t>Juridisko personu atbildība</w:t>
      </w:r>
    </w:p>
    <w:p w:rsidR="00B10BE0" w:rsidRPr="00FB5BC4" w:rsidRDefault="00B10BE0" w:rsidP="00B63451">
      <w:pPr>
        <w:pStyle w:val="Vienkrsteksts"/>
        <w:ind w:firstLine="720"/>
        <w:jc w:val="both"/>
        <w:rPr>
          <w:rFonts w:ascii="Times New Roman" w:hAnsi="Times New Roman" w:cs="Times New Roman"/>
          <w:sz w:val="24"/>
          <w:szCs w:val="24"/>
        </w:rPr>
      </w:pPr>
    </w:p>
    <w:p w:rsidR="00B10BE0" w:rsidRPr="00FB5BC4" w:rsidRDefault="00B10BE0" w:rsidP="00B63451">
      <w:pPr>
        <w:pStyle w:val="Vienkrsteksts"/>
        <w:ind w:firstLine="720"/>
        <w:jc w:val="both"/>
        <w:rPr>
          <w:rFonts w:ascii="Times New Roman" w:hAnsi="Times New Roman" w:cs="Times New Roman"/>
          <w:sz w:val="24"/>
          <w:szCs w:val="24"/>
        </w:rPr>
      </w:pPr>
      <w:r w:rsidRPr="00FB5BC4">
        <w:rPr>
          <w:rFonts w:ascii="Times New Roman" w:hAnsi="Times New Roman" w:cs="Times New Roman"/>
          <w:sz w:val="24"/>
          <w:szCs w:val="24"/>
        </w:rPr>
        <w:t xml:space="preserve">Ikviena Puse veic tādus pasākumus, kas varētu būt nepieciešami, lai noteiktu juridisko personu </w:t>
      </w:r>
    </w:p>
    <w:p w:rsidR="00B10BE0" w:rsidRPr="00FB5BC4" w:rsidRDefault="00B10BE0" w:rsidP="00B63451">
      <w:pPr>
        <w:pStyle w:val="Vienkrsteksts"/>
        <w:ind w:firstLine="720"/>
        <w:jc w:val="both"/>
        <w:rPr>
          <w:rFonts w:ascii="Times New Roman" w:hAnsi="Times New Roman" w:cs="Times New Roman"/>
          <w:sz w:val="24"/>
          <w:szCs w:val="24"/>
        </w:rPr>
      </w:pPr>
      <w:r w:rsidRPr="00FB5BC4">
        <w:rPr>
          <w:rFonts w:ascii="Times New Roman" w:hAnsi="Times New Roman" w:cs="Times New Roman"/>
          <w:sz w:val="24"/>
          <w:szCs w:val="24"/>
        </w:rPr>
        <w:t xml:space="preserve">atbildību par ārvalsts amatpersonas kukuļošanu saskaņā ar savas valsts tiesiskajiem principiem. </w:t>
      </w:r>
    </w:p>
    <w:p w:rsidR="00B10BE0" w:rsidRPr="00FB5BC4" w:rsidRDefault="00B10BE0" w:rsidP="00B63451">
      <w:pPr>
        <w:pStyle w:val="Vienkrsteksts"/>
        <w:ind w:firstLine="720"/>
        <w:jc w:val="both"/>
        <w:rPr>
          <w:rFonts w:ascii="Times New Roman" w:hAnsi="Times New Roman" w:cs="Times New Roman"/>
          <w:sz w:val="24"/>
          <w:szCs w:val="24"/>
        </w:rPr>
      </w:pPr>
    </w:p>
    <w:p w:rsidR="00935B1F" w:rsidRDefault="00935B1F" w:rsidP="00B63451">
      <w:pPr>
        <w:pStyle w:val="Vienkrsteksts"/>
        <w:ind w:firstLine="720"/>
        <w:jc w:val="center"/>
        <w:rPr>
          <w:rFonts w:ascii="Times New Roman" w:hAnsi="Times New Roman" w:cs="Times New Roman"/>
          <w:sz w:val="24"/>
          <w:szCs w:val="24"/>
        </w:rPr>
      </w:pPr>
    </w:p>
    <w:p w:rsidR="00935B1F" w:rsidRDefault="00935B1F" w:rsidP="00B63451">
      <w:pPr>
        <w:pStyle w:val="Vienkrsteksts"/>
        <w:ind w:firstLine="720"/>
        <w:jc w:val="center"/>
        <w:rPr>
          <w:rFonts w:ascii="Times New Roman" w:hAnsi="Times New Roman" w:cs="Times New Roman"/>
          <w:sz w:val="24"/>
          <w:szCs w:val="24"/>
        </w:rPr>
      </w:pPr>
    </w:p>
    <w:p w:rsidR="00B10BE0" w:rsidRPr="00FB5BC4" w:rsidRDefault="00B10BE0" w:rsidP="00B63451">
      <w:pPr>
        <w:pStyle w:val="Vienkrsteksts"/>
        <w:ind w:firstLine="720"/>
        <w:jc w:val="center"/>
        <w:rPr>
          <w:rFonts w:ascii="Times New Roman" w:hAnsi="Times New Roman" w:cs="Times New Roman"/>
          <w:sz w:val="24"/>
          <w:szCs w:val="24"/>
        </w:rPr>
      </w:pPr>
      <w:r w:rsidRPr="00FB5BC4">
        <w:rPr>
          <w:rFonts w:ascii="Times New Roman" w:hAnsi="Times New Roman" w:cs="Times New Roman"/>
          <w:sz w:val="24"/>
          <w:szCs w:val="24"/>
        </w:rPr>
        <w:lastRenderedPageBreak/>
        <w:t>3. pants</w:t>
      </w:r>
    </w:p>
    <w:p w:rsidR="00B10BE0" w:rsidRPr="00FB5BC4" w:rsidRDefault="00B10BE0" w:rsidP="00B63451">
      <w:pPr>
        <w:pStyle w:val="Vienkrsteksts"/>
        <w:ind w:firstLine="720"/>
        <w:jc w:val="center"/>
        <w:rPr>
          <w:rFonts w:ascii="Times New Roman" w:hAnsi="Times New Roman" w:cs="Times New Roman"/>
          <w:sz w:val="24"/>
          <w:szCs w:val="24"/>
        </w:rPr>
      </w:pPr>
      <w:r w:rsidRPr="00FB5BC4">
        <w:rPr>
          <w:rFonts w:ascii="Times New Roman" w:hAnsi="Times New Roman" w:cs="Times New Roman"/>
          <w:sz w:val="24"/>
          <w:szCs w:val="24"/>
        </w:rPr>
        <w:t>Sankcijas</w:t>
      </w:r>
    </w:p>
    <w:p w:rsidR="00B10BE0" w:rsidRPr="00FB5BC4" w:rsidRDefault="00B10BE0" w:rsidP="00B63451">
      <w:pPr>
        <w:pStyle w:val="Vienkrsteksts"/>
        <w:ind w:firstLine="720"/>
        <w:jc w:val="both"/>
        <w:rPr>
          <w:rFonts w:ascii="Times New Roman" w:hAnsi="Times New Roman" w:cs="Times New Roman"/>
          <w:sz w:val="24"/>
          <w:szCs w:val="24"/>
        </w:rPr>
      </w:pPr>
    </w:p>
    <w:p w:rsidR="006C17FE" w:rsidRDefault="00B10BE0" w:rsidP="00B63451">
      <w:pPr>
        <w:pStyle w:val="Vienkrsteksts"/>
        <w:numPr>
          <w:ilvl w:val="0"/>
          <w:numId w:val="3"/>
        </w:numPr>
        <w:ind w:left="0" w:firstLine="720"/>
        <w:jc w:val="both"/>
        <w:rPr>
          <w:rFonts w:ascii="Times New Roman" w:hAnsi="Times New Roman" w:cs="Times New Roman"/>
          <w:sz w:val="24"/>
          <w:szCs w:val="24"/>
        </w:rPr>
      </w:pPr>
      <w:r w:rsidRPr="00FB5BC4">
        <w:rPr>
          <w:rFonts w:ascii="Times New Roman" w:hAnsi="Times New Roman" w:cs="Times New Roman"/>
          <w:sz w:val="24"/>
          <w:szCs w:val="24"/>
        </w:rPr>
        <w:t xml:space="preserve">Par ārvalstu amatpersonas kukuļošana ir piemērojami kriminālsodi, kas ir iedarbīgi, proporcionāli un pietiekami bargi, lai personas atturētos no nelikumīgas rīcības. Soda mēriem ir jābūt pielīdzinātiem tiem sodiem, kas paredzēti par pašas valsts amatpersonu kukuļošanu, un attiecībā uz </w:t>
      </w:r>
      <w:r w:rsidR="00B20330">
        <w:rPr>
          <w:rFonts w:ascii="Times New Roman" w:hAnsi="Times New Roman" w:cs="Times New Roman"/>
          <w:sz w:val="24"/>
          <w:szCs w:val="24"/>
        </w:rPr>
        <w:t xml:space="preserve">fiziskām </w:t>
      </w:r>
      <w:r w:rsidRPr="00FB5BC4">
        <w:rPr>
          <w:rFonts w:ascii="Times New Roman" w:hAnsi="Times New Roman" w:cs="Times New Roman"/>
          <w:sz w:val="24"/>
          <w:szCs w:val="24"/>
        </w:rPr>
        <w:t>personām tiem jāietver arī brīvības atņemšana, kāda ir</w:t>
      </w:r>
      <w:r w:rsidR="006C17FE">
        <w:rPr>
          <w:rFonts w:ascii="Times New Roman" w:hAnsi="Times New Roman" w:cs="Times New Roman"/>
          <w:sz w:val="24"/>
          <w:szCs w:val="24"/>
        </w:rPr>
        <w:t xml:space="preserve"> </w:t>
      </w:r>
      <w:r w:rsidRPr="00FB5BC4">
        <w:rPr>
          <w:rFonts w:ascii="Times New Roman" w:hAnsi="Times New Roman" w:cs="Times New Roman"/>
          <w:sz w:val="24"/>
          <w:szCs w:val="24"/>
        </w:rPr>
        <w:t xml:space="preserve">pietiekama, lai nodrošinātu iedarbīgu savstarpējo tiesisko palīdzību un izdošanu. </w:t>
      </w:r>
    </w:p>
    <w:p w:rsidR="00935B1F" w:rsidRDefault="00935B1F" w:rsidP="00B63451">
      <w:pPr>
        <w:pStyle w:val="Vienkrsteksts"/>
        <w:ind w:firstLine="720"/>
        <w:jc w:val="both"/>
        <w:rPr>
          <w:rFonts w:ascii="Times New Roman" w:hAnsi="Times New Roman" w:cs="Times New Roman"/>
          <w:sz w:val="24"/>
          <w:szCs w:val="24"/>
        </w:rPr>
      </w:pPr>
    </w:p>
    <w:p w:rsidR="006C17FE" w:rsidRDefault="00B10BE0" w:rsidP="00B63451">
      <w:pPr>
        <w:pStyle w:val="Vienkrsteksts"/>
        <w:numPr>
          <w:ilvl w:val="0"/>
          <w:numId w:val="3"/>
        </w:numPr>
        <w:ind w:left="0" w:firstLine="720"/>
        <w:jc w:val="both"/>
        <w:rPr>
          <w:rFonts w:ascii="Times New Roman" w:hAnsi="Times New Roman" w:cs="Times New Roman"/>
          <w:sz w:val="24"/>
          <w:szCs w:val="24"/>
        </w:rPr>
      </w:pPr>
      <w:r w:rsidRPr="006C17FE">
        <w:rPr>
          <w:rFonts w:ascii="Times New Roman" w:hAnsi="Times New Roman" w:cs="Times New Roman"/>
          <w:sz w:val="24"/>
          <w:szCs w:val="24"/>
        </w:rPr>
        <w:t xml:space="preserve">Gadījumā, ja saskaņā ar attiecīgās valsts </w:t>
      </w:r>
      <w:r w:rsidR="00222A27">
        <w:rPr>
          <w:rFonts w:ascii="Times New Roman" w:hAnsi="Times New Roman" w:cs="Times New Roman"/>
          <w:sz w:val="24"/>
          <w:szCs w:val="24"/>
        </w:rPr>
        <w:t>normatīvajiem aktiem</w:t>
      </w:r>
      <w:r w:rsidRPr="006C17FE">
        <w:rPr>
          <w:rFonts w:ascii="Times New Roman" w:hAnsi="Times New Roman" w:cs="Times New Roman"/>
          <w:sz w:val="24"/>
          <w:szCs w:val="24"/>
        </w:rPr>
        <w:t xml:space="preserve"> nav paredz</w:t>
      </w:r>
      <w:r w:rsidR="00D8631E">
        <w:rPr>
          <w:rFonts w:ascii="Times New Roman" w:hAnsi="Times New Roman" w:cs="Times New Roman"/>
          <w:sz w:val="24"/>
          <w:szCs w:val="24"/>
        </w:rPr>
        <w:t>ēta juridisko personu krimināl</w:t>
      </w:r>
      <w:r w:rsidRPr="006C17FE">
        <w:rPr>
          <w:rFonts w:ascii="Times New Roman" w:hAnsi="Times New Roman" w:cs="Times New Roman"/>
          <w:sz w:val="24"/>
          <w:szCs w:val="24"/>
        </w:rPr>
        <w:t>atbildība, tad šī valsts nodrošina iedarbīgu, proporcionālu un pietiekami bargu</w:t>
      </w:r>
      <w:r w:rsidR="00D8631E">
        <w:rPr>
          <w:rFonts w:ascii="Times New Roman" w:hAnsi="Times New Roman" w:cs="Times New Roman"/>
          <w:sz w:val="24"/>
          <w:szCs w:val="24"/>
        </w:rPr>
        <w:t>,</w:t>
      </w:r>
      <w:r w:rsidRPr="006C17FE">
        <w:rPr>
          <w:rFonts w:ascii="Times New Roman" w:hAnsi="Times New Roman" w:cs="Times New Roman"/>
          <w:sz w:val="24"/>
          <w:szCs w:val="24"/>
        </w:rPr>
        <w:t xml:space="preserve"> </w:t>
      </w:r>
      <w:r w:rsidR="00D8631E" w:rsidRPr="00D8631E">
        <w:rPr>
          <w:rFonts w:ascii="Times New Roman" w:hAnsi="Times New Roman" w:cs="Times New Roman"/>
          <w:sz w:val="24"/>
          <w:szCs w:val="24"/>
        </w:rPr>
        <w:t>lai personas atturētos no nelikumīgas rīcības</w:t>
      </w:r>
      <w:r w:rsidR="00D8631E">
        <w:rPr>
          <w:rFonts w:ascii="Times New Roman" w:hAnsi="Times New Roman" w:cs="Times New Roman"/>
          <w:sz w:val="24"/>
          <w:szCs w:val="24"/>
        </w:rPr>
        <w:t>,</w:t>
      </w:r>
      <w:r w:rsidR="00D8631E" w:rsidRPr="00D8631E">
        <w:rPr>
          <w:rFonts w:ascii="Times New Roman" w:hAnsi="Times New Roman" w:cs="Times New Roman"/>
          <w:sz w:val="24"/>
          <w:szCs w:val="24"/>
        </w:rPr>
        <w:t xml:space="preserve"> </w:t>
      </w:r>
      <w:r w:rsidR="00C86E84">
        <w:rPr>
          <w:rFonts w:ascii="Times New Roman" w:hAnsi="Times New Roman" w:cs="Times New Roman"/>
          <w:sz w:val="24"/>
          <w:szCs w:val="24"/>
        </w:rPr>
        <w:t>nekriminālu</w:t>
      </w:r>
      <w:r w:rsidRPr="006C17FE">
        <w:rPr>
          <w:rFonts w:ascii="Times New Roman" w:hAnsi="Times New Roman" w:cs="Times New Roman"/>
          <w:sz w:val="24"/>
          <w:szCs w:val="24"/>
        </w:rPr>
        <w:t xml:space="preserve"> sankciju piemērošanu juridiskajām personām, ieskaitot </w:t>
      </w:r>
      <w:r w:rsidR="00B20330">
        <w:rPr>
          <w:rFonts w:ascii="Times New Roman" w:hAnsi="Times New Roman" w:cs="Times New Roman"/>
          <w:sz w:val="24"/>
          <w:szCs w:val="24"/>
        </w:rPr>
        <w:t>naudas sodus</w:t>
      </w:r>
      <w:r w:rsidRPr="006C17FE">
        <w:rPr>
          <w:rFonts w:ascii="Times New Roman" w:hAnsi="Times New Roman" w:cs="Times New Roman"/>
          <w:sz w:val="24"/>
          <w:szCs w:val="24"/>
        </w:rPr>
        <w:t xml:space="preserve">, par ārvalstu amatpersonu kukuļošanu. </w:t>
      </w:r>
    </w:p>
    <w:p w:rsidR="00935B1F" w:rsidRDefault="00935B1F" w:rsidP="00B63451">
      <w:pPr>
        <w:pStyle w:val="Sarakstarindkopa"/>
        <w:ind w:left="0" w:firstLine="720"/>
        <w:rPr>
          <w:rFonts w:ascii="Times New Roman" w:hAnsi="Times New Roman" w:cs="Times New Roman"/>
          <w:sz w:val="24"/>
          <w:szCs w:val="24"/>
        </w:rPr>
      </w:pPr>
    </w:p>
    <w:p w:rsidR="006C17FE" w:rsidRDefault="00B10BE0" w:rsidP="00B63451">
      <w:pPr>
        <w:pStyle w:val="Vienkrsteksts"/>
        <w:numPr>
          <w:ilvl w:val="0"/>
          <w:numId w:val="3"/>
        </w:numPr>
        <w:ind w:left="0" w:firstLine="720"/>
        <w:jc w:val="both"/>
        <w:rPr>
          <w:rFonts w:ascii="Times New Roman" w:hAnsi="Times New Roman" w:cs="Times New Roman"/>
          <w:sz w:val="24"/>
          <w:szCs w:val="24"/>
        </w:rPr>
      </w:pPr>
      <w:r w:rsidRPr="006C17FE">
        <w:rPr>
          <w:rFonts w:ascii="Times New Roman" w:hAnsi="Times New Roman" w:cs="Times New Roman"/>
          <w:sz w:val="24"/>
          <w:szCs w:val="24"/>
        </w:rPr>
        <w:t>Ikviena Puse veic pasākumus, kas varētu būt nepieciešami, lai paredzētu, ka kukulis un ienākumi no ārvalstu amatpersonu kukuļošanas vai īpašums, kura vērtība atbilst šādi iegūtiem ienākumiem, ir izņemami un konfiscējami vai ka tiek piemērot</w:t>
      </w:r>
      <w:r w:rsidR="00B20330">
        <w:rPr>
          <w:rFonts w:ascii="Times New Roman" w:hAnsi="Times New Roman" w:cs="Times New Roman"/>
          <w:sz w:val="24"/>
          <w:szCs w:val="24"/>
        </w:rPr>
        <w:t>i</w:t>
      </w:r>
      <w:r w:rsidRPr="006C17FE">
        <w:rPr>
          <w:rFonts w:ascii="Times New Roman" w:hAnsi="Times New Roman" w:cs="Times New Roman"/>
          <w:sz w:val="24"/>
          <w:szCs w:val="24"/>
        </w:rPr>
        <w:t xml:space="preserve"> </w:t>
      </w:r>
      <w:r w:rsidR="0058324B">
        <w:rPr>
          <w:rFonts w:ascii="Times New Roman" w:hAnsi="Times New Roman" w:cs="Times New Roman"/>
          <w:sz w:val="24"/>
          <w:szCs w:val="24"/>
        </w:rPr>
        <w:t>naudas sodi</w:t>
      </w:r>
      <w:r w:rsidRPr="006C17FE">
        <w:rPr>
          <w:rFonts w:ascii="Times New Roman" w:hAnsi="Times New Roman" w:cs="Times New Roman"/>
          <w:sz w:val="24"/>
          <w:szCs w:val="24"/>
        </w:rPr>
        <w:t xml:space="preserve"> ar tam pielīdzināmu iedarbību. </w:t>
      </w:r>
    </w:p>
    <w:p w:rsidR="00935B1F" w:rsidRDefault="00935B1F" w:rsidP="00B63451">
      <w:pPr>
        <w:pStyle w:val="Sarakstarindkopa"/>
        <w:ind w:left="0" w:firstLine="720"/>
        <w:rPr>
          <w:rFonts w:ascii="Times New Roman" w:hAnsi="Times New Roman" w:cs="Times New Roman"/>
          <w:sz w:val="24"/>
          <w:szCs w:val="24"/>
        </w:rPr>
      </w:pPr>
    </w:p>
    <w:p w:rsidR="00B10BE0" w:rsidRDefault="00B10BE0" w:rsidP="00B63451">
      <w:pPr>
        <w:pStyle w:val="Vienkrsteksts"/>
        <w:numPr>
          <w:ilvl w:val="0"/>
          <w:numId w:val="3"/>
        </w:numPr>
        <w:ind w:left="0" w:firstLine="720"/>
        <w:jc w:val="both"/>
        <w:rPr>
          <w:rFonts w:ascii="Times New Roman" w:hAnsi="Times New Roman" w:cs="Times New Roman"/>
          <w:sz w:val="24"/>
          <w:szCs w:val="24"/>
        </w:rPr>
      </w:pPr>
      <w:r w:rsidRPr="006C17FE">
        <w:rPr>
          <w:rFonts w:ascii="Times New Roman" w:hAnsi="Times New Roman" w:cs="Times New Roman"/>
          <w:sz w:val="24"/>
          <w:szCs w:val="24"/>
        </w:rPr>
        <w:t>Ikviena Puse meklē iespējas noteikt papildus civilās vai administratīvās sankcijas personām, kam piemērojami sodi par ā</w:t>
      </w:r>
      <w:r w:rsidR="00935B1F">
        <w:rPr>
          <w:rFonts w:ascii="Times New Roman" w:hAnsi="Times New Roman" w:cs="Times New Roman"/>
          <w:sz w:val="24"/>
          <w:szCs w:val="24"/>
        </w:rPr>
        <w:t>rvalstu amatpersonu kukuļošanu.</w:t>
      </w:r>
    </w:p>
    <w:p w:rsidR="00935B1F" w:rsidRDefault="00935B1F" w:rsidP="00B63451">
      <w:pPr>
        <w:pStyle w:val="Sarakstarindkopa"/>
        <w:ind w:left="0" w:firstLine="720"/>
        <w:rPr>
          <w:rFonts w:ascii="Times New Roman" w:hAnsi="Times New Roman" w:cs="Times New Roman"/>
          <w:sz w:val="24"/>
          <w:szCs w:val="24"/>
        </w:rPr>
      </w:pPr>
    </w:p>
    <w:p w:rsidR="00935B1F" w:rsidRPr="006C17FE" w:rsidRDefault="00935B1F" w:rsidP="00B63451">
      <w:pPr>
        <w:pStyle w:val="Vienkrsteksts"/>
        <w:ind w:firstLine="720"/>
        <w:jc w:val="both"/>
        <w:rPr>
          <w:rFonts w:ascii="Times New Roman" w:hAnsi="Times New Roman" w:cs="Times New Roman"/>
          <w:sz w:val="24"/>
          <w:szCs w:val="24"/>
        </w:rPr>
      </w:pPr>
    </w:p>
    <w:p w:rsidR="006C17FE" w:rsidRDefault="006C17FE" w:rsidP="00B63451">
      <w:pPr>
        <w:pStyle w:val="Vienkrsteksts"/>
        <w:ind w:firstLine="720"/>
        <w:jc w:val="both"/>
        <w:rPr>
          <w:rFonts w:ascii="Times New Roman" w:hAnsi="Times New Roman" w:cs="Times New Roman"/>
          <w:sz w:val="24"/>
          <w:szCs w:val="24"/>
        </w:rPr>
      </w:pPr>
    </w:p>
    <w:p w:rsidR="00B10BE0" w:rsidRPr="00FB5BC4" w:rsidRDefault="00B10BE0" w:rsidP="00B63451">
      <w:pPr>
        <w:pStyle w:val="Vienkrsteksts"/>
        <w:ind w:firstLine="720"/>
        <w:jc w:val="center"/>
        <w:rPr>
          <w:rFonts w:ascii="Times New Roman" w:hAnsi="Times New Roman" w:cs="Times New Roman"/>
          <w:sz w:val="24"/>
          <w:szCs w:val="24"/>
        </w:rPr>
      </w:pPr>
      <w:r w:rsidRPr="00FB5BC4">
        <w:rPr>
          <w:rFonts w:ascii="Times New Roman" w:hAnsi="Times New Roman" w:cs="Times New Roman"/>
          <w:sz w:val="24"/>
          <w:szCs w:val="24"/>
        </w:rPr>
        <w:t>4. pants</w:t>
      </w:r>
    </w:p>
    <w:p w:rsidR="00B10BE0" w:rsidRPr="00FB5BC4" w:rsidRDefault="00B10BE0" w:rsidP="00B63451">
      <w:pPr>
        <w:pStyle w:val="Vienkrsteksts"/>
        <w:ind w:firstLine="720"/>
        <w:jc w:val="center"/>
        <w:rPr>
          <w:rFonts w:ascii="Times New Roman" w:hAnsi="Times New Roman" w:cs="Times New Roman"/>
          <w:sz w:val="24"/>
          <w:szCs w:val="24"/>
        </w:rPr>
      </w:pPr>
      <w:r w:rsidRPr="00FB5BC4">
        <w:rPr>
          <w:rFonts w:ascii="Times New Roman" w:hAnsi="Times New Roman" w:cs="Times New Roman"/>
          <w:sz w:val="24"/>
          <w:szCs w:val="24"/>
        </w:rPr>
        <w:t>Jurisdikcija</w:t>
      </w:r>
    </w:p>
    <w:p w:rsidR="00B10BE0" w:rsidRPr="00FB5BC4" w:rsidRDefault="00B10BE0" w:rsidP="00B63451">
      <w:pPr>
        <w:pStyle w:val="Vienkrsteksts"/>
        <w:ind w:firstLine="720"/>
        <w:jc w:val="both"/>
        <w:rPr>
          <w:rFonts w:ascii="Times New Roman" w:hAnsi="Times New Roman" w:cs="Times New Roman"/>
          <w:sz w:val="24"/>
          <w:szCs w:val="24"/>
        </w:rPr>
      </w:pPr>
    </w:p>
    <w:p w:rsidR="00935B1F" w:rsidRDefault="00B10BE0" w:rsidP="00B63451">
      <w:pPr>
        <w:pStyle w:val="Vienkrsteksts"/>
        <w:numPr>
          <w:ilvl w:val="0"/>
          <w:numId w:val="4"/>
        </w:numPr>
        <w:ind w:left="0" w:firstLine="720"/>
        <w:jc w:val="both"/>
        <w:rPr>
          <w:rFonts w:ascii="Times New Roman" w:hAnsi="Times New Roman" w:cs="Times New Roman"/>
          <w:sz w:val="24"/>
          <w:szCs w:val="24"/>
        </w:rPr>
      </w:pPr>
      <w:r w:rsidRPr="00FB5BC4">
        <w:rPr>
          <w:rFonts w:ascii="Times New Roman" w:hAnsi="Times New Roman" w:cs="Times New Roman"/>
          <w:sz w:val="24"/>
          <w:szCs w:val="24"/>
        </w:rPr>
        <w:t xml:space="preserve">Ikviena Puse veic pasākumus, kas varētu būt nepieciešami, lai noteiktu savu jurisdikciju attiecībā uz ārvalstu amatpersonu kukuļošanu, ja </w:t>
      </w:r>
      <w:r w:rsidR="00B20330">
        <w:rPr>
          <w:rFonts w:ascii="Times New Roman" w:hAnsi="Times New Roman" w:cs="Times New Roman"/>
          <w:sz w:val="24"/>
          <w:szCs w:val="24"/>
        </w:rPr>
        <w:t>nodarījum</w:t>
      </w:r>
      <w:r w:rsidRPr="00FB5BC4">
        <w:rPr>
          <w:rFonts w:ascii="Times New Roman" w:hAnsi="Times New Roman" w:cs="Times New Roman"/>
          <w:sz w:val="24"/>
          <w:szCs w:val="24"/>
        </w:rPr>
        <w:t xml:space="preserve">s pilnībā vai daļēji ir </w:t>
      </w:r>
      <w:r w:rsidR="00222A27">
        <w:rPr>
          <w:rFonts w:ascii="Times New Roman" w:hAnsi="Times New Roman" w:cs="Times New Roman"/>
          <w:sz w:val="24"/>
          <w:szCs w:val="24"/>
        </w:rPr>
        <w:t>izdarīt</w:t>
      </w:r>
      <w:r w:rsidRPr="00FB5BC4">
        <w:rPr>
          <w:rFonts w:ascii="Times New Roman" w:hAnsi="Times New Roman" w:cs="Times New Roman"/>
          <w:sz w:val="24"/>
          <w:szCs w:val="24"/>
        </w:rPr>
        <w:t xml:space="preserve">s tās teritorijā. </w:t>
      </w:r>
    </w:p>
    <w:p w:rsidR="00935B1F" w:rsidRDefault="00935B1F" w:rsidP="00B63451">
      <w:pPr>
        <w:pStyle w:val="Vienkrsteksts"/>
        <w:ind w:firstLine="720"/>
        <w:jc w:val="both"/>
        <w:rPr>
          <w:rFonts w:ascii="Times New Roman" w:hAnsi="Times New Roman" w:cs="Times New Roman"/>
          <w:sz w:val="24"/>
          <w:szCs w:val="24"/>
        </w:rPr>
      </w:pPr>
    </w:p>
    <w:p w:rsidR="00935B1F" w:rsidRDefault="00B10BE0" w:rsidP="00B63451">
      <w:pPr>
        <w:pStyle w:val="Vienkrsteksts"/>
        <w:numPr>
          <w:ilvl w:val="0"/>
          <w:numId w:val="4"/>
        </w:numPr>
        <w:ind w:left="0" w:firstLine="720"/>
        <w:jc w:val="both"/>
        <w:rPr>
          <w:rFonts w:ascii="Times New Roman" w:hAnsi="Times New Roman" w:cs="Times New Roman"/>
          <w:sz w:val="24"/>
          <w:szCs w:val="24"/>
        </w:rPr>
      </w:pPr>
      <w:r w:rsidRPr="00935B1F">
        <w:rPr>
          <w:rFonts w:ascii="Times New Roman" w:hAnsi="Times New Roman" w:cs="Times New Roman"/>
          <w:sz w:val="24"/>
          <w:szCs w:val="24"/>
        </w:rPr>
        <w:t xml:space="preserve"> Ikviena Puse, kam ir piekritība sodīt savas valsts pilsoņus par ārvalstīs pastrādātiem </w:t>
      </w:r>
      <w:r w:rsidR="00B20330">
        <w:rPr>
          <w:rFonts w:ascii="Times New Roman" w:hAnsi="Times New Roman" w:cs="Times New Roman"/>
          <w:sz w:val="24"/>
          <w:szCs w:val="24"/>
        </w:rPr>
        <w:t>nodarījum</w:t>
      </w:r>
      <w:r w:rsidRPr="00935B1F">
        <w:rPr>
          <w:rFonts w:ascii="Times New Roman" w:hAnsi="Times New Roman" w:cs="Times New Roman"/>
          <w:sz w:val="24"/>
          <w:szCs w:val="24"/>
        </w:rPr>
        <w:t xml:space="preserve">iem, veic pasākumus, kas varētu būt nepieciešami, lai noteiktu savu jurisdikciju soda piespriešanai par ārvalstu amatpersonas kukuļošanu saskaņā ar tādiem pašiem principiem. </w:t>
      </w:r>
    </w:p>
    <w:p w:rsidR="00935B1F" w:rsidRDefault="00935B1F" w:rsidP="00B63451">
      <w:pPr>
        <w:pStyle w:val="Sarakstarindkopa"/>
        <w:ind w:left="0" w:firstLine="720"/>
        <w:rPr>
          <w:rFonts w:ascii="Times New Roman" w:hAnsi="Times New Roman" w:cs="Times New Roman"/>
          <w:sz w:val="24"/>
          <w:szCs w:val="24"/>
        </w:rPr>
      </w:pPr>
    </w:p>
    <w:p w:rsidR="00935B1F" w:rsidRDefault="00B10BE0" w:rsidP="00B63451">
      <w:pPr>
        <w:pStyle w:val="Vienkrsteksts"/>
        <w:numPr>
          <w:ilvl w:val="0"/>
          <w:numId w:val="4"/>
        </w:numPr>
        <w:ind w:left="0" w:firstLine="720"/>
        <w:jc w:val="both"/>
        <w:rPr>
          <w:rFonts w:ascii="Times New Roman" w:hAnsi="Times New Roman" w:cs="Times New Roman"/>
          <w:sz w:val="24"/>
          <w:szCs w:val="24"/>
        </w:rPr>
      </w:pPr>
      <w:r w:rsidRPr="00935B1F">
        <w:rPr>
          <w:rFonts w:ascii="Times New Roman" w:hAnsi="Times New Roman" w:cs="Times New Roman"/>
          <w:sz w:val="24"/>
          <w:szCs w:val="24"/>
        </w:rPr>
        <w:t xml:space="preserve">Gadījumos, kad aizdomas par šajā Konvencijā aprakstītu </w:t>
      </w:r>
      <w:r w:rsidR="00B20330">
        <w:rPr>
          <w:rFonts w:ascii="Times New Roman" w:hAnsi="Times New Roman" w:cs="Times New Roman"/>
          <w:sz w:val="24"/>
          <w:szCs w:val="24"/>
        </w:rPr>
        <w:t>nodarījum</w:t>
      </w:r>
      <w:r w:rsidRPr="00935B1F">
        <w:rPr>
          <w:rFonts w:ascii="Times New Roman" w:hAnsi="Times New Roman" w:cs="Times New Roman"/>
          <w:sz w:val="24"/>
          <w:szCs w:val="24"/>
        </w:rPr>
        <w:t xml:space="preserve">u skar vairāk nekā vienas valsts jurisdikciju, tad iesaistītās Puses pēc pieprasījuma, ko izteikusi viena no pusēm, konsultējas par to, lai noteiktu visatbilstošāko jurisdikciju apsūdzības celšanai. </w:t>
      </w:r>
    </w:p>
    <w:p w:rsidR="00935B1F" w:rsidRDefault="00935B1F" w:rsidP="00B63451">
      <w:pPr>
        <w:pStyle w:val="Sarakstarindkopa"/>
        <w:ind w:left="0" w:firstLine="720"/>
        <w:rPr>
          <w:rFonts w:ascii="Times New Roman" w:hAnsi="Times New Roman" w:cs="Times New Roman"/>
          <w:sz w:val="24"/>
          <w:szCs w:val="24"/>
        </w:rPr>
      </w:pPr>
    </w:p>
    <w:p w:rsidR="00B10BE0" w:rsidRPr="00935B1F" w:rsidRDefault="00B10BE0" w:rsidP="00B63451">
      <w:pPr>
        <w:pStyle w:val="Vienkrsteksts"/>
        <w:numPr>
          <w:ilvl w:val="0"/>
          <w:numId w:val="4"/>
        </w:numPr>
        <w:ind w:left="0" w:firstLine="720"/>
        <w:jc w:val="both"/>
        <w:rPr>
          <w:rFonts w:ascii="Times New Roman" w:hAnsi="Times New Roman" w:cs="Times New Roman"/>
          <w:sz w:val="24"/>
          <w:szCs w:val="24"/>
        </w:rPr>
      </w:pPr>
      <w:r w:rsidRPr="00935B1F">
        <w:rPr>
          <w:rFonts w:ascii="Times New Roman" w:hAnsi="Times New Roman" w:cs="Times New Roman"/>
          <w:sz w:val="24"/>
          <w:szCs w:val="24"/>
        </w:rPr>
        <w:t xml:space="preserve">Ikviena Puse pārskata patreizējo tiesisko pamatu, lai noteiktu, vai tās jurisdikcija ir iedarbīga cīņā pret ārvalstu amatpersonu kukuļošanu, un, ja tas tā nav, veic atbilstošus korektīvos pasākumus. </w:t>
      </w:r>
    </w:p>
    <w:p w:rsidR="00B10BE0" w:rsidRPr="00FB5BC4" w:rsidRDefault="00B10BE0" w:rsidP="00B63451">
      <w:pPr>
        <w:pStyle w:val="Vienkrsteksts"/>
        <w:ind w:firstLine="720"/>
        <w:jc w:val="both"/>
        <w:rPr>
          <w:rFonts w:ascii="Times New Roman" w:hAnsi="Times New Roman" w:cs="Times New Roman"/>
          <w:sz w:val="24"/>
          <w:szCs w:val="24"/>
        </w:rPr>
      </w:pPr>
    </w:p>
    <w:p w:rsidR="00935B1F" w:rsidRDefault="00935B1F" w:rsidP="00B63451">
      <w:pPr>
        <w:pStyle w:val="Vienkrsteksts"/>
        <w:ind w:firstLine="720"/>
        <w:jc w:val="center"/>
        <w:rPr>
          <w:rFonts w:ascii="Times New Roman" w:hAnsi="Times New Roman" w:cs="Times New Roman"/>
          <w:sz w:val="24"/>
          <w:szCs w:val="24"/>
        </w:rPr>
      </w:pPr>
    </w:p>
    <w:p w:rsidR="00935B1F" w:rsidRDefault="00935B1F" w:rsidP="00B63451">
      <w:pPr>
        <w:pStyle w:val="Vienkrsteksts"/>
        <w:ind w:firstLine="720"/>
        <w:jc w:val="center"/>
        <w:rPr>
          <w:rFonts w:ascii="Times New Roman" w:hAnsi="Times New Roman" w:cs="Times New Roman"/>
          <w:sz w:val="24"/>
          <w:szCs w:val="24"/>
        </w:rPr>
      </w:pPr>
    </w:p>
    <w:p w:rsidR="00B10BE0" w:rsidRPr="00FB5BC4" w:rsidRDefault="00B10BE0" w:rsidP="00B63451">
      <w:pPr>
        <w:pStyle w:val="Vienkrsteksts"/>
        <w:ind w:firstLine="720"/>
        <w:jc w:val="center"/>
        <w:rPr>
          <w:rFonts w:ascii="Times New Roman" w:hAnsi="Times New Roman" w:cs="Times New Roman"/>
          <w:sz w:val="24"/>
          <w:szCs w:val="24"/>
        </w:rPr>
      </w:pPr>
      <w:r w:rsidRPr="00FB5BC4">
        <w:rPr>
          <w:rFonts w:ascii="Times New Roman" w:hAnsi="Times New Roman" w:cs="Times New Roman"/>
          <w:sz w:val="24"/>
          <w:szCs w:val="24"/>
        </w:rPr>
        <w:lastRenderedPageBreak/>
        <w:t>5. pants</w:t>
      </w:r>
    </w:p>
    <w:p w:rsidR="00B10BE0" w:rsidRPr="00FB5BC4" w:rsidRDefault="00B10BE0" w:rsidP="00B63451">
      <w:pPr>
        <w:pStyle w:val="Vienkrsteksts"/>
        <w:ind w:firstLine="720"/>
        <w:jc w:val="center"/>
        <w:rPr>
          <w:rFonts w:ascii="Times New Roman" w:hAnsi="Times New Roman" w:cs="Times New Roman"/>
          <w:sz w:val="24"/>
          <w:szCs w:val="24"/>
        </w:rPr>
      </w:pPr>
      <w:r w:rsidRPr="00FB5BC4">
        <w:rPr>
          <w:rFonts w:ascii="Times New Roman" w:hAnsi="Times New Roman" w:cs="Times New Roman"/>
          <w:sz w:val="24"/>
          <w:szCs w:val="24"/>
        </w:rPr>
        <w:t>Piemērošana</w:t>
      </w:r>
    </w:p>
    <w:p w:rsidR="00B10BE0" w:rsidRPr="00FB5BC4" w:rsidRDefault="00B10BE0" w:rsidP="00B63451">
      <w:pPr>
        <w:pStyle w:val="Vienkrsteksts"/>
        <w:ind w:firstLine="720"/>
        <w:jc w:val="both"/>
        <w:rPr>
          <w:rFonts w:ascii="Times New Roman" w:hAnsi="Times New Roman" w:cs="Times New Roman"/>
          <w:sz w:val="24"/>
          <w:szCs w:val="24"/>
        </w:rPr>
      </w:pPr>
    </w:p>
    <w:p w:rsidR="00B10BE0" w:rsidRPr="00FB5BC4" w:rsidRDefault="00B10BE0" w:rsidP="00B63451">
      <w:pPr>
        <w:pStyle w:val="Vienkrsteksts"/>
        <w:ind w:firstLine="720"/>
        <w:jc w:val="both"/>
        <w:rPr>
          <w:rFonts w:ascii="Times New Roman" w:hAnsi="Times New Roman" w:cs="Times New Roman"/>
          <w:sz w:val="24"/>
          <w:szCs w:val="24"/>
        </w:rPr>
      </w:pPr>
      <w:r w:rsidRPr="00FB5BC4">
        <w:rPr>
          <w:rFonts w:ascii="Times New Roman" w:hAnsi="Times New Roman" w:cs="Times New Roman"/>
          <w:sz w:val="24"/>
          <w:szCs w:val="24"/>
        </w:rPr>
        <w:t xml:space="preserve">Ārvalstu amatpersonu kukuļošanas gadījumu izmeklēšana un </w:t>
      </w:r>
      <w:r w:rsidR="0039373F">
        <w:rPr>
          <w:rFonts w:ascii="Times New Roman" w:hAnsi="Times New Roman" w:cs="Times New Roman"/>
          <w:sz w:val="24"/>
          <w:szCs w:val="24"/>
        </w:rPr>
        <w:t>kriminālvajāšana</w:t>
      </w:r>
      <w:r w:rsidRPr="00FB5BC4">
        <w:rPr>
          <w:rFonts w:ascii="Times New Roman" w:hAnsi="Times New Roman" w:cs="Times New Roman"/>
          <w:sz w:val="24"/>
          <w:szCs w:val="24"/>
        </w:rPr>
        <w:t xml:space="preserve"> veicama saskaņā ar katras valsts atbilstošo </w:t>
      </w:r>
      <w:r w:rsidR="0039373F">
        <w:rPr>
          <w:rFonts w:ascii="Times New Roman" w:hAnsi="Times New Roman" w:cs="Times New Roman"/>
          <w:sz w:val="24"/>
          <w:szCs w:val="24"/>
        </w:rPr>
        <w:t>normatīvo aktu</w:t>
      </w:r>
      <w:r w:rsidRPr="00FB5BC4">
        <w:rPr>
          <w:rFonts w:ascii="Times New Roman" w:hAnsi="Times New Roman" w:cs="Times New Roman"/>
          <w:sz w:val="24"/>
          <w:szCs w:val="24"/>
        </w:rPr>
        <w:t xml:space="preserve"> </w:t>
      </w:r>
      <w:r w:rsidR="0039373F">
        <w:rPr>
          <w:rFonts w:ascii="Times New Roman" w:hAnsi="Times New Roman" w:cs="Times New Roman"/>
          <w:sz w:val="24"/>
          <w:szCs w:val="24"/>
        </w:rPr>
        <w:t xml:space="preserve">prasībām </w:t>
      </w:r>
      <w:r w:rsidRPr="00FB5BC4">
        <w:rPr>
          <w:rFonts w:ascii="Times New Roman" w:hAnsi="Times New Roman" w:cs="Times New Roman"/>
          <w:sz w:val="24"/>
          <w:szCs w:val="24"/>
        </w:rPr>
        <w:t>un principiem. To nedrīkst ietekmēt apsvērumi, kas saistīti ar valsts ekonomiskajām interesēm, iespējamo ietekmi uz attiecībām ar citu valsti vai iesaistīto</w:t>
      </w:r>
      <w:r w:rsidR="00935B1F">
        <w:rPr>
          <w:rFonts w:ascii="Times New Roman" w:hAnsi="Times New Roman" w:cs="Times New Roman"/>
          <w:sz w:val="24"/>
          <w:szCs w:val="24"/>
        </w:rPr>
        <w:t xml:space="preserve"> </w:t>
      </w:r>
      <w:r w:rsidRPr="00FB5BC4">
        <w:rPr>
          <w:rFonts w:ascii="Times New Roman" w:hAnsi="Times New Roman" w:cs="Times New Roman"/>
          <w:sz w:val="24"/>
          <w:szCs w:val="24"/>
        </w:rPr>
        <w:t xml:space="preserve">fizisko vai juridisko personu identitāti. </w:t>
      </w:r>
    </w:p>
    <w:p w:rsidR="00B10BE0" w:rsidRPr="00FB5BC4" w:rsidRDefault="00B10BE0" w:rsidP="00B63451">
      <w:pPr>
        <w:pStyle w:val="Vienkrsteksts"/>
        <w:ind w:firstLine="720"/>
        <w:jc w:val="both"/>
        <w:rPr>
          <w:rFonts w:ascii="Times New Roman" w:hAnsi="Times New Roman" w:cs="Times New Roman"/>
          <w:sz w:val="24"/>
          <w:szCs w:val="24"/>
        </w:rPr>
      </w:pPr>
    </w:p>
    <w:p w:rsidR="00935B1F" w:rsidRDefault="00935B1F" w:rsidP="00B63451">
      <w:pPr>
        <w:pStyle w:val="Vienkrsteksts"/>
        <w:ind w:firstLine="720"/>
        <w:jc w:val="center"/>
        <w:rPr>
          <w:rFonts w:ascii="Times New Roman" w:hAnsi="Times New Roman" w:cs="Times New Roman"/>
          <w:sz w:val="24"/>
          <w:szCs w:val="24"/>
        </w:rPr>
      </w:pPr>
    </w:p>
    <w:p w:rsidR="00B10BE0" w:rsidRPr="00FB5BC4" w:rsidRDefault="00B10BE0" w:rsidP="00B63451">
      <w:pPr>
        <w:pStyle w:val="Vienkrsteksts"/>
        <w:ind w:firstLine="720"/>
        <w:jc w:val="center"/>
        <w:rPr>
          <w:rFonts w:ascii="Times New Roman" w:hAnsi="Times New Roman" w:cs="Times New Roman"/>
          <w:sz w:val="24"/>
          <w:szCs w:val="24"/>
        </w:rPr>
      </w:pPr>
      <w:r w:rsidRPr="00FB5BC4">
        <w:rPr>
          <w:rFonts w:ascii="Times New Roman" w:hAnsi="Times New Roman" w:cs="Times New Roman"/>
          <w:sz w:val="24"/>
          <w:szCs w:val="24"/>
        </w:rPr>
        <w:t>6. pants</w:t>
      </w:r>
    </w:p>
    <w:p w:rsidR="00B10BE0" w:rsidRPr="00FB5BC4" w:rsidRDefault="00B10BE0" w:rsidP="00B63451">
      <w:pPr>
        <w:pStyle w:val="Vienkrsteksts"/>
        <w:ind w:firstLine="720"/>
        <w:jc w:val="center"/>
        <w:rPr>
          <w:rFonts w:ascii="Times New Roman" w:hAnsi="Times New Roman" w:cs="Times New Roman"/>
          <w:sz w:val="24"/>
          <w:szCs w:val="24"/>
        </w:rPr>
      </w:pPr>
      <w:r w:rsidRPr="00FB5BC4">
        <w:rPr>
          <w:rFonts w:ascii="Times New Roman" w:hAnsi="Times New Roman" w:cs="Times New Roman"/>
          <w:sz w:val="24"/>
          <w:szCs w:val="24"/>
        </w:rPr>
        <w:t>Noilgums</w:t>
      </w:r>
    </w:p>
    <w:p w:rsidR="00B10BE0" w:rsidRPr="00FB5BC4" w:rsidRDefault="00B10BE0" w:rsidP="00B63451">
      <w:pPr>
        <w:pStyle w:val="Vienkrsteksts"/>
        <w:ind w:firstLine="720"/>
        <w:jc w:val="both"/>
        <w:rPr>
          <w:rFonts w:ascii="Times New Roman" w:hAnsi="Times New Roman" w:cs="Times New Roman"/>
          <w:sz w:val="24"/>
          <w:szCs w:val="24"/>
        </w:rPr>
      </w:pPr>
    </w:p>
    <w:p w:rsidR="00B10BE0" w:rsidRPr="00FB5BC4" w:rsidRDefault="00B10BE0" w:rsidP="00B63451">
      <w:pPr>
        <w:pStyle w:val="Vienkrsteksts"/>
        <w:ind w:firstLine="720"/>
        <w:jc w:val="both"/>
        <w:rPr>
          <w:rFonts w:ascii="Times New Roman" w:hAnsi="Times New Roman" w:cs="Times New Roman"/>
          <w:sz w:val="24"/>
          <w:szCs w:val="24"/>
        </w:rPr>
      </w:pPr>
      <w:r w:rsidRPr="00FB5BC4">
        <w:rPr>
          <w:rFonts w:ascii="Times New Roman" w:hAnsi="Times New Roman" w:cs="Times New Roman"/>
          <w:sz w:val="24"/>
          <w:szCs w:val="24"/>
        </w:rPr>
        <w:t xml:space="preserve">Jebkādas tiesiskās normas par noilgumu, kas attiecināmas uz ārvalstu amatpersonu kukuļošanas </w:t>
      </w:r>
      <w:r w:rsidR="00B20330">
        <w:rPr>
          <w:rFonts w:ascii="Times New Roman" w:hAnsi="Times New Roman" w:cs="Times New Roman"/>
          <w:sz w:val="24"/>
          <w:szCs w:val="24"/>
        </w:rPr>
        <w:t>nodarījum</w:t>
      </w:r>
      <w:r w:rsidRPr="00FB5BC4">
        <w:rPr>
          <w:rFonts w:ascii="Times New Roman" w:hAnsi="Times New Roman" w:cs="Times New Roman"/>
          <w:sz w:val="24"/>
          <w:szCs w:val="24"/>
        </w:rPr>
        <w:t xml:space="preserve">u, ir nosakāmas, paredzot pienācīgu laiku šī </w:t>
      </w:r>
      <w:r w:rsidR="00B20330">
        <w:rPr>
          <w:rFonts w:ascii="Times New Roman" w:hAnsi="Times New Roman" w:cs="Times New Roman"/>
          <w:sz w:val="24"/>
          <w:szCs w:val="24"/>
        </w:rPr>
        <w:t>nodarījum</w:t>
      </w:r>
      <w:r w:rsidRPr="00FB5BC4">
        <w:rPr>
          <w:rFonts w:ascii="Times New Roman" w:hAnsi="Times New Roman" w:cs="Times New Roman"/>
          <w:sz w:val="24"/>
          <w:szCs w:val="24"/>
        </w:rPr>
        <w:t xml:space="preserve">a izmeklēšanai un apsūdzībai. </w:t>
      </w:r>
    </w:p>
    <w:p w:rsidR="00B10BE0" w:rsidRPr="00FB5BC4" w:rsidRDefault="00B10BE0" w:rsidP="00B63451">
      <w:pPr>
        <w:pStyle w:val="Vienkrsteksts"/>
        <w:ind w:firstLine="720"/>
        <w:jc w:val="both"/>
        <w:rPr>
          <w:rFonts w:ascii="Times New Roman" w:hAnsi="Times New Roman" w:cs="Times New Roman"/>
          <w:sz w:val="24"/>
          <w:szCs w:val="24"/>
        </w:rPr>
      </w:pPr>
    </w:p>
    <w:p w:rsidR="00935B1F" w:rsidRDefault="00935B1F" w:rsidP="00B63451">
      <w:pPr>
        <w:pStyle w:val="Vienkrsteksts"/>
        <w:ind w:firstLine="720"/>
        <w:jc w:val="center"/>
        <w:rPr>
          <w:rFonts w:ascii="Times New Roman" w:hAnsi="Times New Roman" w:cs="Times New Roman"/>
          <w:sz w:val="24"/>
          <w:szCs w:val="24"/>
        </w:rPr>
      </w:pPr>
    </w:p>
    <w:p w:rsidR="00B10BE0" w:rsidRPr="00FB5BC4" w:rsidRDefault="00B10BE0" w:rsidP="00B63451">
      <w:pPr>
        <w:pStyle w:val="Vienkrsteksts"/>
        <w:ind w:firstLine="720"/>
        <w:jc w:val="center"/>
        <w:rPr>
          <w:rFonts w:ascii="Times New Roman" w:hAnsi="Times New Roman" w:cs="Times New Roman"/>
          <w:sz w:val="24"/>
          <w:szCs w:val="24"/>
        </w:rPr>
      </w:pPr>
      <w:r w:rsidRPr="00FB5BC4">
        <w:rPr>
          <w:rFonts w:ascii="Times New Roman" w:hAnsi="Times New Roman" w:cs="Times New Roman"/>
          <w:sz w:val="24"/>
          <w:szCs w:val="24"/>
        </w:rPr>
        <w:t>7. pants</w:t>
      </w:r>
    </w:p>
    <w:p w:rsidR="00B10BE0" w:rsidRPr="00FB5BC4" w:rsidRDefault="00B10BE0" w:rsidP="00B63451">
      <w:pPr>
        <w:pStyle w:val="Vienkrsteksts"/>
        <w:ind w:firstLine="720"/>
        <w:jc w:val="center"/>
        <w:rPr>
          <w:rFonts w:ascii="Times New Roman" w:hAnsi="Times New Roman" w:cs="Times New Roman"/>
          <w:sz w:val="24"/>
          <w:szCs w:val="24"/>
        </w:rPr>
      </w:pPr>
      <w:r w:rsidRPr="00FB5BC4">
        <w:rPr>
          <w:rFonts w:ascii="Times New Roman" w:hAnsi="Times New Roman" w:cs="Times New Roman"/>
          <w:sz w:val="24"/>
          <w:szCs w:val="24"/>
        </w:rPr>
        <w:t>Nelikumīgi iegūtu naudas līdzekļu legalizēšana</w:t>
      </w:r>
    </w:p>
    <w:p w:rsidR="00B10BE0" w:rsidRPr="00FB5BC4" w:rsidRDefault="00B10BE0" w:rsidP="00B63451">
      <w:pPr>
        <w:pStyle w:val="Vienkrsteksts"/>
        <w:ind w:firstLine="720"/>
        <w:jc w:val="both"/>
        <w:rPr>
          <w:rFonts w:ascii="Times New Roman" w:hAnsi="Times New Roman" w:cs="Times New Roman"/>
          <w:sz w:val="24"/>
          <w:szCs w:val="24"/>
        </w:rPr>
      </w:pPr>
    </w:p>
    <w:p w:rsidR="00B10BE0" w:rsidRPr="00FB5BC4" w:rsidRDefault="00B10BE0" w:rsidP="00B63451">
      <w:pPr>
        <w:pStyle w:val="Vienkrsteksts"/>
        <w:ind w:firstLine="720"/>
        <w:jc w:val="both"/>
        <w:rPr>
          <w:rFonts w:ascii="Times New Roman" w:hAnsi="Times New Roman" w:cs="Times New Roman"/>
          <w:sz w:val="24"/>
          <w:szCs w:val="24"/>
        </w:rPr>
      </w:pPr>
      <w:r w:rsidRPr="00FB5BC4">
        <w:rPr>
          <w:rFonts w:ascii="Times New Roman" w:hAnsi="Times New Roman" w:cs="Times New Roman"/>
          <w:sz w:val="24"/>
          <w:szCs w:val="24"/>
        </w:rPr>
        <w:t xml:space="preserve">Ikviena Puse, kas atzīst savas valsts amatpersonu kukuļošanu par </w:t>
      </w:r>
      <w:r w:rsidR="00B20330">
        <w:rPr>
          <w:rFonts w:ascii="Times New Roman" w:hAnsi="Times New Roman" w:cs="Times New Roman"/>
          <w:sz w:val="24"/>
          <w:szCs w:val="24"/>
        </w:rPr>
        <w:t>nodarīju</w:t>
      </w:r>
      <w:r w:rsidRPr="00FB5BC4">
        <w:rPr>
          <w:rFonts w:ascii="Times New Roman" w:hAnsi="Times New Roman" w:cs="Times New Roman"/>
          <w:sz w:val="24"/>
          <w:szCs w:val="24"/>
        </w:rPr>
        <w:t xml:space="preserve">mu šīs valsts nelikumīgi iegūtu naudas līdzekļu legalizēšanas </w:t>
      </w:r>
      <w:r w:rsidR="00B8787E">
        <w:rPr>
          <w:rFonts w:ascii="Times New Roman" w:hAnsi="Times New Roman" w:cs="Times New Roman"/>
          <w:sz w:val="24"/>
          <w:szCs w:val="24"/>
        </w:rPr>
        <w:t>normatīvo aktu</w:t>
      </w:r>
      <w:r w:rsidRPr="00FB5BC4">
        <w:rPr>
          <w:rFonts w:ascii="Times New Roman" w:hAnsi="Times New Roman" w:cs="Times New Roman"/>
          <w:sz w:val="24"/>
          <w:szCs w:val="24"/>
        </w:rPr>
        <w:t xml:space="preserve"> izpratnē, ar tādiem pašiem nosacījumiem to piemēro attiecībā uz ārvalstu amatpersonu kukuļošanu, neatkarīgi no tā, kurā vietā kukuļošana ir notikusi. </w:t>
      </w:r>
    </w:p>
    <w:p w:rsidR="00B10BE0" w:rsidRDefault="00B10BE0" w:rsidP="00B63451">
      <w:pPr>
        <w:pStyle w:val="Vienkrsteksts"/>
        <w:ind w:firstLine="720"/>
        <w:jc w:val="both"/>
        <w:rPr>
          <w:rFonts w:ascii="Times New Roman" w:hAnsi="Times New Roman" w:cs="Times New Roman"/>
          <w:sz w:val="24"/>
          <w:szCs w:val="24"/>
        </w:rPr>
      </w:pPr>
    </w:p>
    <w:p w:rsidR="00935B1F" w:rsidRPr="00FB5BC4" w:rsidRDefault="00935B1F" w:rsidP="00B63451">
      <w:pPr>
        <w:pStyle w:val="Vienkrsteksts"/>
        <w:ind w:firstLine="720"/>
        <w:jc w:val="both"/>
        <w:rPr>
          <w:rFonts w:ascii="Times New Roman" w:hAnsi="Times New Roman" w:cs="Times New Roman"/>
          <w:sz w:val="24"/>
          <w:szCs w:val="24"/>
        </w:rPr>
      </w:pPr>
    </w:p>
    <w:p w:rsidR="00B10BE0" w:rsidRPr="00FB5BC4" w:rsidRDefault="00B10BE0" w:rsidP="00B63451">
      <w:pPr>
        <w:pStyle w:val="Vienkrsteksts"/>
        <w:ind w:firstLine="720"/>
        <w:jc w:val="center"/>
        <w:rPr>
          <w:rFonts w:ascii="Times New Roman" w:hAnsi="Times New Roman" w:cs="Times New Roman"/>
          <w:sz w:val="24"/>
          <w:szCs w:val="24"/>
        </w:rPr>
      </w:pPr>
      <w:r w:rsidRPr="00FB5BC4">
        <w:rPr>
          <w:rFonts w:ascii="Times New Roman" w:hAnsi="Times New Roman" w:cs="Times New Roman"/>
          <w:sz w:val="24"/>
          <w:szCs w:val="24"/>
        </w:rPr>
        <w:t>8. pants</w:t>
      </w:r>
    </w:p>
    <w:p w:rsidR="00B10BE0" w:rsidRPr="00FB5BC4" w:rsidRDefault="00B10BE0" w:rsidP="00B63451">
      <w:pPr>
        <w:pStyle w:val="Vienkrsteksts"/>
        <w:ind w:firstLine="720"/>
        <w:jc w:val="center"/>
        <w:rPr>
          <w:rFonts w:ascii="Times New Roman" w:hAnsi="Times New Roman" w:cs="Times New Roman"/>
          <w:sz w:val="24"/>
          <w:szCs w:val="24"/>
        </w:rPr>
      </w:pPr>
      <w:r w:rsidRPr="00FB5BC4">
        <w:rPr>
          <w:rFonts w:ascii="Times New Roman" w:hAnsi="Times New Roman" w:cs="Times New Roman"/>
          <w:sz w:val="24"/>
          <w:szCs w:val="24"/>
        </w:rPr>
        <w:t>Grāmatvedības uzskaite</w:t>
      </w:r>
    </w:p>
    <w:p w:rsidR="00B10BE0" w:rsidRPr="00FB5BC4" w:rsidRDefault="00B10BE0" w:rsidP="00B63451">
      <w:pPr>
        <w:pStyle w:val="Vienkrsteksts"/>
        <w:ind w:firstLine="720"/>
        <w:jc w:val="both"/>
        <w:rPr>
          <w:rFonts w:ascii="Times New Roman" w:hAnsi="Times New Roman" w:cs="Times New Roman"/>
          <w:sz w:val="24"/>
          <w:szCs w:val="24"/>
        </w:rPr>
      </w:pPr>
    </w:p>
    <w:p w:rsidR="00935B1F" w:rsidRDefault="00B10BE0" w:rsidP="00B63451">
      <w:pPr>
        <w:pStyle w:val="Vienkrsteksts"/>
        <w:numPr>
          <w:ilvl w:val="0"/>
          <w:numId w:val="9"/>
        </w:numPr>
        <w:ind w:left="0" w:firstLine="720"/>
        <w:jc w:val="both"/>
        <w:rPr>
          <w:rFonts w:ascii="Times New Roman" w:hAnsi="Times New Roman" w:cs="Times New Roman"/>
          <w:sz w:val="24"/>
          <w:szCs w:val="24"/>
        </w:rPr>
      </w:pPr>
      <w:r w:rsidRPr="00935B1F">
        <w:rPr>
          <w:rFonts w:ascii="Times New Roman" w:hAnsi="Times New Roman" w:cs="Times New Roman"/>
          <w:sz w:val="24"/>
          <w:szCs w:val="24"/>
        </w:rPr>
        <w:t xml:space="preserve">Lai iedarbīgi cīnītos ar ārvalstu amatpersonu kukuļošanu, ikviena Puse veic pasākumus, kas varētu būt nepieciešami, lai attiecīgās valsts </w:t>
      </w:r>
      <w:r w:rsidR="00B8787E">
        <w:rPr>
          <w:rFonts w:ascii="Times New Roman" w:hAnsi="Times New Roman" w:cs="Times New Roman"/>
          <w:sz w:val="24"/>
          <w:szCs w:val="24"/>
        </w:rPr>
        <w:t>normatīvo aktu</w:t>
      </w:r>
      <w:r w:rsidRPr="00935B1F">
        <w:rPr>
          <w:rFonts w:ascii="Times New Roman" w:hAnsi="Times New Roman" w:cs="Times New Roman"/>
          <w:sz w:val="24"/>
          <w:szCs w:val="24"/>
        </w:rPr>
        <w:t xml:space="preserve"> ietvaros, kas</w:t>
      </w:r>
      <w:r w:rsidR="00935B1F" w:rsidRPr="00935B1F">
        <w:rPr>
          <w:rFonts w:ascii="Times New Roman" w:hAnsi="Times New Roman" w:cs="Times New Roman"/>
          <w:sz w:val="24"/>
          <w:szCs w:val="24"/>
        </w:rPr>
        <w:t xml:space="preserve"> </w:t>
      </w:r>
      <w:r w:rsidRPr="00935B1F">
        <w:rPr>
          <w:rFonts w:ascii="Times New Roman" w:hAnsi="Times New Roman" w:cs="Times New Roman"/>
          <w:sz w:val="24"/>
          <w:szCs w:val="24"/>
        </w:rPr>
        <w:t>attiecas uz grāmatvedības uzskaiti un dokumentāciju, finansu pārskatu pieejamību un</w:t>
      </w:r>
      <w:r w:rsidR="00935B1F" w:rsidRPr="00935B1F">
        <w:rPr>
          <w:rFonts w:ascii="Times New Roman" w:hAnsi="Times New Roman" w:cs="Times New Roman"/>
          <w:sz w:val="24"/>
          <w:szCs w:val="24"/>
        </w:rPr>
        <w:t xml:space="preserve"> </w:t>
      </w:r>
      <w:r w:rsidRPr="00935B1F">
        <w:rPr>
          <w:rFonts w:ascii="Times New Roman" w:hAnsi="Times New Roman" w:cs="Times New Roman"/>
          <w:sz w:val="24"/>
          <w:szCs w:val="24"/>
        </w:rPr>
        <w:t xml:space="preserve">grāmatvedības un revīzijas standartiem, aizliegtu </w:t>
      </w:r>
      <w:r w:rsidR="001F36B5">
        <w:rPr>
          <w:rFonts w:ascii="Times New Roman" w:hAnsi="Times New Roman" w:cs="Times New Roman"/>
          <w:sz w:val="24"/>
          <w:szCs w:val="24"/>
        </w:rPr>
        <w:t xml:space="preserve">izmantot ārpus </w:t>
      </w:r>
      <w:r w:rsidRPr="00935B1F">
        <w:rPr>
          <w:rFonts w:ascii="Times New Roman" w:hAnsi="Times New Roman" w:cs="Times New Roman"/>
          <w:sz w:val="24"/>
          <w:szCs w:val="24"/>
        </w:rPr>
        <w:t>grāmatvedīb</w:t>
      </w:r>
      <w:r w:rsidR="001F36B5">
        <w:rPr>
          <w:rFonts w:ascii="Times New Roman" w:hAnsi="Times New Roman" w:cs="Times New Roman"/>
          <w:sz w:val="24"/>
          <w:szCs w:val="24"/>
        </w:rPr>
        <w:t>as uzskaiti</w:t>
      </w:r>
      <w:r w:rsidRPr="00935B1F">
        <w:rPr>
          <w:rFonts w:ascii="Times New Roman" w:hAnsi="Times New Roman" w:cs="Times New Roman"/>
          <w:sz w:val="24"/>
          <w:szCs w:val="24"/>
        </w:rPr>
        <w:t>, grāmatvedības uzskaitē nereģistrētu vai neatbilstoši identificētu darījumu</w:t>
      </w:r>
      <w:r w:rsidR="00935B1F" w:rsidRPr="00935B1F">
        <w:rPr>
          <w:rFonts w:ascii="Times New Roman" w:hAnsi="Times New Roman" w:cs="Times New Roman"/>
          <w:sz w:val="24"/>
          <w:szCs w:val="24"/>
        </w:rPr>
        <w:t xml:space="preserve"> </w:t>
      </w:r>
      <w:r w:rsidRPr="00935B1F">
        <w:rPr>
          <w:rFonts w:ascii="Times New Roman" w:hAnsi="Times New Roman" w:cs="Times New Roman"/>
          <w:sz w:val="24"/>
          <w:szCs w:val="24"/>
        </w:rPr>
        <w:t>veikšanu, neesošu izdevumu iegrāmatošanu, saistību iegrāmatošanu, nepareizi identificējot to objektu, kā arī viltotu dokumentu izmantošanu nolūkā piekukuļot ārvalstu</w:t>
      </w:r>
      <w:r w:rsidR="00935B1F" w:rsidRPr="00935B1F">
        <w:rPr>
          <w:rFonts w:ascii="Times New Roman" w:hAnsi="Times New Roman" w:cs="Times New Roman"/>
          <w:sz w:val="24"/>
          <w:szCs w:val="24"/>
        </w:rPr>
        <w:t xml:space="preserve"> </w:t>
      </w:r>
      <w:r w:rsidRPr="00935B1F">
        <w:rPr>
          <w:rFonts w:ascii="Times New Roman" w:hAnsi="Times New Roman" w:cs="Times New Roman"/>
          <w:sz w:val="24"/>
          <w:szCs w:val="24"/>
        </w:rPr>
        <w:t>amatpersonas vai slēpt šādas kukuļošanas faktu tiem uzņēmumiem, uz kuriem š</w:t>
      </w:r>
      <w:r w:rsidR="00B8787E">
        <w:rPr>
          <w:rFonts w:ascii="Times New Roman" w:hAnsi="Times New Roman" w:cs="Times New Roman"/>
          <w:sz w:val="24"/>
          <w:szCs w:val="24"/>
        </w:rPr>
        <w:t xml:space="preserve">ie normatīvie akti </w:t>
      </w:r>
      <w:r w:rsidRPr="00935B1F">
        <w:rPr>
          <w:rFonts w:ascii="Times New Roman" w:hAnsi="Times New Roman" w:cs="Times New Roman"/>
          <w:sz w:val="24"/>
          <w:szCs w:val="24"/>
        </w:rPr>
        <w:t xml:space="preserve">attiecas. </w:t>
      </w:r>
      <w:r w:rsidR="00935B1F" w:rsidRPr="00935B1F">
        <w:rPr>
          <w:rFonts w:ascii="Times New Roman" w:hAnsi="Times New Roman" w:cs="Times New Roman"/>
          <w:sz w:val="24"/>
          <w:szCs w:val="24"/>
        </w:rPr>
        <w:t xml:space="preserve"> </w:t>
      </w:r>
    </w:p>
    <w:p w:rsidR="00935B1F" w:rsidRDefault="00935B1F" w:rsidP="00B63451">
      <w:pPr>
        <w:pStyle w:val="Vienkrsteksts"/>
        <w:ind w:firstLine="720"/>
        <w:jc w:val="both"/>
        <w:rPr>
          <w:rFonts w:ascii="Times New Roman" w:hAnsi="Times New Roman" w:cs="Times New Roman"/>
          <w:sz w:val="24"/>
          <w:szCs w:val="24"/>
        </w:rPr>
      </w:pPr>
    </w:p>
    <w:p w:rsidR="00B10BE0" w:rsidRPr="00935B1F" w:rsidRDefault="00B10BE0" w:rsidP="00B63451">
      <w:pPr>
        <w:pStyle w:val="Vienkrsteksts"/>
        <w:numPr>
          <w:ilvl w:val="0"/>
          <w:numId w:val="9"/>
        </w:numPr>
        <w:ind w:left="0" w:firstLine="720"/>
        <w:jc w:val="both"/>
        <w:rPr>
          <w:rFonts w:ascii="Times New Roman" w:hAnsi="Times New Roman" w:cs="Times New Roman"/>
          <w:sz w:val="24"/>
          <w:szCs w:val="24"/>
        </w:rPr>
      </w:pPr>
      <w:r w:rsidRPr="00935B1F">
        <w:rPr>
          <w:rFonts w:ascii="Times New Roman" w:hAnsi="Times New Roman" w:cs="Times New Roman"/>
          <w:sz w:val="24"/>
          <w:szCs w:val="24"/>
        </w:rPr>
        <w:t>Ikviena Puse paredz iedarbīgus, proporcionālus un pietiekami bargus</w:t>
      </w:r>
      <w:r w:rsidR="00B8787E" w:rsidRPr="00B8787E">
        <w:rPr>
          <w:rFonts w:ascii="Times New Roman" w:hAnsi="Times New Roman" w:cs="Times New Roman"/>
          <w:sz w:val="24"/>
          <w:szCs w:val="24"/>
        </w:rPr>
        <w:t>, lai personas atturētos no nelikumīgas rīcības</w:t>
      </w:r>
      <w:r w:rsidR="00B8787E">
        <w:rPr>
          <w:rFonts w:ascii="Times New Roman" w:hAnsi="Times New Roman" w:cs="Times New Roman"/>
          <w:sz w:val="24"/>
          <w:szCs w:val="24"/>
        </w:rPr>
        <w:t>,</w:t>
      </w:r>
      <w:r w:rsidRPr="00935B1F">
        <w:rPr>
          <w:rFonts w:ascii="Times New Roman" w:hAnsi="Times New Roman" w:cs="Times New Roman"/>
          <w:sz w:val="24"/>
          <w:szCs w:val="24"/>
        </w:rPr>
        <w:t xml:space="preserve"> civilos, administratīvos vai kriminālsodus</w:t>
      </w:r>
      <w:r w:rsidR="00B8787E" w:rsidRPr="00B8787E">
        <w:rPr>
          <w:rFonts w:ascii="Times New Roman" w:hAnsi="Times New Roman" w:cs="Times New Roman"/>
          <w:sz w:val="24"/>
          <w:szCs w:val="24"/>
        </w:rPr>
        <w:t xml:space="preserve"> </w:t>
      </w:r>
      <w:r w:rsidRPr="00935B1F">
        <w:rPr>
          <w:rFonts w:ascii="Times New Roman" w:hAnsi="Times New Roman" w:cs="Times New Roman"/>
          <w:sz w:val="24"/>
          <w:szCs w:val="24"/>
        </w:rPr>
        <w:t xml:space="preserve">par šādiem </w:t>
      </w:r>
      <w:r w:rsidR="00B20330">
        <w:rPr>
          <w:rFonts w:ascii="Times New Roman" w:hAnsi="Times New Roman" w:cs="Times New Roman"/>
          <w:sz w:val="24"/>
          <w:szCs w:val="24"/>
        </w:rPr>
        <w:t>nodarījum</w:t>
      </w:r>
      <w:r w:rsidRPr="00935B1F">
        <w:rPr>
          <w:rFonts w:ascii="Times New Roman" w:hAnsi="Times New Roman" w:cs="Times New Roman"/>
          <w:sz w:val="24"/>
          <w:szCs w:val="24"/>
        </w:rPr>
        <w:t xml:space="preserve">iem un viltojumiem uzņēmumu grāmatvedības uzskaites dokumentos un finansu pārskatos. </w:t>
      </w:r>
    </w:p>
    <w:p w:rsidR="00B10BE0" w:rsidRPr="00FB5BC4" w:rsidRDefault="00B10BE0" w:rsidP="00B63451">
      <w:pPr>
        <w:pStyle w:val="Vienkrsteksts"/>
        <w:ind w:firstLine="720"/>
        <w:jc w:val="both"/>
        <w:rPr>
          <w:rFonts w:ascii="Times New Roman" w:hAnsi="Times New Roman" w:cs="Times New Roman"/>
          <w:sz w:val="24"/>
          <w:szCs w:val="24"/>
        </w:rPr>
      </w:pPr>
    </w:p>
    <w:p w:rsidR="00B10BE0" w:rsidRPr="00FB5BC4" w:rsidRDefault="00B10BE0" w:rsidP="00B63451">
      <w:pPr>
        <w:pStyle w:val="Vienkrsteksts"/>
        <w:ind w:firstLine="720"/>
        <w:jc w:val="center"/>
        <w:rPr>
          <w:rFonts w:ascii="Times New Roman" w:hAnsi="Times New Roman" w:cs="Times New Roman"/>
          <w:sz w:val="24"/>
          <w:szCs w:val="24"/>
        </w:rPr>
      </w:pPr>
    </w:p>
    <w:p w:rsidR="00B10BE0" w:rsidRPr="00FB5BC4" w:rsidRDefault="00B10BE0" w:rsidP="00B63451">
      <w:pPr>
        <w:pStyle w:val="Vienkrsteksts"/>
        <w:ind w:firstLine="720"/>
        <w:jc w:val="center"/>
        <w:rPr>
          <w:rFonts w:ascii="Times New Roman" w:hAnsi="Times New Roman" w:cs="Times New Roman"/>
          <w:sz w:val="24"/>
          <w:szCs w:val="24"/>
        </w:rPr>
      </w:pPr>
      <w:r w:rsidRPr="00FB5BC4">
        <w:rPr>
          <w:rFonts w:ascii="Times New Roman" w:hAnsi="Times New Roman" w:cs="Times New Roman"/>
          <w:sz w:val="24"/>
          <w:szCs w:val="24"/>
        </w:rPr>
        <w:t>9. pants</w:t>
      </w:r>
    </w:p>
    <w:p w:rsidR="00B10BE0" w:rsidRPr="00FB5BC4" w:rsidRDefault="00B10BE0" w:rsidP="00B63451">
      <w:pPr>
        <w:pStyle w:val="Vienkrsteksts"/>
        <w:ind w:firstLine="720"/>
        <w:jc w:val="center"/>
        <w:rPr>
          <w:rFonts w:ascii="Times New Roman" w:hAnsi="Times New Roman" w:cs="Times New Roman"/>
          <w:sz w:val="24"/>
          <w:szCs w:val="24"/>
        </w:rPr>
      </w:pPr>
      <w:r w:rsidRPr="00FB5BC4">
        <w:rPr>
          <w:rFonts w:ascii="Times New Roman" w:hAnsi="Times New Roman" w:cs="Times New Roman"/>
          <w:sz w:val="24"/>
          <w:szCs w:val="24"/>
        </w:rPr>
        <w:t>Savstarpējā tiesiskā palīdzība</w:t>
      </w:r>
    </w:p>
    <w:p w:rsidR="00B10BE0" w:rsidRPr="00FB5BC4" w:rsidRDefault="00B10BE0" w:rsidP="00B63451">
      <w:pPr>
        <w:pStyle w:val="Vienkrsteksts"/>
        <w:ind w:firstLine="720"/>
        <w:jc w:val="center"/>
        <w:rPr>
          <w:rFonts w:ascii="Times New Roman" w:hAnsi="Times New Roman" w:cs="Times New Roman"/>
          <w:sz w:val="24"/>
          <w:szCs w:val="24"/>
        </w:rPr>
      </w:pPr>
    </w:p>
    <w:p w:rsidR="00574D7A" w:rsidRDefault="00B10BE0" w:rsidP="00B63451">
      <w:pPr>
        <w:pStyle w:val="Vienkrsteksts"/>
        <w:numPr>
          <w:ilvl w:val="0"/>
          <w:numId w:val="10"/>
        </w:numPr>
        <w:ind w:left="0" w:firstLine="720"/>
        <w:jc w:val="both"/>
        <w:rPr>
          <w:rFonts w:ascii="Times New Roman" w:hAnsi="Times New Roman" w:cs="Times New Roman"/>
          <w:sz w:val="24"/>
          <w:szCs w:val="24"/>
        </w:rPr>
      </w:pPr>
      <w:r w:rsidRPr="00FB5BC4">
        <w:rPr>
          <w:rFonts w:ascii="Times New Roman" w:hAnsi="Times New Roman" w:cs="Times New Roman"/>
          <w:sz w:val="24"/>
          <w:szCs w:val="24"/>
        </w:rPr>
        <w:t xml:space="preserve">Ikviena Puse, tiktāl, ciktāl to pilnā mērā atļauj šīs valsts </w:t>
      </w:r>
      <w:r w:rsidR="00A560DC">
        <w:rPr>
          <w:rFonts w:ascii="Times New Roman" w:hAnsi="Times New Roman" w:cs="Times New Roman"/>
          <w:sz w:val="24"/>
          <w:szCs w:val="24"/>
        </w:rPr>
        <w:t>normatīvie akti</w:t>
      </w:r>
      <w:r w:rsidRPr="00FB5BC4">
        <w:rPr>
          <w:rFonts w:ascii="Times New Roman" w:hAnsi="Times New Roman" w:cs="Times New Roman"/>
          <w:sz w:val="24"/>
          <w:szCs w:val="24"/>
        </w:rPr>
        <w:t xml:space="preserve"> un atbilstošie starpvalstu nolīgumi un vienošanās, nodrošina tūlītēju un iedarbīgu tiesisko palīdzību citai Pusei kriminālizmeklēšanas un </w:t>
      </w:r>
      <w:r w:rsidR="00A560DC">
        <w:rPr>
          <w:rFonts w:ascii="Times New Roman" w:hAnsi="Times New Roman" w:cs="Times New Roman"/>
          <w:sz w:val="24"/>
          <w:szCs w:val="24"/>
        </w:rPr>
        <w:t>tiesvedības</w:t>
      </w:r>
      <w:r w:rsidRPr="00FB5BC4">
        <w:rPr>
          <w:rFonts w:ascii="Times New Roman" w:hAnsi="Times New Roman" w:cs="Times New Roman"/>
          <w:sz w:val="24"/>
          <w:szCs w:val="24"/>
        </w:rPr>
        <w:t xml:space="preserve"> nolūkos, ko tā uzsākusi par </w:t>
      </w:r>
      <w:r w:rsidR="00B20330">
        <w:rPr>
          <w:rFonts w:ascii="Times New Roman" w:hAnsi="Times New Roman" w:cs="Times New Roman"/>
          <w:sz w:val="24"/>
          <w:szCs w:val="24"/>
        </w:rPr>
        <w:t>nodarījum</w:t>
      </w:r>
      <w:r w:rsidRPr="00FB5BC4">
        <w:rPr>
          <w:rFonts w:ascii="Times New Roman" w:hAnsi="Times New Roman" w:cs="Times New Roman"/>
          <w:sz w:val="24"/>
          <w:szCs w:val="24"/>
        </w:rPr>
        <w:t xml:space="preserve">iem, kas izdarīti šīs Konvencijas darbības jomā, un ne kriminālas dabas procesuālu </w:t>
      </w:r>
      <w:r w:rsidRPr="00FB5BC4">
        <w:rPr>
          <w:rFonts w:ascii="Times New Roman" w:hAnsi="Times New Roman" w:cs="Times New Roman"/>
          <w:sz w:val="24"/>
          <w:szCs w:val="24"/>
        </w:rPr>
        <w:lastRenderedPageBreak/>
        <w:t xml:space="preserve">darbību veikšanas nolūkos, ko Puse uzsākusi pret juridisku personu šīs Konvencijas darbības ietvaros. Puse, kas saņēmusi palīdzības pieprasījumu, bez kavēšanās palīdzību pieprasījušai Pusei dara zināmu jebkādu papildus informāciju vai iesniedz dokumentus, kas nepieciešami, lai izpildītu palīdzības pieprasījumu un informē to par situāciju saistībā ar pieprasīto palīdzību vai tās izpildes rezultātu, ja pirmā Puse to pieprasa. </w:t>
      </w:r>
    </w:p>
    <w:p w:rsidR="00574D7A" w:rsidRDefault="00574D7A" w:rsidP="00B63451">
      <w:pPr>
        <w:pStyle w:val="Vienkrsteksts"/>
        <w:ind w:firstLine="720"/>
        <w:jc w:val="both"/>
        <w:rPr>
          <w:rFonts w:ascii="Times New Roman" w:hAnsi="Times New Roman" w:cs="Times New Roman"/>
          <w:sz w:val="24"/>
          <w:szCs w:val="24"/>
        </w:rPr>
      </w:pPr>
    </w:p>
    <w:p w:rsidR="00574D7A" w:rsidRPr="00574D7A" w:rsidRDefault="00574D7A" w:rsidP="00B63451">
      <w:pPr>
        <w:pStyle w:val="Vienkrsteksts"/>
        <w:numPr>
          <w:ilvl w:val="0"/>
          <w:numId w:val="10"/>
        </w:numPr>
        <w:ind w:left="0" w:firstLine="720"/>
        <w:jc w:val="both"/>
        <w:rPr>
          <w:rFonts w:ascii="Times New Roman" w:hAnsi="Times New Roman" w:cs="Times New Roman"/>
          <w:sz w:val="24"/>
          <w:szCs w:val="24"/>
        </w:rPr>
      </w:pPr>
      <w:r w:rsidRPr="00574D7A">
        <w:rPr>
          <w:rFonts w:ascii="Times New Roman" w:hAnsi="Times New Roman" w:cs="Times New Roman"/>
          <w:sz w:val="24"/>
          <w:szCs w:val="24"/>
        </w:rPr>
        <w:t xml:space="preserve">Ja Puse paredz savstarpējas tiesiskās palīdzības sniegšanu tikai pie noziedzīga nodarījuma abpusējas atzīšanas nosacījuma, tad uzskatāms, ka šāda noziedzīga nodarījuma abpusēja atzīšana pastāv, ja nodarījums, kura sakarā tiek prasīta palīdzība, ietilpst šīs Konvencijas darbības jomā. </w:t>
      </w:r>
    </w:p>
    <w:p w:rsidR="00CF4079" w:rsidRDefault="00CF4079" w:rsidP="00B63451">
      <w:pPr>
        <w:pStyle w:val="Sarakstarindkopa"/>
        <w:ind w:left="0" w:firstLine="720"/>
        <w:rPr>
          <w:rFonts w:ascii="Times New Roman" w:hAnsi="Times New Roman" w:cs="Times New Roman"/>
          <w:sz w:val="24"/>
          <w:szCs w:val="24"/>
        </w:rPr>
      </w:pPr>
    </w:p>
    <w:p w:rsidR="00B10BE0" w:rsidRPr="00CF4079" w:rsidRDefault="00B10BE0" w:rsidP="00B63451">
      <w:pPr>
        <w:pStyle w:val="Vienkrsteksts"/>
        <w:numPr>
          <w:ilvl w:val="0"/>
          <w:numId w:val="10"/>
        </w:numPr>
        <w:ind w:left="0" w:firstLine="720"/>
        <w:jc w:val="both"/>
        <w:rPr>
          <w:rFonts w:ascii="Times New Roman" w:hAnsi="Times New Roman" w:cs="Times New Roman"/>
          <w:sz w:val="24"/>
          <w:szCs w:val="24"/>
        </w:rPr>
      </w:pPr>
      <w:r w:rsidRPr="00CF4079">
        <w:rPr>
          <w:rFonts w:ascii="Times New Roman" w:hAnsi="Times New Roman" w:cs="Times New Roman"/>
          <w:sz w:val="24"/>
          <w:szCs w:val="24"/>
        </w:rPr>
        <w:t xml:space="preserve">Neviena Puse nedrīkst atteikties sniegt savstarpēju tiesisko palīdzību krimināllietās, kas ietilpst Konvencijas darbības jomā, pamatojot to ar banku noslēpuma principu. </w:t>
      </w:r>
    </w:p>
    <w:p w:rsidR="00CF4079" w:rsidRPr="00FB5BC4" w:rsidRDefault="00CF4079" w:rsidP="00B63451">
      <w:pPr>
        <w:pStyle w:val="Vienkrsteksts"/>
        <w:ind w:firstLine="720"/>
        <w:jc w:val="both"/>
        <w:rPr>
          <w:rFonts w:ascii="Times New Roman" w:hAnsi="Times New Roman" w:cs="Times New Roman"/>
          <w:sz w:val="24"/>
          <w:szCs w:val="24"/>
        </w:rPr>
      </w:pPr>
    </w:p>
    <w:p w:rsidR="00CF4079" w:rsidRDefault="00CF4079" w:rsidP="00B63451">
      <w:pPr>
        <w:pStyle w:val="Vienkrsteksts"/>
        <w:ind w:firstLine="720"/>
        <w:jc w:val="center"/>
        <w:rPr>
          <w:rFonts w:ascii="Times New Roman" w:hAnsi="Times New Roman" w:cs="Times New Roman"/>
          <w:sz w:val="24"/>
          <w:szCs w:val="24"/>
        </w:rPr>
      </w:pPr>
    </w:p>
    <w:p w:rsidR="00B10BE0" w:rsidRPr="00FB5BC4" w:rsidRDefault="00B10BE0" w:rsidP="00B63451">
      <w:pPr>
        <w:pStyle w:val="Vienkrsteksts"/>
        <w:ind w:firstLine="720"/>
        <w:jc w:val="center"/>
        <w:rPr>
          <w:rFonts w:ascii="Times New Roman" w:hAnsi="Times New Roman" w:cs="Times New Roman"/>
          <w:sz w:val="24"/>
          <w:szCs w:val="24"/>
        </w:rPr>
      </w:pPr>
      <w:r w:rsidRPr="00FB5BC4">
        <w:rPr>
          <w:rFonts w:ascii="Times New Roman" w:hAnsi="Times New Roman" w:cs="Times New Roman"/>
          <w:sz w:val="24"/>
          <w:szCs w:val="24"/>
        </w:rPr>
        <w:t>10. pants</w:t>
      </w:r>
    </w:p>
    <w:p w:rsidR="00B10BE0" w:rsidRPr="00FB5BC4" w:rsidRDefault="00B10BE0" w:rsidP="00B63451">
      <w:pPr>
        <w:pStyle w:val="Vienkrsteksts"/>
        <w:ind w:firstLine="720"/>
        <w:jc w:val="center"/>
        <w:rPr>
          <w:rFonts w:ascii="Times New Roman" w:hAnsi="Times New Roman" w:cs="Times New Roman"/>
          <w:sz w:val="24"/>
          <w:szCs w:val="24"/>
        </w:rPr>
      </w:pPr>
      <w:r w:rsidRPr="00FB5BC4">
        <w:rPr>
          <w:rFonts w:ascii="Times New Roman" w:hAnsi="Times New Roman" w:cs="Times New Roman"/>
          <w:sz w:val="24"/>
          <w:szCs w:val="24"/>
        </w:rPr>
        <w:t>Izdošana</w:t>
      </w:r>
    </w:p>
    <w:p w:rsidR="00B10BE0" w:rsidRPr="00FB5BC4" w:rsidRDefault="00B10BE0" w:rsidP="00B63451">
      <w:pPr>
        <w:pStyle w:val="Vienkrsteksts"/>
        <w:ind w:firstLine="720"/>
        <w:jc w:val="center"/>
        <w:rPr>
          <w:rFonts w:ascii="Times New Roman" w:hAnsi="Times New Roman" w:cs="Times New Roman"/>
          <w:sz w:val="24"/>
          <w:szCs w:val="24"/>
        </w:rPr>
      </w:pPr>
    </w:p>
    <w:p w:rsidR="00CF4079" w:rsidRDefault="00B10BE0" w:rsidP="00B63451">
      <w:pPr>
        <w:pStyle w:val="Vienkrsteksts"/>
        <w:numPr>
          <w:ilvl w:val="0"/>
          <w:numId w:val="11"/>
        </w:numPr>
        <w:ind w:left="0" w:firstLine="720"/>
        <w:jc w:val="both"/>
        <w:rPr>
          <w:rFonts w:ascii="Times New Roman" w:hAnsi="Times New Roman" w:cs="Times New Roman"/>
          <w:sz w:val="24"/>
          <w:szCs w:val="24"/>
        </w:rPr>
      </w:pPr>
      <w:r w:rsidRPr="00FB5BC4">
        <w:rPr>
          <w:rFonts w:ascii="Times New Roman" w:hAnsi="Times New Roman" w:cs="Times New Roman"/>
          <w:sz w:val="24"/>
          <w:szCs w:val="24"/>
        </w:rPr>
        <w:t xml:space="preserve">Ārvalstu amatpersonas kukuļošana uzskatāma par iekļaujamu to </w:t>
      </w:r>
      <w:r w:rsidR="00B20330">
        <w:rPr>
          <w:rFonts w:ascii="Times New Roman" w:hAnsi="Times New Roman" w:cs="Times New Roman"/>
          <w:sz w:val="24"/>
          <w:szCs w:val="24"/>
        </w:rPr>
        <w:t>nodarījumu</w:t>
      </w:r>
      <w:r w:rsidRPr="00FB5BC4">
        <w:rPr>
          <w:rFonts w:ascii="Times New Roman" w:hAnsi="Times New Roman" w:cs="Times New Roman"/>
          <w:sz w:val="24"/>
          <w:szCs w:val="24"/>
        </w:rPr>
        <w:t xml:space="preserve"> kategorijā, par kuriem paredzama personu izdošana saskaņā ar Konvencijai pievienojušos valstu </w:t>
      </w:r>
      <w:r w:rsidR="00574D7A">
        <w:rPr>
          <w:rFonts w:ascii="Times New Roman" w:hAnsi="Times New Roman" w:cs="Times New Roman"/>
          <w:sz w:val="24"/>
          <w:szCs w:val="24"/>
        </w:rPr>
        <w:t>normatīvajiem aktiem</w:t>
      </w:r>
      <w:r w:rsidRPr="00FB5BC4">
        <w:rPr>
          <w:rFonts w:ascii="Times New Roman" w:hAnsi="Times New Roman" w:cs="Times New Roman"/>
          <w:sz w:val="24"/>
          <w:szCs w:val="24"/>
        </w:rPr>
        <w:t xml:space="preserve"> un to savstarpējiem līgumiem. </w:t>
      </w:r>
    </w:p>
    <w:p w:rsidR="00CF4079" w:rsidRDefault="00CF4079" w:rsidP="00B63451">
      <w:pPr>
        <w:pStyle w:val="Vienkrsteksts"/>
        <w:ind w:firstLine="720"/>
        <w:jc w:val="both"/>
        <w:rPr>
          <w:rFonts w:ascii="Times New Roman" w:hAnsi="Times New Roman" w:cs="Times New Roman"/>
          <w:sz w:val="24"/>
          <w:szCs w:val="24"/>
        </w:rPr>
      </w:pPr>
    </w:p>
    <w:p w:rsidR="00CF4079" w:rsidRDefault="00B10BE0" w:rsidP="00B63451">
      <w:pPr>
        <w:pStyle w:val="Vienkrsteksts"/>
        <w:numPr>
          <w:ilvl w:val="0"/>
          <w:numId w:val="11"/>
        </w:numPr>
        <w:ind w:left="0" w:firstLine="720"/>
        <w:jc w:val="both"/>
        <w:rPr>
          <w:rFonts w:ascii="Times New Roman" w:hAnsi="Times New Roman" w:cs="Times New Roman"/>
          <w:sz w:val="24"/>
          <w:szCs w:val="24"/>
        </w:rPr>
      </w:pPr>
      <w:r w:rsidRPr="00CF4079">
        <w:rPr>
          <w:rFonts w:ascii="Times New Roman" w:hAnsi="Times New Roman" w:cs="Times New Roman"/>
          <w:sz w:val="24"/>
          <w:szCs w:val="24"/>
        </w:rPr>
        <w:t xml:space="preserve">Ja Puse, kura paredz personu izdošanu tikai tad, ja ir noslēgts starpvalstu līgums par personu izdošanu, saņem izdošanas pieprasījumu no citas Konvencijai pievienojušās Puses, ar kuru tai nav noslēgts šāds līgums par personu izdošanu, tad tā var uzskatīt šo Konvenciju par tiesisko pamatu personas izdošanai par ārvalstu amatpersonas kukuļošanu. </w:t>
      </w:r>
    </w:p>
    <w:p w:rsidR="00CF4079" w:rsidRDefault="00CF4079" w:rsidP="00B63451">
      <w:pPr>
        <w:pStyle w:val="Sarakstarindkopa"/>
        <w:ind w:left="0" w:firstLine="720"/>
        <w:rPr>
          <w:rFonts w:ascii="Times New Roman" w:hAnsi="Times New Roman" w:cs="Times New Roman"/>
          <w:sz w:val="24"/>
          <w:szCs w:val="24"/>
        </w:rPr>
      </w:pPr>
    </w:p>
    <w:p w:rsidR="00CF4079" w:rsidRDefault="00B10BE0" w:rsidP="00B63451">
      <w:pPr>
        <w:pStyle w:val="Vienkrsteksts"/>
        <w:numPr>
          <w:ilvl w:val="0"/>
          <w:numId w:val="11"/>
        </w:numPr>
        <w:ind w:left="0" w:firstLine="720"/>
        <w:jc w:val="both"/>
        <w:rPr>
          <w:rFonts w:ascii="Times New Roman" w:hAnsi="Times New Roman" w:cs="Times New Roman"/>
          <w:sz w:val="24"/>
          <w:szCs w:val="24"/>
        </w:rPr>
      </w:pPr>
      <w:r w:rsidRPr="00CF4079">
        <w:rPr>
          <w:rFonts w:ascii="Times New Roman" w:hAnsi="Times New Roman" w:cs="Times New Roman"/>
          <w:sz w:val="24"/>
          <w:szCs w:val="24"/>
        </w:rPr>
        <w:t xml:space="preserve">Ikviena Puse veic jebkādus pasākumus, kas nepieciešami, lai nodrošinātu, ka tā var izdot savus pilsoņus vai ka tā var izvirzīt apsūdzību savas valsts pilsoņiem par ārvalstu amatpersonu kukuļošanu. Puse, kas noraida pieprasījumu izdot personu par ārvalstu amatpersonas kukuļošanu tikai pamatojoties uz faktu, ka šī persona ir attiecīgās valsts pilsonis, iesniedz lietu kriminālvajāšanas uzsākšanai kompetentajām iestādēm. </w:t>
      </w:r>
    </w:p>
    <w:p w:rsidR="00CF4079" w:rsidRDefault="00CF4079" w:rsidP="00B63451">
      <w:pPr>
        <w:pStyle w:val="Sarakstarindkopa"/>
        <w:ind w:left="0" w:firstLine="720"/>
        <w:rPr>
          <w:rFonts w:ascii="Times New Roman" w:hAnsi="Times New Roman" w:cs="Times New Roman"/>
          <w:sz w:val="24"/>
          <w:szCs w:val="24"/>
        </w:rPr>
      </w:pPr>
    </w:p>
    <w:p w:rsidR="00F225B6" w:rsidRPr="00F225B6" w:rsidRDefault="00F225B6" w:rsidP="00B63451">
      <w:pPr>
        <w:pStyle w:val="Vienkrsteksts"/>
        <w:numPr>
          <w:ilvl w:val="0"/>
          <w:numId w:val="11"/>
        </w:numPr>
        <w:ind w:left="0" w:firstLine="720"/>
        <w:jc w:val="both"/>
        <w:rPr>
          <w:rFonts w:ascii="Times New Roman" w:hAnsi="Times New Roman" w:cs="Times New Roman"/>
          <w:sz w:val="24"/>
          <w:szCs w:val="24"/>
        </w:rPr>
      </w:pPr>
      <w:r w:rsidRPr="00F225B6">
        <w:rPr>
          <w:rFonts w:ascii="Times New Roman" w:hAnsi="Times New Roman" w:cs="Times New Roman"/>
          <w:sz w:val="24"/>
          <w:szCs w:val="24"/>
        </w:rPr>
        <w:t xml:space="preserve">Personas izdošana par ārvalstu amatpersonas kukuļošanu notiek saskaņā ar katras Puses nacionālo normatīvo aktu un attiecīgo starpvalstu līgumu un noteikto kārtību nosacījumiem. Ja kāda no pusēm paredz personu izdošanu tikai pie noziedzīga nodarījuma abpusējas atzīšanas nosacījuma, tad šis nosacījums uzskatāms par izpildītu, ja personas izdošana tiek prasīta sakarā ar nodarījumu šīs Konvencijas 1. panta izpratnē. </w:t>
      </w:r>
    </w:p>
    <w:p w:rsidR="00B10BE0" w:rsidRPr="00F225B6" w:rsidRDefault="00B10BE0" w:rsidP="00B63451">
      <w:pPr>
        <w:pStyle w:val="Vienkrsteksts"/>
        <w:ind w:left="720" w:firstLine="720"/>
        <w:jc w:val="both"/>
        <w:rPr>
          <w:rFonts w:ascii="Times New Roman" w:hAnsi="Times New Roman" w:cs="Times New Roman"/>
          <w:sz w:val="24"/>
          <w:szCs w:val="24"/>
        </w:rPr>
      </w:pPr>
    </w:p>
    <w:p w:rsidR="00CF4079" w:rsidRDefault="00CF4079" w:rsidP="00B63451">
      <w:pPr>
        <w:pStyle w:val="Vienkrsteksts"/>
        <w:ind w:firstLine="720"/>
        <w:jc w:val="center"/>
        <w:rPr>
          <w:rFonts w:ascii="Times New Roman" w:hAnsi="Times New Roman" w:cs="Times New Roman"/>
          <w:sz w:val="24"/>
          <w:szCs w:val="24"/>
        </w:rPr>
      </w:pPr>
    </w:p>
    <w:p w:rsidR="00B10BE0" w:rsidRPr="00FB5BC4" w:rsidRDefault="00CF4079" w:rsidP="00B63451">
      <w:pPr>
        <w:pStyle w:val="Vienkrsteksts"/>
        <w:ind w:firstLine="720"/>
        <w:jc w:val="center"/>
        <w:rPr>
          <w:rFonts w:ascii="Times New Roman" w:hAnsi="Times New Roman" w:cs="Times New Roman"/>
          <w:sz w:val="24"/>
          <w:szCs w:val="24"/>
        </w:rPr>
      </w:pPr>
      <w:r>
        <w:rPr>
          <w:rFonts w:ascii="Times New Roman" w:hAnsi="Times New Roman" w:cs="Times New Roman"/>
          <w:sz w:val="24"/>
          <w:szCs w:val="24"/>
        </w:rPr>
        <w:t>1</w:t>
      </w:r>
      <w:r w:rsidR="00B10BE0" w:rsidRPr="00FB5BC4">
        <w:rPr>
          <w:rFonts w:ascii="Times New Roman" w:hAnsi="Times New Roman" w:cs="Times New Roman"/>
          <w:sz w:val="24"/>
          <w:szCs w:val="24"/>
        </w:rPr>
        <w:t>1. pants</w:t>
      </w:r>
    </w:p>
    <w:p w:rsidR="00B10BE0" w:rsidRPr="00FB5BC4" w:rsidRDefault="00B10BE0" w:rsidP="00B63451">
      <w:pPr>
        <w:pStyle w:val="Vienkrsteksts"/>
        <w:ind w:firstLine="720"/>
        <w:jc w:val="center"/>
        <w:rPr>
          <w:rFonts w:ascii="Times New Roman" w:hAnsi="Times New Roman" w:cs="Times New Roman"/>
          <w:sz w:val="24"/>
          <w:szCs w:val="24"/>
        </w:rPr>
      </w:pPr>
      <w:r w:rsidRPr="00FB5BC4">
        <w:rPr>
          <w:rFonts w:ascii="Times New Roman" w:hAnsi="Times New Roman" w:cs="Times New Roman"/>
          <w:sz w:val="24"/>
          <w:szCs w:val="24"/>
        </w:rPr>
        <w:t>Atbildīgās iestādes</w:t>
      </w:r>
    </w:p>
    <w:p w:rsidR="00B10BE0" w:rsidRPr="00FB5BC4" w:rsidRDefault="00B10BE0" w:rsidP="00B63451">
      <w:pPr>
        <w:pStyle w:val="Vienkrsteksts"/>
        <w:ind w:firstLine="720"/>
        <w:jc w:val="both"/>
        <w:rPr>
          <w:rFonts w:ascii="Times New Roman" w:hAnsi="Times New Roman" w:cs="Times New Roman"/>
          <w:sz w:val="24"/>
          <w:szCs w:val="24"/>
        </w:rPr>
      </w:pPr>
    </w:p>
    <w:p w:rsidR="009B448E" w:rsidRPr="009B448E" w:rsidRDefault="009B448E" w:rsidP="00B63451">
      <w:pPr>
        <w:pStyle w:val="Vienkrsteksts"/>
        <w:ind w:firstLine="720"/>
        <w:jc w:val="both"/>
        <w:rPr>
          <w:rFonts w:ascii="Times New Roman" w:hAnsi="Times New Roman" w:cs="Times New Roman"/>
          <w:sz w:val="24"/>
          <w:szCs w:val="24"/>
        </w:rPr>
      </w:pPr>
      <w:r w:rsidRPr="009B448E">
        <w:rPr>
          <w:rFonts w:ascii="Times New Roman" w:hAnsi="Times New Roman" w:cs="Times New Roman"/>
          <w:sz w:val="24"/>
          <w:szCs w:val="24"/>
        </w:rPr>
        <w:t xml:space="preserve">Lai izpildītu mērķus, kas noteikti 4. panta 3. punktā par konsultācijām, 9. pantā par savstarpējo tiesisko palīdzību un 10. pantā par personu izdošanu, katra Puse informē ESAO Ģenerālsekretāru par iestādi vai iestādēm, kas ir atbildīgas par pieprasījumu sniegšanu un </w:t>
      </w:r>
      <w:r w:rsidRPr="009B448E">
        <w:rPr>
          <w:rFonts w:ascii="Times New Roman" w:hAnsi="Times New Roman" w:cs="Times New Roman"/>
          <w:sz w:val="24"/>
          <w:szCs w:val="24"/>
        </w:rPr>
        <w:lastRenderedPageBreak/>
        <w:t xml:space="preserve">saņemšanu un kas attiecīgajai Pusei kalpos par saziņas kanālu šajos jautājumos, neietekmējot citas vienošanās starp pusēm. </w:t>
      </w:r>
    </w:p>
    <w:p w:rsidR="00B10BE0" w:rsidRPr="00FB5BC4" w:rsidRDefault="00B10BE0" w:rsidP="00B63451">
      <w:pPr>
        <w:pStyle w:val="Vienkrsteksts"/>
        <w:ind w:firstLine="720"/>
        <w:jc w:val="both"/>
        <w:rPr>
          <w:rFonts w:ascii="Times New Roman" w:hAnsi="Times New Roman" w:cs="Times New Roman"/>
          <w:sz w:val="24"/>
          <w:szCs w:val="24"/>
        </w:rPr>
      </w:pPr>
      <w:r w:rsidRPr="00FB5BC4">
        <w:rPr>
          <w:rFonts w:ascii="Times New Roman" w:hAnsi="Times New Roman" w:cs="Times New Roman"/>
          <w:sz w:val="24"/>
          <w:szCs w:val="24"/>
        </w:rPr>
        <w:t xml:space="preserve">. </w:t>
      </w:r>
    </w:p>
    <w:p w:rsidR="00CF4079" w:rsidRDefault="00CF4079" w:rsidP="00B63451">
      <w:pPr>
        <w:pStyle w:val="Vienkrsteksts"/>
        <w:ind w:firstLine="720"/>
        <w:jc w:val="center"/>
        <w:rPr>
          <w:rFonts w:ascii="Times New Roman" w:hAnsi="Times New Roman" w:cs="Times New Roman"/>
          <w:sz w:val="24"/>
          <w:szCs w:val="24"/>
        </w:rPr>
      </w:pPr>
    </w:p>
    <w:p w:rsidR="00B10BE0" w:rsidRPr="00FB5BC4" w:rsidRDefault="00B10BE0" w:rsidP="00B63451">
      <w:pPr>
        <w:pStyle w:val="Vienkrsteksts"/>
        <w:ind w:firstLine="720"/>
        <w:jc w:val="center"/>
        <w:rPr>
          <w:rFonts w:ascii="Times New Roman" w:hAnsi="Times New Roman" w:cs="Times New Roman"/>
          <w:sz w:val="24"/>
          <w:szCs w:val="24"/>
        </w:rPr>
      </w:pPr>
      <w:r w:rsidRPr="00FB5BC4">
        <w:rPr>
          <w:rFonts w:ascii="Times New Roman" w:hAnsi="Times New Roman" w:cs="Times New Roman"/>
          <w:sz w:val="24"/>
          <w:szCs w:val="24"/>
        </w:rPr>
        <w:t>12. pants</w:t>
      </w:r>
    </w:p>
    <w:p w:rsidR="00B10BE0" w:rsidRPr="00FB5BC4" w:rsidRDefault="00255898" w:rsidP="00B63451">
      <w:pPr>
        <w:pStyle w:val="Vienkrsteksts"/>
        <w:ind w:firstLine="720"/>
        <w:jc w:val="center"/>
        <w:rPr>
          <w:rFonts w:ascii="Times New Roman" w:hAnsi="Times New Roman" w:cs="Times New Roman"/>
          <w:sz w:val="24"/>
          <w:szCs w:val="24"/>
        </w:rPr>
      </w:pPr>
      <w:r>
        <w:rPr>
          <w:rFonts w:ascii="Times New Roman" w:hAnsi="Times New Roman" w:cs="Times New Roman"/>
          <w:sz w:val="24"/>
          <w:szCs w:val="24"/>
        </w:rPr>
        <w:t>Uzraudzība</w:t>
      </w:r>
      <w:r w:rsidR="00B10BE0" w:rsidRPr="00FB5BC4">
        <w:rPr>
          <w:rFonts w:ascii="Times New Roman" w:hAnsi="Times New Roman" w:cs="Times New Roman"/>
          <w:sz w:val="24"/>
          <w:szCs w:val="24"/>
        </w:rPr>
        <w:t xml:space="preserve"> un izpildes pārbaude</w:t>
      </w:r>
    </w:p>
    <w:p w:rsidR="00B10BE0" w:rsidRPr="00FB5BC4" w:rsidRDefault="00B10BE0" w:rsidP="00B63451">
      <w:pPr>
        <w:pStyle w:val="Vienkrsteksts"/>
        <w:ind w:firstLine="720"/>
        <w:jc w:val="both"/>
        <w:rPr>
          <w:rFonts w:ascii="Times New Roman" w:hAnsi="Times New Roman" w:cs="Times New Roman"/>
          <w:sz w:val="24"/>
          <w:szCs w:val="24"/>
        </w:rPr>
      </w:pPr>
    </w:p>
    <w:p w:rsidR="00B10BE0" w:rsidRPr="00FB5BC4" w:rsidRDefault="00565DAF" w:rsidP="00B63451">
      <w:pPr>
        <w:pStyle w:val="Vienkrsteksts"/>
        <w:ind w:firstLine="720"/>
        <w:jc w:val="both"/>
        <w:rPr>
          <w:rFonts w:ascii="Times New Roman" w:hAnsi="Times New Roman" w:cs="Times New Roman"/>
          <w:sz w:val="24"/>
          <w:szCs w:val="24"/>
        </w:rPr>
      </w:pPr>
      <w:r w:rsidRPr="00565DAF">
        <w:rPr>
          <w:rFonts w:ascii="Times New Roman" w:hAnsi="Times New Roman" w:cs="Times New Roman"/>
          <w:sz w:val="24"/>
          <w:szCs w:val="24"/>
        </w:rPr>
        <w:t>Puses sadarbojas, īstenojot sistemātisku pārbaužu programmu, lai sekotu šīs Konvencijas ieviešanai pilnā apjomā un to veicinātu. Ja pusēm vienbalsīgi balsojot nav nolemts citādi, tas veicams ESAO Kukuļošanas apkarošanas starptautiskajos biznesa darījumos darba grupas ietvaros un saskaņā ar tās nolikumu vai jebkura cita šīs Darba grupas funkciju pārņēmēja ietvaros un saskaņā ar tā nolikumu, un Puses sedz programmas izmaksas saskaņā ar šīs institūcijas noteikumiem.</w:t>
      </w:r>
      <w:r w:rsidR="00B10BE0" w:rsidRPr="00FB5BC4">
        <w:rPr>
          <w:rFonts w:ascii="Times New Roman" w:hAnsi="Times New Roman" w:cs="Times New Roman"/>
          <w:sz w:val="24"/>
          <w:szCs w:val="24"/>
        </w:rPr>
        <w:t xml:space="preserve">. </w:t>
      </w:r>
    </w:p>
    <w:p w:rsidR="00B10BE0" w:rsidRPr="00FB5BC4" w:rsidRDefault="00B10BE0" w:rsidP="00B63451">
      <w:pPr>
        <w:pStyle w:val="Vienkrsteksts"/>
        <w:ind w:firstLine="720"/>
        <w:jc w:val="both"/>
        <w:rPr>
          <w:rFonts w:ascii="Times New Roman" w:hAnsi="Times New Roman" w:cs="Times New Roman"/>
          <w:sz w:val="24"/>
          <w:szCs w:val="24"/>
        </w:rPr>
      </w:pPr>
    </w:p>
    <w:p w:rsidR="00B10BE0" w:rsidRPr="00FB5BC4" w:rsidRDefault="00B10BE0" w:rsidP="00B63451">
      <w:pPr>
        <w:pStyle w:val="Vienkrsteksts"/>
        <w:ind w:firstLine="720"/>
        <w:jc w:val="center"/>
        <w:rPr>
          <w:rFonts w:ascii="Times New Roman" w:hAnsi="Times New Roman" w:cs="Times New Roman"/>
          <w:sz w:val="24"/>
          <w:szCs w:val="24"/>
        </w:rPr>
      </w:pPr>
      <w:r w:rsidRPr="00FB5BC4">
        <w:rPr>
          <w:rFonts w:ascii="Times New Roman" w:hAnsi="Times New Roman" w:cs="Times New Roman"/>
          <w:sz w:val="24"/>
          <w:szCs w:val="24"/>
        </w:rPr>
        <w:t>13. pants</w:t>
      </w:r>
    </w:p>
    <w:p w:rsidR="00B10BE0" w:rsidRPr="00FB5BC4" w:rsidRDefault="00B10BE0" w:rsidP="00B63451">
      <w:pPr>
        <w:pStyle w:val="Vienkrsteksts"/>
        <w:ind w:firstLine="720"/>
        <w:jc w:val="center"/>
        <w:rPr>
          <w:rFonts w:ascii="Times New Roman" w:hAnsi="Times New Roman" w:cs="Times New Roman"/>
          <w:sz w:val="24"/>
          <w:szCs w:val="24"/>
        </w:rPr>
      </w:pPr>
      <w:r w:rsidRPr="00FB5BC4">
        <w:rPr>
          <w:rFonts w:ascii="Times New Roman" w:hAnsi="Times New Roman" w:cs="Times New Roman"/>
          <w:sz w:val="24"/>
          <w:szCs w:val="24"/>
        </w:rPr>
        <w:t>Parakstīšana un pievienošanās</w:t>
      </w:r>
    </w:p>
    <w:p w:rsidR="00B10BE0" w:rsidRPr="00FB5BC4" w:rsidRDefault="00B10BE0" w:rsidP="00B63451">
      <w:pPr>
        <w:pStyle w:val="Vienkrsteksts"/>
        <w:ind w:firstLine="720"/>
        <w:jc w:val="both"/>
        <w:rPr>
          <w:rFonts w:ascii="Times New Roman" w:hAnsi="Times New Roman" w:cs="Times New Roman"/>
          <w:sz w:val="24"/>
          <w:szCs w:val="24"/>
        </w:rPr>
      </w:pPr>
    </w:p>
    <w:p w:rsidR="00565DAF" w:rsidRPr="00565DAF" w:rsidRDefault="00565DAF" w:rsidP="00B63451">
      <w:pPr>
        <w:pStyle w:val="Vienkrsteksts"/>
        <w:numPr>
          <w:ilvl w:val="0"/>
          <w:numId w:val="12"/>
        </w:numPr>
        <w:ind w:left="0" w:firstLine="720"/>
        <w:jc w:val="both"/>
        <w:rPr>
          <w:rFonts w:ascii="Times New Roman" w:hAnsi="Times New Roman" w:cs="Times New Roman"/>
          <w:sz w:val="24"/>
          <w:szCs w:val="24"/>
        </w:rPr>
      </w:pPr>
      <w:r w:rsidRPr="00565DAF">
        <w:rPr>
          <w:rFonts w:ascii="Times New Roman" w:hAnsi="Times New Roman" w:cs="Times New Roman"/>
          <w:sz w:val="24"/>
          <w:szCs w:val="24"/>
        </w:rPr>
        <w:t xml:space="preserve">Šī Konvencija ir atvērta parakstīšanai ESAO dalībvalstīm un valstīm, kas nav ESAO dalībnieces, bet ir uzaicinātas kļūt par pilntiesīgām dalībniecēm tās Kukuļošanas apkarošanas starptautiskajos biznesa darījumos darba grupā, līdz tās spēkā stāšanās brīdim. </w:t>
      </w:r>
    </w:p>
    <w:p w:rsidR="00CF4079" w:rsidRPr="00565DAF" w:rsidRDefault="00CF4079" w:rsidP="00B63451">
      <w:pPr>
        <w:pStyle w:val="Vienkrsteksts"/>
        <w:ind w:firstLine="720"/>
        <w:jc w:val="both"/>
        <w:rPr>
          <w:rFonts w:ascii="Times New Roman" w:hAnsi="Times New Roman" w:cs="Times New Roman"/>
          <w:sz w:val="24"/>
          <w:szCs w:val="24"/>
        </w:rPr>
      </w:pPr>
    </w:p>
    <w:p w:rsidR="00B10BE0" w:rsidRPr="00CF4079" w:rsidRDefault="00B10BE0" w:rsidP="00B63451">
      <w:pPr>
        <w:pStyle w:val="Vienkrsteksts"/>
        <w:numPr>
          <w:ilvl w:val="0"/>
          <w:numId w:val="12"/>
        </w:numPr>
        <w:ind w:left="0" w:firstLine="720"/>
        <w:jc w:val="both"/>
        <w:rPr>
          <w:rFonts w:ascii="Times New Roman" w:hAnsi="Times New Roman" w:cs="Times New Roman"/>
          <w:sz w:val="24"/>
          <w:szCs w:val="24"/>
        </w:rPr>
      </w:pPr>
      <w:r w:rsidRPr="00CF4079">
        <w:rPr>
          <w:rFonts w:ascii="Times New Roman" w:hAnsi="Times New Roman" w:cs="Times New Roman"/>
          <w:sz w:val="24"/>
          <w:szCs w:val="24"/>
        </w:rPr>
        <w:t xml:space="preserve">Pēc stāšanās spēkā šai Konvencijai varēs pievienoties jebkura to neparakstījusi valsts, kas ir ESAO dalībniece vai ir kļuvusi par pilntiesīgu </w:t>
      </w:r>
      <w:r w:rsidR="00565DAF" w:rsidRPr="00565DAF">
        <w:rPr>
          <w:rFonts w:ascii="Times New Roman" w:hAnsi="Times New Roman" w:cs="Times New Roman"/>
          <w:sz w:val="24"/>
          <w:szCs w:val="24"/>
        </w:rPr>
        <w:t>Kukuļošanas apkarošanas starptautiskaj</w:t>
      </w:r>
      <w:r w:rsidR="00565DAF">
        <w:rPr>
          <w:rFonts w:ascii="Times New Roman" w:hAnsi="Times New Roman" w:cs="Times New Roman"/>
          <w:sz w:val="24"/>
          <w:szCs w:val="24"/>
        </w:rPr>
        <w:t>os biznesa darījumos darba grupas</w:t>
      </w:r>
      <w:r w:rsidRPr="00CF4079">
        <w:rPr>
          <w:rFonts w:ascii="Times New Roman" w:hAnsi="Times New Roman" w:cs="Times New Roman"/>
          <w:sz w:val="24"/>
          <w:szCs w:val="24"/>
        </w:rPr>
        <w:t xml:space="preserve"> vai tās funkciju pārņēmēja dalībnieci. Katrā šādā valstī, kas nav parakstījusi Konvenciju, tā stāsies spēkā sešdesmitajā dienā pēc pievienošanās dokumenta iesniegšanas. </w:t>
      </w:r>
    </w:p>
    <w:p w:rsidR="00CF4079" w:rsidRDefault="00CF4079" w:rsidP="00B63451">
      <w:pPr>
        <w:pStyle w:val="Vienkrsteksts"/>
        <w:ind w:firstLine="720"/>
        <w:jc w:val="center"/>
        <w:rPr>
          <w:rFonts w:ascii="Times New Roman" w:hAnsi="Times New Roman" w:cs="Times New Roman"/>
          <w:sz w:val="24"/>
          <w:szCs w:val="24"/>
        </w:rPr>
      </w:pPr>
    </w:p>
    <w:p w:rsidR="00CF4079" w:rsidRDefault="00CF4079" w:rsidP="00B63451">
      <w:pPr>
        <w:pStyle w:val="Vienkrsteksts"/>
        <w:ind w:firstLine="720"/>
        <w:jc w:val="center"/>
        <w:rPr>
          <w:rFonts w:ascii="Times New Roman" w:hAnsi="Times New Roman" w:cs="Times New Roman"/>
          <w:sz w:val="24"/>
          <w:szCs w:val="24"/>
        </w:rPr>
      </w:pPr>
    </w:p>
    <w:p w:rsidR="00B10BE0" w:rsidRPr="00FB5BC4" w:rsidRDefault="00B10BE0" w:rsidP="00B63451">
      <w:pPr>
        <w:pStyle w:val="Vienkrsteksts"/>
        <w:ind w:firstLine="720"/>
        <w:jc w:val="center"/>
        <w:rPr>
          <w:rFonts w:ascii="Times New Roman" w:hAnsi="Times New Roman" w:cs="Times New Roman"/>
          <w:sz w:val="24"/>
          <w:szCs w:val="24"/>
        </w:rPr>
      </w:pPr>
      <w:r w:rsidRPr="00FB5BC4">
        <w:rPr>
          <w:rFonts w:ascii="Times New Roman" w:hAnsi="Times New Roman" w:cs="Times New Roman"/>
          <w:sz w:val="24"/>
          <w:szCs w:val="24"/>
        </w:rPr>
        <w:t>14. pants</w:t>
      </w:r>
    </w:p>
    <w:p w:rsidR="00B10BE0" w:rsidRPr="00FB5BC4" w:rsidRDefault="00B10BE0" w:rsidP="00B63451">
      <w:pPr>
        <w:pStyle w:val="Vienkrsteksts"/>
        <w:ind w:firstLine="720"/>
        <w:jc w:val="center"/>
        <w:rPr>
          <w:rFonts w:ascii="Times New Roman" w:hAnsi="Times New Roman" w:cs="Times New Roman"/>
          <w:sz w:val="24"/>
          <w:szCs w:val="24"/>
        </w:rPr>
      </w:pPr>
      <w:r w:rsidRPr="00FB5BC4">
        <w:rPr>
          <w:rFonts w:ascii="Times New Roman" w:hAnsi="Times New Roman" w:cs="Times New Roman"/>
          <w:sz w:val="24"/>
          <w:szCs w:val="24"/>
        </w:rPr>
        <w:t>Ratificēšana un Depozitārs</w:t>
      </w:r>
    </w:p>
    <w:p w:rsidR="00B10BE0" w:rsidRPr="00FB5BC4" w:rsidRDefault="00B10BE0" w:rsidP="00B63451">
      <w:pPr>
        <w:pStyle w:val="Vienkrsteksts"/>
        <w:ind w:firstLine="720"/>
        <w:jc w:val="both"/>
        <w:rPr>
          <w:rFonts w:ascii="Times New Roman" w:hAnsi="Times New Roman" w:cs="Times New Roman"/>
          <w:sz w:val="24"/>
          <w:szCs w:val="24"/>
        </w:rPr>
      </w:pPr>
    </w:p>
    <w:p w:rsidR="00CF4079" w:rsidRDefault="00B10BE0" w:rsidP="00B63451">
      <w:pPr>
        <w:pStyle w:val="Vienkrsteksts"/>
        <w:numPr>
          <w:ilvl w:val="0"/>
          <w:numId w:val="13"/>
        </w:numPr>
        <w:ind w:left="0" w:firstLine="720"/>
        <w:jc w:val="both"/>
        <w:rPr>
          <w:rFonts w:ascii="Times New Roman" w:hAnsi="Times New Roman" w:cs="Times New Roman"/>
          <w:sz w:val="24"/>
          <w:szCs w:val="24"/>
        </w:rPr>
      </w:pPr>
      <w:r w:rsidRPr="00FB5BC4">
        <w:rPr>
          <w:rFonts w:ascii="Times New Roman" w:hAnsi="Times New Roman" w:cs="Times New Roman"/>
          <w:sz w:val="24"/>
          <w:szCs w:val="24"/>
        </w:rPr>
        <w:t>Valstīm, kas parakstījušas šo Konvenciju, tā ir jāpieņem, jāapstiprina vai jāratificē saskaņā ar šo valstu atbilstoš</w:t>
      </w:r>
      <w:r w:rsidR="00565DAF">
        <w:rPr>
          <w:rFonts w:ascii="Times New Roman" w:hAnsi="Times New Roman" w:cs="Times New Roman"/>
          <w:sz w:val="24"/>
          <w:szCs w:val="24"/>
        </w:rPr>
        <w:t>iem normatīvajiem aktiem</w:t>
      </w:r>
      <w:r w:rsidRPr="00FB5BC4">
        <w:rPr>
          <w:rFonts w:ascii="Times New Roman" w:hAnsi="Times New Roman" w:cs="Times New Roman"/>
          <w:sz w:val="24"/>
          <w:szCs w:val="24"/>
        </w:rPr>
        <w:t xml:space="preserve">. </w:t>
      </w:r>
    </w:p>
    <w:p w:rsidR="00CF4079" w:rsidRDefault="00CF4079" w:rsidP="00B63451">
      <w:pPr>
        <w:pStyle w:val="Vienkrsteksts"/>
        <w:ind w:firstLine="720"/>
        <w:jc w:val="both"/>
        <w:rPr>
          <w:rFonts w:ascii="Times New Roman" w:hAnsi="Times New Roman" w:cs="Times New Roman"/>
          <w:sz w:val="24"/>
          <w:szCs w:val="24"/>
        </w:rPr>
      </w:pPr>
    </w:p>
    <w:p w:rsidR="00B10BE0" w:rsidRPr="00CF4079" w:rsidRDefault="00B10BE0" w:rsidP="00B63451">
      <w:pPr>
        <w:pStyle w:val="Vienkrsteksts"/>
        <w:numPr>
          <w:ilvl w:val="0"/>
          <w:numId w:val="13"/>
        </w:numPr>
        <w:ind w:left="0" w:firstLine="720"/>
        <w:jc w:val="both"/>
        <w:rPr>
          <w:rFonts w:ascii="Times New Roman" w:hAnsi="Times New Roman" w:cs="Times New Roman"/>
          <w:sz w:val="24"/>
          <w:szCs w:val="24"/>
        </w:rPr>
      </w:pPr>
      <w:r w:rsidRPr="00CF4079">
        <w:rPr>
          <w:rFonts w:ascii="Times New Roman" w:hAnsi="Times New Roman" w:cs="Times New Roman"/>
          <w:sz w:val="24"/>
          <w:szCs w:val="24"/>
        </w:rPr>
        <w:t xml:space="preserve">Pieņemšanas, apstiprināšanas, ratificēšanas vai pievienošanās dokumenti iesniedzami ESAO Ģenerālsekretāram, kurš ir šīs Konvencijas Depozitārs. </w:t>
      </w:r>
    </w:p>
    <w:p w:rsidR="00B10BE0" w:rsidRPr="00FB5BC4" w:rsidRDefault="00B10BE0" w:rsidP="00B63451">
      <w:pPr>
        <w:pStyle w:val="Vienkrsteksts"/>
        <w:ind w:firstLine="720"/>
        <w:jc w:val="both"/>
        <w:rPr>
          <w:rFonts w:ascii="Times New Roman" w:hAnsi="Times New Roman" w:cs="Times New Roman"/>
          <w:sz w:val="24"/>
          <w:szCs w:val="24"/>
        </w:rPr>
      </w:pPr>
    </w:p>
    <w:p w:rsidR="00B10BE0" w:rsidRPr="00FB5BC4" w:rsidRDefault="00B10BE0" w:rsidP="00B63451">
      <w:pPr>
        <w:pStyle w:val="Vienkrsteksts"/>
        <w:ind w:firstLine="720"/>
        <w:jc w:val="both"/>
        <w:rPr>
          <w:rFonts w:ascii="Times New Roman" w:hAnsi="Times New Roman" w:cs="Times New Roman"/>
          <w:sz w:val="24"/>
          <w:szCs w:val="24"/>
        </w:rPr>
      </w:pPr>
    </w:p>
    <w:p w:rsidR="00B10BE0" w:rsidRPr="00FB5BC4" w:rsidRDefault="00B10BE0" w:rsidP="00B63451">
      <w:pPr>
        <w:pStyle w:val="Vienkrsteksts"/>
        <w:ind w:firstLine="720"/>
        <w:jc w:val="center"/>
        <w:rPr>
          <w:rFonts w:ascii="Times New Roman" w:hAnsi="Times New Roman" w:cs="Times New Roman"/>
          <w:sz w:val="24"/>
          <w:szCs w:val="24"/>
        </w:rPr>
      </w:pPr>
      <w:r w:rsidRPr="00FB5BC4">
        <w:rPr>
          <w:rFonts w:ascii="Times New Roman" w:hAnsi="Times New Roman" w:cs="Times New Roman"/>
          <w:sz w:val="24"/>
          <w:szCs w:val="24"/>
        </w:rPr>
        <w:t>15. pants</w:t>
      </w:r>
    </w:p>
    <w:p w:rsidR="00B10BE0" w:rsidRPr="00FB5BC4" w:rsidRDefault="00B10BE0" w:rsidP="00B63451">
      <w:pPr>
        <w:pStyle w:val="Vienkrsteksts"/>
        <w:ind w:firstLine="720"/>
        <w:jc w:val="center"/>
        <w:rPr>
          <w:rFonts w:ascii="Times New Roman" w:hAnsi="Times New Roman" w:cs="Times New Roman"/>
          <w:sz w:val="24"/>
          <w:szCs w:val="24"/>
        </w:rPr>
      </w:pPr>
      <w:r w:rsidRPr="00FB5BC4">
        <w:rPr>
          <w:rFonts w:ascii="Times New Roman" w:hAnsi="Times New Roman" w:cs="Times New Roman"/>
          <w:sz w:val="24"/>
          <w:szCs w:val="24"/>
        </w:rPr>
        <w:t>Stāšanās spēkā</w:t>
      </w:r>
    </w:p>
    <w:p w:rsidR="00B10BE0" w:rsidRPr="00FB5BC4" w:rsidRDefault="00B10BE0" w:rsidP="00B63451">
      <w:pPr>
        <w:pStyle w:val="Vienkrsteksts"/>
        <w:ind w:firstLine="720"/>
        <w:jc w:val="both"/>
        <w:rPr>
          <w:rFonts w:ascii="Times New Roman" w:hAnsi="Times New Roman" w:cs="Times New Roman"/>
          <w:sz w:val="24"/>
          <w:szCs w:val="24"/>
        </w:rPr>
      </w:pPr>
    </w:p>
    <w:p w:rsidR="00CF4079" w:rsidRDefault="00B10BE0" w:rsidP="00B63451">
      <w:pPr>
        <w:pStyle w:val="Vienkrsteksts"/>
        <w:numPr>
          <w:ilvl w:val="0"/>
          <w:numId w:val="14"/>
        </w:numPr>
        <w:ind w:left="0" w:firstLine="720"/>
        <w:jc w:val="both"/>
        <w:rPr>
          <w:rFonts w:ascii="Times New Roman" w:hAnsi="Times New Roman" w:cs="Times New Roman"/>
          <w:sz w:val="24"/>
          <w:szCs w:val="24"/>
        </w:rPr>
      </w:pPr>
      <w:r w:rsidRPr="00FB5BC4">
        <w:rPr>
          <w:rFonts w:ascii="Times New Roman" w:hAnsi="Times New Roman" w:cs="Times New Roman"/>
          <w:sz w:val="24"/>
          <w:szCs w:val="24"/>
        </w:rPr>
        <w:t xml:space="preserve">Šī Konvencija stājas spēkā sešdesmitajā dienā pēc tam, kad piecas no desmit valstīm ar lielāko eksporta īpatsvaru, kā tas norādīts pievienotajā tabulā DAFE/IME/BR(97)18, un kas pašas veido vismaz sešdesmit procentus no kopējā šo desmit valstu apvienotā eksporta apjoma, ir iesniegušas savus pieņemšanas, apstiprināšanas vai ratifikācijas dokumentus. Valstī, kas parakstījusi Konvenciju un iesniedz atbilstošo dokumentu pēc šādas stāšanās spēkā, Konvencija stājas likumīgā spēkā sešdesmitajā dienā pēc attiecīgā dokumenta iesniegšanas. </w:t>
      </w:r>
    </w:p>
    <w:p w:rsidR="00CF4079" w:rsidRDefault="00CF4079" w:rsidP="00B63451">
      <w:pPr>
        <w:pStyle w:val="Vienkrsteksts"/>
        <w:ind w:left="720" w:firstLine="720"/>
        <w:jc w:val="both"/>
        <w:rPr>
          <w:rFonts w:ascii="Times New Roman" w:hAnsi="Times New Roman" w:cs="Times New Roman"/>
          <w:sz w:val="24"/>
          <w:szCs w:val="24"/>
        </w:rPr>
      </w:pPr>
    </w:p>
    <w:p w:rsidR="00B10BE0" w:rsidRPr="00CF4079" w:rsidRDefault="00B10BE0" w:rsidP="00B63451">
      <w:pPr>
        <w:pStyle w:val="Vienkrsteksts"/>
        <w:numPr>
          <w:ilvl w:val="0"/>
          <w:numId w:val="14"/>
        </w:numPr>
        <w:ind w:left="0" w:firstLine="720"/>
        <w:jc w:val="both"/>
        <w:rPr>
          <w:rFonts w:ascii="Times New Roman" w:hAnsi="Times New Roman" w:cs="Times New Roman"/>
          <w:sz w:val="24"/>
          <w:szCs w:val="24"/>
        </w:rPr>
      </w:pPr>
      <w:r w:rsidRPr="00CF4079">
        <w:rPr>
          <w:rFonts w:ascii="Times New Roman" w:hAnsi="Times New Roman" w:cs="Times New Roman"/>
          <w:sz w:val="24"/>
          <w:szCs w:val="24"/>
        </w:rPr>
        <w:t xml:space="preserve"> Ja pēc 1998. gada 31. decembra Konvencija nav stājusies spēkā šī panta 1. punktā noteiktā kārtībā, jebkura Konvenciju parakstījusi valsts, kas iesniegusi pieņemšanas, </w:t>
      </w:r>
      <w:r w:rsidRPr="00CF4079">
        <w:rPr>
          <w:rFonts w:ascii="Times New Roman" w:hAnsi="Times New Roman" w:cs="Times New Roman"/>
          <w:sz w:val="24"/>
          <w:szCs w:val="24"/>
        </w:rPr>
        <w:lastRenderedPageBreak/>
        <w:t xml:space="preserve">apstiprināšanas vai ratifikācijas dokumentu, var rakstiski paziņot Depozitāram par gatavību pieņemt šīs Konvencijas stāšanos spēkā saskaņā ar šī panta 2. punktu. Šādā valstī Konvencija stājas spēkā sešdesmitajā dienā pēc tam, kad šādas deklarācijas ir iesniegušas vismaz divas Konvenciju parakstījušas valstis. Katrā valstī, kas parakstījusi Konvenciju un iesniedz savu deklarāciju pēc Konvencijas stāšanas spēkā saskaņā ar šajā punktā aprakstīto kārtību, Konvencija stājas likumīgā spēkā sešdesmitajā dienā pēc deklarācijas iesniegšanas. </w:t>
      </w:r>
    </w:p>
    <w:p w:rsidR="00CF4079" w:rsidRDefault="00CF4079" w:rsidP="00B63451">
      <w:pPr>
        <w:pStyle w:val="Vienkrsteksts"/>
        <w:ind w:firstLine="720"/>
        <w:jc w:val="center"/>
        <w:rPr>
          <w:rFonts w:ascii="Times New Roman" w:hAnsi="Times New Roman" w:cs="Times New Roman"/>
          <w:sz w:val="24"/>
          <w:szCs w:val="24"/>
        </w:rPr>
      </w:pPr>
    </w:p>
    <w:p w:rsidR="000C182B" w:rsidRDefault="000C182B" w:rsidP="00B63451">
      <w:pPr>
        <w:pStyle w:val="Vienkrsteksts"/>
        <w:ind w:firstLine="720"/>
        <w:jc w:val="center"/>
        <w:rPr>
          <w:rFonts w:ascii="Times New Roman" w:hAnsi="Times New Roman" w:cs="Times New Roman"/>
          <w:sz w:val="24"/>
          <w:szCs w:val="24"/>
        </w:rPr>
      </w:pPr>
    </w:p>
    <w:p w:rsidR="00B10BE0" w:rsidRPr="00FB5BC4" w:rsidRDefault="00CF4079" w:rsidP="00B63451">
      <w:pPr>
        <w:pStyle w:val="Vienkrsteksts"/>
        <w:ind w:firstLine="720"/>
        <w:jc w:val="center"/>
        <w:rPr>
          <w:rFonts w:ascii="Times New Roman" w:hAnsi="Times New Roman" w:cs="Times New Roman"/>
          <w:sz w:val="24"/>
          <w:szCs w:val="24"/>
        </w:rPr>
      </w:pPr>
      <w:r>
        <w:rPr>
          <w:rFonts w:ascii="Times New Roman" w:hAnsi="Times New Roman" w:cs="Times New Roman"/>
          <w:sz w:val="24"/>
          <w:szCs w:val="24"/>
        </w:rPr>
        <w:t>1</w:t>
      </w:r>
      <w:r w:rsidR="00B10BE0" w:rsidRPr="00FB5BC4">
        <w:rPr>
          <w:rFonts w:ascii="Times New Roman" w:hAnsi="Times New Roman" w:cs="Times New Roman"/>
          <w:sz w:val="24"/>
          <w:szCs w:val="24"/>
        </w:rPr>
        <w:t>6. pants</w:t>
      </w:r>
    </w:p>
    <w:p w:rsidR="00B10BE0" w:rsidRPr="00FB5BC4" w:rsidRDefault="00B10BE0" w:rsidP="00B63451">
      <w:pPr>
        <w:pStyle w:val="Vienkrsteksts"/>
        <w:ind w:firstLine="720"/>
        <w:jc w:val="center"/>
        <w:rPr>
          <w:rFonts w:ascii="Times New Roman" w:hAnsi="Times New Roman" w:cs="Times New Roman"/>
          <w:sz w:val="24"/>
          <w:szCs w:val="24"/>
        </w:rPr>
      </w:pPr>
      <w:r w:rsidRPr="00FB5BC4">
        <w:rPr>
          <w:rFonts w:ascii="Times New Roman" w:hAnsi="Times New Roman" w:cs="Times New Roman"/>
          <w:sz w:val="24"/>
          <w:szCs w:val="24"/>
        </w:rPr>
        <w:t>Grozījum</w:t>
      </w:r>
      <w:r w:rsidR="00255898">
        <w:rPr>
          <w:rFonts w:ascii="Times New Roman" w:hAnsi="Times New Roman" w:cs="Times New Roman"/>
          <w:sz w:val="24"/>
          <w:szCs w:val="24"/>
        </w:rPr>
        <w:t>i</w:t>
      </w:r>
    </w:p>
    <w:p w:rsidR="00B10BE0" w:rsidRPr="00FB5BC4" w:rsidRDefault="00B10BE0" w:rsidP="00B63451">
      <w:pPr>
        <w:pStyle w:val="Vienkrsteksts"/>
        <w:ind w:firstLine="720"/>
        <w:jc w:val="both"/>
        <w:rPr>
          <w:rFonts w:ascii="Times New Roman" w:hAnsi="Times New Roman" w:cs="Times New Roman"/>
          <w:sz w:val="24"/>
          <w:szCs w:val="24"/>
        </w:rPr>
      </w:pPr>
    </w:p>
    <w:p w:rsidR="00B10BE0" w:rsidRPr="00FB5BC4" w:rsidRDefault="00B10BE0" w:rsidP="00B63451">
      <w:pPr>
        <w:pStyle w:val="Vienkrsteksts"/>
        <w:ind w:firstLine="720"/>
        <w:jc w:val="both"/>
        <w:rPr>
          <w:rFonts w:ascii="Times New Roman" w:hAnsi="Times New Roman" w:cs="Times New Roman"/>
          <w:sz w:val="24"/>
          <w:szCs w:val="24"/>
        </w:rPr>
      </w:pPr>
      <w:r w:rsidRPr="00FB5BC4">
        <w:rPr>
          <w:rFonts w:ascii="Times New Roman" w:hAnsi="Times New Roman" w:cs="Times New Roman"/>
          <w:sz w:val="24"/>
          <w:szCs w:val="24"/>
        </w:rPr>
        <w:t xml:space="preserve">Ikviena Puse var ierosināt šīs Konvencijas grozījumus. Ierosinātais grozījums tiek iesniegts Depozitāram, kurš to dara zināmu pārējām pusēm vismaz sešdesmit dienas pirms pušu tikšanās, kurā tiek apspriesti ierosinātie grozījumi. Grozījumi, ko Puses pieņēmušas balsojot vienbalsīgi vai izmantojot citus paņēmienus, ko Puses var vienprātīgi noteikt, stājas spēkā sešdesmit dienas pēc tam, kad visas Puses ir iesniegušas ratifikācijas, pieņemšanas vai apstiprināšanas </w:t>
      </w:r>
      <w:r w:rsidR="00CF4079">
        <w:rPr>
          <w:rFonts w:ascii="Times New Roman" w:hAnsi="Times New Roman" w:cs="Times New Roman"/>
          <w:sz w:val="24"/>
          <w:szCs w:val="24"/>
        </w:rPr>
        <w:t>d</w:t>
      </w:r>
      <w:r w:rsidRPr="00FB5BC4">
        <w:rPr>
          <w:rFonts w:ascii="Times New Roman" w:hAnsi="Times New Roman" w:cs="Times New Roman"/>
          <w:sz w:val="24"/>
          <w:szCs w:val="24"/>
        </w:rPr>
        <w:t xml:space="preserve">okumentu, vai arī saskaņā ar kādiem citiem nosacījumiem, ko Puses var noteikt, pieņemot grozījumus. </w:t>
      </w:r>
    </w:p>
    <w:p w:rsidR="00B10BE0" w:rsidRPr="00FB5BC4" w:rsidRDefault="00B10BE0" w:rsidP="00B63451">
      <w:pPr>
        <w:pStyle w:val="Vienkrsteksts"/>
        <w:ind w:firstLine="720"/>
        <w:jc w:val="both"/>
        <w:rPr>
          <w:rFonts w:ascii="Times New Roman" w:hAnsi="Times New Roman" w:cs="Times New Roman"/>
          <w:sz w:val="24"/>
          <w:szCs w:val="24"/>
        </w:rPr>
      </w:pPr>
    </w:p>
    <w:p w:rsidR="000C182B" w:rsidRDefault="000C182B" w:rsidP="00B63451">
      <w:pPr>
        <w:pStyle w:val="Vienkrsteksts"/>
        <w:ind w:firstLine="720"/>
        <w:jc w:val="center"/>
        <w:rPr>
          <w:rFonts w:ascii="Times New Roman" w:hAnsi="Times New Roman" w:cs="Times New Roman"/>
          <w:sz w:val="24"/>
          <w:szCs w:val="24"/>
        </w:rPr>
      </w:pPr>
    </w:p>
    <w:p w:rsidR="00B10BE0" w:rsidRPr="00FB5BC4" w:rsidRDefault="00B10BE0" w:rsidP="00B63451">
      <w:pPr>
        <w:pStyle w:val="Vienkrsteksts"/>
        <w:ind w:firstLine="720"/>
        <w:jc w:val="center"/>
        <w:rPr>
          <w:rFonts w:ascii="Times New Roman" w:hAnsi="Times New Roman" w:cs="Times New Roman"/>
          <w:sz w:val="24"/>
          <w:szCs w:val="24"/>
        </w:rPr>
      </w:pPr>
      <w:r w:rsidRPr="00FB5BC4">
        <w:rPr>
          <w:rFonts w:ascii="Times New Roman" w:hAnsi="Times New Roman" w:cs="Times New Roman"/>
          <w:sz w:val="24"/>
          <w:szCs w:val="24"/>
        </w:rPr>
        <w:t>17. pants</w:t>
      </w:r>
    </w:p>
    <w:p w:rsidR="00B10BE0" w:rsidRPr="00FB5BC4" w:rsidRDefault="00B10BE0" w:rsidP="00B63451">
      <w:pPr>
        <w:pStyle w:val="Vienkrsteksts"/>
        <w:ind w:firstLine="720"/>
        <w:jc w:val="center"/>
        <w:rPr>
          <w:rFonts w:ascii="Times New Roman" w:hAnsi="Times New Roman" w:cs="Times New Roman"/>
          <w:sz w:val="24"/>
          <w:szCs w:val="24"/>
        </w:rPr>
      </w:pPr>
      <w:r w:rsidRPr="00FB5BC4">
        <w:rPr>
          <w:rFonts w:ascii="Times New Roman" w:hAnsi="Times New Roman" w:cs="Times New Roman"/>
          <w:sz w:val="24"/>
          <w:szCs w:val="24"/>
        </w:rPr>
        <w:t>Izstāšanās</w:t>
      </w:r>
    </w:p>
    <w:p w:rsidR="00B10BE0" w:rsidRPr="00FB5BC4" w:rsidRDefault="00B10BE0" w:rsidP="00B63451">
      <w:pPr>
        <w:pStyle w:val="Vienkrsteksts"/>
        <w:ind w:firstLine="720"/>
        <w:jc w:val="both"/>
        <w:rPr>
          <w:rFonts w:ascii="Times New Roman" w:hAnsi="Times New Roman" w:cs="Times New Roman"/>
          <w:sz w:val="24"/>
          <w:szCs w:val="24"/>
        </w:rPr>
      </w:pPr>
    </w:p>
    <w:p w:rsidR="00B10BE0" w:rsidRPr="00FB5BC4" w:rsidRDefault="00B10BE0" w:rsidP="00B63451">
      <w:pPr>
        <w:pStyle w:val="Vienkrsteksts"/>
        <w:ind w:firstLine="720"/>
        <w:jc w:val="both"/>
        <w:rPr>
          <w:rFonts w:ascii="Times New Roman" w:hAnsi="Times New Roman" w:cs="Times New Roman"/>
          <w:sz w:val="24"/>
          <w:szCs w:val="24"/>
        </w:rPr>
      </w:pPr>
      <w:r w:rsidRPr="00FB5BC4">
        <w:rPr>
          <w:rFonts w:ascii="Times New Roman" w:hAnsi="Times New Roman" w:cs="Times New Roman"/>
          <w:sz w:val="24"/>
          <w:szCs w:val="24"/>
        </w:rPr>
        <w:t xml:space="preserve">Puse var izstāties no šīs Konvencijas, iesniedzot rakstisku paziņojumu Depozitāram. Izstāšanās stājas spēkā vienu gadu pēc paziņojuma saņemšanas. Pēc izstāšanās sadarbība starp </w:t>
      </w:r>
      <w:r w:rsidR="00CF4079">
        <w:rPr>
          <w:rFonts w:ascii="Times New Roman" w:hAnsi="Times New Roman" w:cs="Times New Roman"/>
          <w:sz w:val="24"/>
          <w:szCs w:val="24"/>
        </w:rPr>
        <w:t>k</w:t>
      </w:r>
      <w:r w:rsidRPr="00FB5BC4">
        <w:rPr>
          <w:rFonts w:ascii="Times New Roman" w:hAnsi="Times New Roman" w:cs="Times New Roman"/>
          <w:sz w:val="24"/>
          <w:szCs w:val="24"/>
        </w:rPr>
        <w:t xml:space="preserve">onvencijas dalībvalstīm un pusi, kura ir izstājusies, turpinās attiecībā uz visiem palīdzības pieprasījumiem vai personu izdošanu, kas izdarīti pirms izstāšanās stājusies likumīgā spēkā un kas nav izpildīti. </w:t>
      </w:r>
    </w:p>
    <w:p w:rsidR="00B10BE0" w:rsidRPr="00FB5BC4" w:rsidRDefault="00B10BE0" w:rsidP="003B0BE2">
      <w:pPr>
        <w:pStyle w:val="Vienkrsteksts"/>
        <w:jc w:val="both"/>
        <w:rPr>
          <w:rFonts w:ascii="Times New Roman" w:hAnsi="Times New Roman" w:cs="Times New Roman"/>
          <w:sz w:val="24"/>
          <w:szCs w:val="24"/>
        </w:rPr>
      </w:pPr>
    </w:p>
    <w:p w:rsidR="00B10BE0" w:rsidRPr="00FB5BC4" w:rsidRDefault="00B10BE0" w:rsidP="003B0BE2">
      <w:pPr>
        <w:pStyle w:val="Vienkrsteksts"/>
        <w:jc w:val="both"/>
        <w:rPr>
          <w:rFonts w:ascii="Times New Roman" w:hAnsi="Times New Roman" w:cs="Times New Roman"/>
          <w:sz w:val="24"/>
          <w:szCs w:val="24"/>
        </w:rPr>
      </w:pPr>
    </w:p>
    <w:p w:rsidR="00B63451" w:rsidRPr="00B63451" w:rsidRDefault="00B63451" w:rsidP="00B63451">
      <w:pPr>
        <w:spacing w:after="0" w:line="240" w:lineRule="auto"/>
        <w:rPr>
          <w:rFonts w:ascii="Times New Roman" w:eastAsia="Times New Roman" w:hAnsi="Times New Roman" w:cs="Times New Roman"/>
          <w:sz w:val="24"/>
          <w:szCs w:val="24"/>
        </w:rPr>
      </w:pPr>
      <w:r w:rsidRPr="00B63451">
        <w:rPr>
          <w:rFonts w:ascii="Times New Roman" w:eastAsia="Times New Roman" w:hAnsi="Times New Roman" w:cs="Times New Roman"/>
          <w:sz w:val="24"/>
          <w:szCs w:val="24"/>
        </w:rPr>
        <w:t xml:space="preserve">Tieslietu ministrs                       </w:t>
      </w:r>
      <w:r w:rsidRPr="00B63451">
        <w:rPr>
          <w:rFonts w:ascii="Times New Roman" w:eastAsia="Times New Roman" w:hAnsi="Times New Roman" w:cs="Times New Roman"/>
          <w:sz w:val="24"/>
          <w:szCs w:val="24"/>
        </w:rPr>
        <w:tab/>
      </w:r>
      <w:r w:rsidRPr="00B63451">
        <w:rPr>
          <w:rFonts w:ascii="Times New Roman" w:eastAsia="Times New Roman" w:hAnsi="Times New Roman" w:cs="Times New Roman"/>
          <w:sz w:val="24"/>
          <w:szCs w:val="24"/>
        </w:rPr>
        <w:tab/>
      </w:r>
      <w:r w:rsidRPr="00B63451">
        <w:rPr>
          <w:rFonts w:ascii="Times New Roman" w:eastAsia="Times New Roman" w:hAnsi="Times New Roman" w:cs="Times New Roman"/>
          <w:sz w:val="24"/>
          <w:szCs w:val="24"/>
        </w:rPr>
        <w:tab/>
        <w:t xml:space="preserve">                                J. </w:t>
      </w:r>
      <w:proofErr w:type="spellStart"/>
      <w:r w:rsidRPr="00B63451">
        <w:rPr>
          <w:rFonts w:ascii="Times New Roman" w:eastAsia="Times New Roman" w:hAnsi="Times New Roman" w:cs="Times New Roman"/>
          <w:sz w:val="24"/>
          <w:szCs w:val="24"/>
        </w:rPr>
        <w:t>Bordāns</w:t>
      </w:r>
      <w:proofErr w:type="spellEnd"/>
    </w:p>
    <w:p w:rsidR="00B63451" w:rsidRPr="00B63451" w:rsidRDefault="00B63451" w:rsidP="00B63451">
      <w:pPr>
        <w:spacing w:after="0" w:line="240" w:lineRule="auto"/>
        <w:rPr>
          <w:rFonts w:ascii="Times New Roman" w:eastAsia="Times New Roman" w:hAnsi="Times New Roman" w:cs="Times New Roman"/>
          <w:sz w:val="20"/>
          <w:szCs w:val="24"/>
        </w:rPr>
      </w:pPr>
      <w:r w:rsidRPr="00B63451">
        <w:rPr>
          <w:rFonts w:ascii="Times New Roman" w:eastAsia="Times New Roman" w:hAnsi="Times New Roman" w:cs="Times New Roman"/>
          <w:sz w:val="28"/>
          <w:szCs w:val="28"/>
        </w:rPr>
        <w:t>                                                                 </w:t>
      </w:r>
    </w:p>
    <w:p w:rsidR="00B63451" w:rsidRPr="00B63451" w:rsidRDefault="00B63451" w:rsidP="00B6345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27</w:t>
      </w:r>
      <w:r w:rsidRPr="00B63451">
        <w:rPr>
          <w:rFonts w:ascii="Times New Roman" w:eastAsia="Times New Roman" w:hAnsi="Times New Roman" w:cs="Times New Roman"/>
          <w:sz w:val="18"/>
          <w:szCs w:val="18"/>
        </w:rPr>
        <w:t>.</w:t>
      </w:r>
      <w:r>
        <w:rPr>
          <w:rFonts w:ascii="Times New Roman" w:eastAsia="Times New Roman" w:hAnsi="Times New Roman" w:cs="Times New Roman"/>
          <w:sz w:val="18"/>
          <w:szCs w:val="18"/>
        </w:rPr>
        <w:t>12</w:t>
      </w:r>
      <w:r w:rsidRPr="00B63451">
        <w:rPr>
          <w:rFonts w:ascii="Times New Roman" w:eastAsia="Times New Roman" w:hAnsi="Times New Roman" w:cs="Times New Roman"/>
          <w:sz w:val="18"/>
          <w:szCs w:val="18"/>
        </w:rPr>
        <w:t xml:space="preserve">.2013. </w:t>
      </w:r>
      <w:r>
        <w:rPr>
          <w:rFonts w:ascii="Times New Roman" w:eastAsia="Times New Roman" w:hAnsi="Times New Roman" w:cs="Times New Roman"/>
          <w:sz w:val="18"/>
          <w:szCs w:val="18"/>
        </w:rPr>
        <w:t>9:</w:t>
      </w:r>
      <w:r w:rsidR="001B7157">
        <w:rPr>
          <w:rFonts w:ascii="Times New Roman" w:eastAsia="Times New Roman" w:hAnsi="Times New Roman" w:cs="Times New Roman"/>
          <w:sz w:val="18"/>
          <w:szCs w:val="18"/>
        </w:rPr>
        <w:t>20</w:t>
      </w:r>
      <w:bookmarkStart w:id="0" w:name="_GoBack"/>
      <w:bookmarkEnd w:id="0"/>
    </w:p>
    <w:p w:rsidR="00B63451" w:rsidRPr="00B63451" w:rsidRDefault="00B63451" w:rsidP="00B6345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2243</w:t>
      </w:r>
    </w:p>
    <w:p w:rsidR="00B63451" w:rsidRPr="00B63451" w:rsidRDefault="00B63451" w:rsidP="00B63451">
      <w:pPr>
        <w:spacing w:after="0" w:line="240" w:lineRule="auto"/>
        <w:jc w:val="both"/>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Spūle</w:t>
      </w:r>
      <w:proofErr w:type="spellEnd"/>
      <w:r>
        <w:rPr>
          <w:rFonts w:ascii="Times New Roman" w:eastAsia="Times New Roman" w:hAnsi="Times New Roman" w:cs="Times New Roman"/>
          <w:sz w:val="18"/>
          <w:szCs w:val="18"/>
        </w:rPr>
        <w:t xml:space="preserve">  67036733</w:t>
      </w:r>
    </w:p>
    <w:p w:rsidR="00B63451" w:rsidRPr="00B63451" w:rsidRDefault="00B63451" w:rsidP="00B6345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Dina.Spule</w:t>
      </w:r>
      <w:r w:rsidRPr="00B63451">
        <w:rPr>
          <w:rFonts w:ascii="Times New Roman" w:eastAsia="Times New Roman" w:hAnsi="Times New Roman" w:cs="Times New Roman"/>
          <w:sz w:val="18"/>
          <w:szCs w:val="18"/>
        </w:rPr>
        <w:t>@tm.gov.lv</w:t>
      </w:r>
    </w:p>
    <w:p w:rsidR="00B10BE0" w:rsidRPr="00B63451" w:rsidRDefault="00B10BE0" w:rsidP="00501160">
      <w:pPr>
        <w:pStyle w:val="Vienkrsteksts"/>
        <w:rPr>
          <w:rFonts w:ascii="Times New Roman" w:hAnsi="Times New Roman" w:cs="Times New Roman"/>
          <w:sz w:val="18"/>
          <w:szCs w:val="18"/>
        </w:rPr>
      </w:pPr>
      <w:r w:rsidRPr="00B63451">
        <w:rPr>
          <w:rFonts w:ascii="Times New Roman" w:hAnsi="Times New Roman" w:cs="Times New Roman"/>
          <w:sz w:val="18"/>
          <w:szCs w:val="18"/>
        </w:rPr>
        <w:br w:type="page"/>
      </w:r>
    </w:p>
    <w:p w:rsidR="00B10BE0" w:rsidRPr="00326279" w:rsidRDefault="00B10BE0" w:rsidP="006C17FE">
      <w:pPr>
        <w:pStyle w:val="Vienkrsteksts"/>
        <w:jc w:val="center"/>
        <w:rPr>
          <w:rFonts w:ascii="Times New Roman" w:hAnsi="Times New Roman" w:cs="Times New Roman"/>
          <w:b/>
          <w:i/>
          <w:sz w:val="24"/>
          <w:szCs w:val="24"/>
        </w:rPr>
      </w:pPr>
      <w:r w:rsidRPr="00326279">
        <w:rPr>
          <w:rFonts w:ascii="Times New Roman" w:hAnsi="Times New Roman" w:cs="Times New Roman"/>
          <w:b/>
          <w:i/>
          <w:sz w:val="24"/>
          <w:szCs w:val="24"/>
        </w:rPr>
        <w:lastRenderedPageBreak/>
        <w:t>PIELIKUMS</w:t>
      </w:r>
    </w:p>
    <w:p w:rsidR="00B10BE0" w:rsidRDefault="00B10BE0" w:rsidP="006C17FE">
      <w:pPr>
        <w:pStyle w:val="Vienkrsteksts"/>
        <w:jc w:val="center"/>
        <w:rPr>
          <w:rFonts w:ascii="Times New Roman" w:hAnsi="Times New Roman" w:cs="Times New Roman"/>
          <w:b/>
          <w:sz w:val="24"/>
          <w:szCs w:val="24"/>
        </w:rPr>
      </w:pPr>
      <w:r w:rsidRPr="00326279">
        <w:rPr>
          <w:rFonts w:ascii="Times New Roman" w:hAnsi="Times New Roman" w:cs="Times New Roman"/>
          <w:b/>
          <w:sz w:val="24"/>
          <w:szCs w:val="24"/>
        </w:rPr>
        <w:t>ESAO EKSPORTA STATISTIKA</w:t>
      </w:r>
    </w:p>
    <w:p w:rsidR="00326279" w:rsidRPr="00326279" w:rsidRDefault="00326279" w:rsidP="006C17FE">
      <w:pPr>
        <w:pStyle w:val="Vienkrsteksts"/>
        <w:jc w:val="center"/>
        <w:rPr>
          <w:rFonts w:ascii="Times New Roman" w:hAnsi="Times New Roman" w:cs="Times New Roman"/>
          <w:b/>
          <w:sz w:val="24"/>
          <w:szCs w:val="24"/>
        </w:rPr>
      </w:pPr>
    </w:p>
    <w:tbl>
      <w:tblPr>
        <w:tblStyle w:val="Reatabula"/>
        <w:tblW w:w="0" w:type="auto"/>
        <w:tblLook w:val="04A0" w:firstRow="1" w:lastRow="0" w:firstColumn="1" w:lastColumn="0" w:noHBand="0" w:noVBand="1"/>
      </w:tblPr>
      <w:tblGrid>
        <w:gridCol w:w="2488"/>
        <w:gridCol w:w="2162"/>
        <w:gridCol w:w="2319"/>
        <w:gridCol w:w="2318"/>
      </w:tblGrid>
      <w:tr w:rsidR="00326279" w:rsidTr="00326279">
        <w:tc>
          <w:tcPr>
            <w:tcW w:w="2518" w:type="dxa"/>
            <w:tcBorders>
              <w:top w:val="single" w:sz="12" w:space="0" w:color="auto"/>
              <w:left w:val="nil"/>
              <w:bottom w:val="single" w:sz="4" w:space="0" w:color="auto"/>
              <w:right w:val="nil"/>
            </w:tcBorders>
          </w:tcPr>
          <w:p w:rsidR="00326279" w:rsidRPr="00FB5BC4" w:rsidRDefault="00326279" w:rsidP="006C17FE">
            <w:pPr>
              <w:pStyle w:val="Vienkrsteksts"/>
              <w:jc w:val="center"/>
              <w:rPr>
                <w:rFonts w:ascii="Times New Roman" w:hAnsi="Times New Roman" w:cs="Times New Roman"/>
                <w:sz w:val="24"/>
                <w:szCs w:val="24"/>
              </w:rPr>
            </w:pPr>
          </w:p>
        </w:tc>
        <w:tc>
          <w:tcPr>
            <w:tcW w:w="2201" w:type="dxa"/>
            <w:tcBorders>
              <w:top w:val="single" w:sz="12" w:space="0" w:color="auto"/>
              <w:left w:val="nil"/>
              <w:bottom w:val="single" w:sz="4" w:space="0" w:color="auto"/>
              <w:right w:val="nil"/>
            </w:tcBorders>
          </w:tcPr>
          <w:p w:rsidR="00326279" w:rsidRDefault="00326279" w:rsidP="006C17F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 xml:space="preserve">1990.-1996. </w:t>
            </w:r>
          </w:p>
          <w:p w:rsidR="00326279" w:rsidRDefault="00326279" w:rsidP="006C17F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 xml:space="preserve">USD </w:t>
            </w:r>
            <w:proofErr w:type="spellStart"/>
            <w:r w:rsidRPr="00FB5BC4">
              <w:rPr>
                <w:rFonts w:ascii="Times New Roman" w:hAnsi="Times New Roman" w:cs="Times New Roman"/>
                <w:sz w:val="24"/>
                <w:szCs w:val="24"/>
              </w:rPr>
              <w:t>milj</w:t>
            </w:r>
            <w:proofErr w:type="spellEnd"/>
            <w:r w:rsidRPr="00FB5BC4">
              <w:rPr>
                <w:rFonts w:ascii="Times New Roman" w:hAnsi="Times New Roman" w:cs="Times New Roman"/>
                <w:sz w:val="24"/>
                <w:szCs w:val="24"/>
              </w:rPr>
              <w:t>.</w:t>
            </w:r>
          </w:p>
        </w:tc>
        <w:tc>
          <w:tcPr>
            <w:tcW w:w="2367" w:type="dxa"/>
            <w:tcBorders>
              <w:top w:val="single" w:sz="12" w:space="0" w:color="auto"/>
              <w:left w:val="nil"/>
              <w:bottom w:val="single" w:sz="4" w:space="0" w:color="auto"/>
              <w:right w:val="nil"/>
            </w:tcBorders>
          </w:tcPr>
          <w:p w:rsidR="00326279" w:rsidRDefault="00326279" w:rsidP="006C17F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1990.-1996.</w:t>
            </w:r>
          </w:p>
        </w:tc>
        <w:tc>
          <w:tcPr>
            <w:tcW w:w="2367" w:type="dxa"/>
            <w:tcBorders>
              <w:top w:val="single" w:sz="12" w:space="0" w:color="auto"/>
              <w:left w:val="nil"/>
              <w:bottom w:val="single" w:sz="4" w:space="0" w:color="auto"/>
              <w:right w:val="nil"/>
            </w:tcBorders>
          </w:tcPr>
          <w:p w:rsidR="00326279" w:rsidRPr="00FB5BC4" w:rsidRDefault="00326279" w:rsidP="00565DAF">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1990.-1996.</w:t>
            </w:r>
          </w:p>
          <w:p w:rsidR="00326279" w:rsidRDefault="00326279" w:rsidP="006C17FE">
            <w:pPr>
              <w:pStyle w:val="Vienkrsteksts"/>
              <w:jc w:val="center"/>
              <w:rPr>
                <w:rFonts w:ascii="Times New Roman" w:hAnsi="Times New Roman" w:cs="Times New Roman"/>
                <w:sz w:val="24"/>
                <w:szCs w:val="24"/>
              </w:rPr>
            </w:pPr>
          </w:p>
        </w:tc>
      </w:tr>
      <w:tr w:rsidR="00326279" w:rsidTr="00326279">
        <w:tc>
          <w:tcPr>
            <w:tcW w:w="2518" w:type="dxa"/>
            <w:tcBorders>
              <w:left w:val="nil"/>
              <w:bottom w:val="single" w:sz="4" w:space="0" w:color="auto"/>
              <w:right w:val="nil"/>
            </w:tcBorders>
          </w:tcPr>
          <w:p w:rsidR="00326279" w:rsidRPr="00FB5BC4" w:rsidRDefault="00326279" w:rsidP="00565DAF">
            <w:pPr>
              <w:pStyle w:val="Vienkrsteksts"/>
              <w:jc w:val="right"/>
              <w:rPr>
                <w:rFonts w:ascii="Times New Roman" w:hAnsi="Times New Roman" w:cs="Times New Roman"/>
                <w:sz w:val="24"/>
                <w:szCs w:val="24"/>
              </w:rPr>
            </w:pPr>
          </w:p>
        </w:tc>
        <w:tc>
          <w:tcPr>
            <w:tcW w:w="6935" w:type="dxa"/>
            <w:gridSpan w:val="3"/>
            <w:tcBorders>
              <w:left w:val="nil"/>
              <w:bottom w:val="single" w:sz="4" w:space="0" w:color="auto"/>
              <w:right w:val="nil"/>
            </w:tcBorders>
          </w:tcPr>
          <w:p w:rsidR="00326279" w:rsidRPr="00FB5BC4" w:rsidRDefault="00326279" w:rsidP="00565DAF">
            <w:pPr>
              <w:pStyle w:val="Vienkrsteksts"/>
              <w:jc w:val="right"/>
              <w:rPr>
                <w:rFonts w:ascii="Times New Roman" w:hAnsi="Times New Roman" w:cs="Times New Roman"/>
                <w:sz w:val="24"/>
                <w:szCs w:val="24"/>
              </w:rPr>
            </w:pPr>
            <w:r>
              <w:rPr>
                <w:rFonts w:ascii="Times New Roman" w:hAnsi="Times New Roman" w:cs="Times New Roman"/>
                <w:sz w:val="24"/>
                <w:szCs w:val="24"/>
              </w:rPr>
              <w:t xml:space="preserve">    </w:t>
            </w:r>
            <w:r w:rsidRPr="00FB5BC4">
              <w:rPr>
                <w:rFonts w:ascii="Times New Roman" w:hAnsi="Times New Roman" w:cs="Times New Roman"/>
                <w:sz w:val="24"/>
                <w:szCs w:val="24"/>
              </w:rPr>
              <w:t>%</w:t>
            </w:r>
            <w:r>
              <w:rPr>
                <w:rFonts w:ascii="Times New Roman" w:hAnsi="Times New Roman" w:cs="Times New Roman"/>
                <w:sz w:val="24"/>
                <w:szCs w:val="24"/>
              </w:rPr>
              <w:t xml:space="preserve"> no </w:t>
            </w:r>
            <w:r w:rsidRPr="00565DAF">
              <w:rPr>
                <w:rFonts w:ascii="Times New Roman" w:hAnsi="Times New Roman" w:cs="Times New Roman"/>
                <w:sz w:val="24"/>
                <w:szCs w:val="24"/>
              </w:rPr>
              <w:t>ESAO kopējā</w:t>
            </w:r>
            <w:r>
              <w:rPr>
                <w:rFonts w:ascii="Times New Roman" w:hAnsi="Times New Roman" w:cs="Times New Roman"/>
                <w:sz w:val="24"/>
                <w:szCs w:val="24"/>
              </w:rPr>
              <w:t xml:space="preserve">            </w:t>
            </w:r>
            <w:r w:rsidRPr="00565DAF">
              <w:rPr>
                <w:rFonts w:ascii="Times New Roman" w:hAnsi="Times New Roman" w:cs="Times New Roman"/>
                <w:sz w:val="24"/>
                <w:szCs w:val="24"/>
              </w:rPr>
              <w:t xml:space="preserve"> </w:t>
            </w:r>
            <w:r w:rsidRPr="00FB5BC4">
              <w:rPr>
                <w:rFonts w:ascii="Times New Roman" w:hAnsi="Times New Roman" w:cs="Times New Roman"/>
                <w:sz w:val="24"/>
                <w:szCs w:val="24"/>
              </w:rPr>
              <w:t>%</w:t>
            </w:r>
            <w:r>
              <w:rPr>
                <w:rFonts w:ascii="Times New Roman" w:hAnsi="Times New Roman" w:cs="Times New Roman"/>
                <w:sz w:val="24"/>
                <w:szCs w:val="24"/>
              </w:rPr>
              <w:t xml:space="preserve"> </w:t>
            </w:r>
            <w:r w:rsidRPr="00565DAF">
              <w:rPr>
                <w:rFonts w:ascii="Times New Roman" w:hAnsi="Times New Roman" w:cs="Times New Roman"/>
                <w:sz w:val="24"/>
                <w:szCs w:val="24"/>
              </w:rPr>
              <w:t xml:space="preserve">no 10 lielākajām </w:t>
            </w:r>
            <w:r>
              <w:rPr>
                <w:rFonts w:ascii="Times New Roman" w:hAnsi="Times New Roman" w:cs="Times New Roman"/>
                <w:sz w:val="24"/>
                <w:szCs w:val="24"/>
              </w:rPr>
              <w:t xml:space="preserve">      </w:t>
            </w:r>
            <w:r w:rsidRPr="00FB5BC4">
              <w:rPr>
                <w:rFonts w:ascii="Times New Roman" w:hAnsi="Times New Roman" w:cs="Times New Roman"/>
                <w:sz w:val="24"/>
                <w:szCs w:val="24"/>
              </w:rPr>
              <w:t xml:space="preserve"> </w:t>
            </w:r>
          </w:p>
          <w:p w:rsidR="00326279" w:rsidRDefault="00326279" w:rsidP="006C17FE">
            <w:pPr>
              <w:pStyle w:val="Vienkrsteksts"/>
              <w:jc w:val="center"/>
              <w:rPr>
                <w:rFonts w:ascii="Times New Roman" w:hAnsi="Times New Roman" w:cs="Times New Roman"/>
                <w:sz w:val="24"/>
                <w:szCs w:val="24"/>
              </w:rPr>
            </w:pPr>
          </w:p>
        </w:tc>
      </w:tr>
      <w:tr w:rsidR="00326279" w:rsidTr="00326279">
        <w:tc>
          <w:tcPr>
            <w:tcW w:w="2518" w:type="dxa"/>
            <w:tcBorders>
              <w:left w:val="nil"/>
              <w:bottom w:val="nil"/>
              <w:right w:val="nil"/>
            </w:tcBorders>
          </w:tcPr>
          <w:p w:rsidR="00326279" w:rsidRDefault="00326279" w:rsidP="000400AD">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ASV</w:t>
            </w:r>
          </w:p>
        </w:tc>
        <w:tc>
          <w:tcPr>
            <w:tcW w:w="2201" w:type="dxa"/>
            <w:tcBorders>
              <w:left w:val="nil"/>
              <w:bottom w:val="nil"/>
              <w:right w:val="nil"/>
            </w:tcBorders>
          </w:tcPr>
          <w:p w:rsidR="00326279" w:rsidRDefault="00326279" w:rsidP="006C17F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287</w:t>
            </w:r>
            <w:r>
              <w:rPr>
                <w:rFonts w:ascii="Times New Roman" w:hAnsi="Times New Roman" w:cs="Times New Roman"/>
                <w:sz w:val="24"/>
                <w:szCs w:val="24"/>
              </w:rPr>
              <w:t> </w:t>
            </w:r>
            <w:r w:rsidRPr="00FB5BC4">
              <w:rPr>
                <w:rFonts w:ascii="Times New Roman" w:hAnsi="Times New Roman" w:cs="Times New Roman"/>
                <w:sz w:val="24"/>
                <w:szCs w:val="24"/>
              </w:rPr>
              <w:t>118</w:t>
            </w:r>
          </w:p>
        </w:tc>
        <w:tc>
          <w:tcPr>
            <w:tcW w:w="2367" w:type="dxa"/>
            <w:tcBorders>
              <w:left w:val="nil"/>
              <w:bottom w:val="nil"/>
              <w:right w:val="nil"/>
            </w:tcBorders>
          </w:tcPr>
          <w:p w:rsidR="00326279" w:rsidRDefault="00326279" w:rsidP="006C17F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15,9%</w:t>
            </w:r>
          </w:p>
        </w:tc>
        <w:tc>
          <w:tcPr>
            <w:tcW w:w="2367" w:type="dxa"/>
            <w:tcBorders>
              <w:left w:val="nil"/>
              <w:bottom w:val="nil"/>
              <w:right w:val="nil"/>
            </w:tcBorders>
          </w:tcPr>
          <w:p w:rsidR="00326279" w:rsidRPr="00FB5BC4" w:rsidRDefault="00326279" w:rsidP="00326279">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19,7%</w:t>
            </w:r>
          </w:p>
          <w:p w:rsidR="00326279" w:rsidRDefault="00326279" w:rsidP="006C17FE">
            <w:pPr>
              <w:pStyle w:val="Vienkrsteksts"/>
              <w:jc w:val="center"/>
              <w:rPr>
                <w:rFonts w:ascii="Times New Roman" w:hAnsi="Times New Roman" w:cs="Times New Roman"/>
                <w:sz w:val="24"/>
                <w:szCs w:val="24"/>
              </w:rPr>
            </w:pPr>
          </w:p>
        </w:tc>
      </w:tr>
      <w:tr w:rsidR="00326279" w:rsidTr="00326279">
        <w:tc>
          <w:tcPr>
            <w:tcW w:w="2518" w:type="dxa"/>
            <w:tcBorders>
              <w:top w:val="nil"/>
              <w:left w:val="nil"/>
              <w:bottom w:val="nil"/>
              <w:right w:val="nil"/>
            </w:tcBorders>
          </w:tcPr>
          <w:p w:rsidR="00326279" w:rsidRDefault="00326279" w:rsidP="000400AD">
            <w:pPr>
              <w:pStyle w:val="Vienkrsteksts"/>
              <w:jc w:val="center"/>
              <w:rPr>
                <w:rFonts w:ascii="Times New Roman" w:hAnsi="Times New Roman" w:cs="Times New Roman"/>
                <w:sz w:val="24"/>
                <w:szCs w:val="24"/>
              </w:rPr>
            </w:pPr>
            <w:r>
              <w:rPr>
                <w:rFonts w:ascii="Times New Roman" w:hAnsi="Times New Roman" w:cs="Times New Roman"/>
                <w:sz w:val="24"/>
                <w:szCs w:val="24"/>
              </w:rPr>
              <w:t>Vācija</w:t>
            </w:r>
          </w:p>
        </w:tc>
        <w:tc>
          <w:tcPr>
            <w:tcW w:w="2201" w:type="dxa"/>
            <w:tcBorders>
              <w:top w:val="nil"/>
              <w:left w:val="nil"/>
              <w:bottom w:val="nil"/>
              <w:right w:val="nil"/>
            </w:tcBorders>
          </w:tcPr>
          <w:p w:rsidR="00326279" w:rsidRDefault="00326279" w:rsidP="006C17F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254</w:t>
            </w:r>
            <w:r>
              <w:rPr>
                <w:rFonts w:ascii="Times New Roman" w:hAnsi="Times New Roman" w:cs="Times New Roman"/>
                <w:sz w:val="24"/>
                <w:szCs w:val="24"/>
              </w:rPr>
              <w:t> </w:t>
            </w:r>
            <w:r w:rsidRPr="00FB5BC4">
              <w:rPr>
                <w:rFonts w:ascii="Times New Roman" w:hAnsi="Times New Roman" w:cs="Times New Roman"/>
                <w:sz w:val="24"/>
                <w:szCs w:val="24"/>
              </w:rPr>
              <w:t>746</w:t>
            </w:r>
          </w:p>
        </w:tc>
        <w:tc>
          <w:tcPr>
            <w:tcW w:w="2367" w:type="dxa"/>
            <w:tcBorders>
              <w:top w:val="nil"/>
              <w:left w:val="nil"/>
              <w:bottom w:val="nil"/>
              <w:right w:val="nil"/>
            </w:tcBorders>
          </w:tcPr>
          <w:p w:rsidR="00326279" w:rsidRDefault="00326279" w:rsidP="006C17F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14,1%</w:t>
            </w:r>
          </w:p>
        </w:tc>
        <w:tc>
          <w:tcPr>
            <w:tcW w:w="2367" w:type="dxa"/>
            <w:tcBorders>
              <w:top w:val="nil"/>
              <w:left w:val="nil"/>
              <w:bottom w:val="nil"/>
              <w:right w:val="nil"/>
            </w:tcBorders>
          </w:tcPr>
          <w:p w:rsidR="00326279" w:rsidRDefault="00326279" w:rsidP="006C17F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17,5%</w:t>
            </w:r>
          </w:p>
        </w:tc>
      </w:tr>
      <w:tr w:rsidR="00326279" w:rsidTr="00326279">
        <w:tc>
          <w:tcPr>
            <w:tcW w:w="2518" w:type="dxa"/>
            <w:tcBorders>
              <w:top w:val="nil"/>
              <w:left w:val="nil"/>
              <w:bottom w:val="nil"/>
              <w:right w:val="nil"/>
            </w:tcBorders>
          </w:tcPr>
          <w:p w:rsidR="00326279" w:rsidRDefault="00326279" w:rsidP="000400AD">
            <w:pPr>
              <w:pStyle w:val="Vienkrsteksts"/>
              <w:jc w:val="center"/>
              <w:rPr>
                <w:rFonts w:ascii="Times New Roman" w:hAnsi="Times New Roman" w:cs="Times New Roman"/>
                <w:sz w:val="24"/>
                <w:szCs w:val="24"/>
              </w:rPr>
            </w:pPr>
            <w:r>
              <w:rPr>
                <w:rFonts w:ascii="Times New Roman" w:hAnsi="Times New Roman" w:cs="Times New Roman"/>
                <w:sz w:val="24"/>
                <w:szCs w:val="24"/>
              </w:rPr>
              <w:t xml:space="preserve">Japāna </w:t>
            </w:r>
          </w:p>
        </w:tc>
        <w:tc>
          <w:tcPr>
            <w:tcW w:w="2201" w:type="dxa"/>
            <w:tcBorders>
              <w:top w:val="nil"/>
              <w:left w:val="nil"/>
              <w:bottom w:val="nil"/>
              <w:right w:val="nil"/>
            </w:tcBorders>
          </w:tcPr>
          <w:p w:rsidR="00326279" w:rsidRDefault="00326279" w:rsidP="006C17F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212</w:t>
            </w:r>
            <w:r>
              <w:rPr>
                <w:rFonts w:ascii="Times New Roman" w:hAnsi="Times New Roman" w:cs="Times New Roman"/>
                <w:sz w:val="24"/>
                <w:szCs w:val="24"/>
              </w:rPr>
              <w:t> </w:t>
            </w:r>
            <w:r w:rsidRPr="00FB5BC4">
              <w:rPr>
                <w:rFonts w:ascii="Times New Roman" w:hAnsi="Times New Roman" w:cs="Times New Roman"/>
                <w:sz w:val="24"/>
                <w:szCs w:val="24"/>
              </w:rPr>
              <w:t>665</w:t>
            </w:r>
          </w:p>
        </w:tc>
        <w:tc>
          <w:tcPr>
            <w:tcW w:w="2367" w:type="dxa"/>
            <w:tcBorders>
              <w:top w:val="nil"/>
              <w:left w:val="nil"/>
              <w:bottom w:val="nil"/>
              <w:right w:val="nil"/>
            </w:tcBorders>
          </w:tcPr>
          <w:p w:rsidR="00326279" w:rsidRDefault="00326279" w:rsidP="00326279">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 xml:space="preserve">11,8% </w:t>
            </w:r>
          </w:p>
        </w:tc>
        <w:tc>
          <w:tcPr>
            <w:tcW w:w="2367" w:type="dxa"/>
            <w:tcBorders>
              <w:top w:val="nil"/>
              <w:left w:val="nil"/>
              <w:bottom w:val="nil"/>
              <w:right w:val="nil"/>
            </w:tcBorders>
          </w:tcPr>
          <w:p w:rsidR="00326279" w:rsidRDefault="00326279" w:rsidP="006C17F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14,6%</w:t>
            </w:r>
          </w:p>
        </w:tc>
      </w:tr>
      <w:tr w:rsidR="00326279" w:rsidTr="00326279">
        <w:tc>
          <w:tcPr>
            <w:tcW w:w="2518" w:type="dxa"/>
            <w:tcBorders>
              <w:top w:val="nil"/>
              <w:left w:val="nil"/>
              <w:bottom w:val="nil"/>
              <w:right w:val="nil"/>
            </w:tcBorders>
          </w:tcPr>
          <w:p w:rsidR="00326279" w:rsidRDefault="00326279" w:rsidP="000400AD">
            <w:pPr>
              <w:pStyle w:val="Vienkrsteksts"/>
              <w:jc w:val="center"/>
              <w:rPr>
                <w:rFonts w:ascii="Times New Roman" w:hAnsi="Times New Roman" w:cs="Times New Roman"/>
                <w:sz w:val="24"/>
                <w:szCs w:val="24"/>
              </w:rPr>
            </w:pPr>
            <w:r>
              <w:rPr>
                <w:rFonts w:ascii="Times New Roman" w:hAnsi="Times New Roman" w:cs="Times New Roman"/>
                <w:sz w:val="24"/>
                <w:szCs w:val="24"/>
              </w:rPr>
              <w:t>Francija</w:t>
            </w:r>
          </w:p>
        </w:tc>
        <w:tc>
          <w:tcPr>
            <w:tcW w:w="2201" w:type="dxa"/>
            <w:tcBorders>
              <w:top w:val="nil"/>
              <w:left w:val="nil"/>
              <w:bottom w:val="nil"/>
              <w:right w:val="nil"/>
            </w:tcBorders>
          </w:tcPr>
          <w:p w:rsidR="00326279" w:rsidRDefault="00326279" w:rsidP="006C17F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138</w:t>
            </w:r>
            <w:r>
              <w:rPr>
                <w:rFonts w:ascii="Times New Roman" w:hAnsi="Times New Roman" w:cs="Times New Roman"/>
                <w:sz w:val="24"/>
                <w:szCs w:val="24"/>
              </w:rPr>
              <w:t> </w:t>
            </w:r>
            <w:r w:rsidRPr="00FB5BC4">
              <w:rPr>
                <w:rFonts w:ascii="Times New Roman" w:hAnsi="Times New Roman" w:cs="Times New Roman"/>
                <w:sz w:val="24"/>
                <w:szCs w:val="24"/>
              </w:rPr>
              <w:t>471</w:t>
            </w:r>
          </w:p>
        </w:tc>
        <w:tc>
          <w:tcPr>
            <w:tcW w:w="2367" w:type="dxa"/>
            <w:tcBorders>
              <w:top w:val="nil"/>
              <w:left w:val="nil"/>
              <w:bottom w:val="nil"/>
              <w:right w:val="nil"/>
            </w:tcBorders>
          </w:tcPr>
          <w:p w:rsidR="00326279" w:rsidRDefault="00326279" w:rsidP="006C17F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7,7%</w:t>
            </w:r>
          </w:p>
        </w:tc>
        <w:tc>
          <w:tcPr>
            <w:tcW w:w="2367" w:type="dxa"/>
            <w:tcBorders>
              <w:top w:val="nil"/>
              <w:left w:val="nil"/>
              <w:bottom w:val="nil"/>
              <w:right w:val="nil"/>
            </w:tcBorders>
          </w:tcPr>
          <w:p w:rsidR="00326279" w:rsidRDefault="00326279" w:rsidP="006C17F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9,5%</w:t>
            </w:r>
          </w:p>
        </w:tc>
      </w:tr>
      <w:tr w:rsidR="00326279" w:rsidTr="00326279">
        <w:tc>
          <w:tcPr>
            <w:tcW w:w="2518" w:type="dxa"/>
            <w:tcBorders>
              <w:top w:val="nil"/>
              <w:left w:val="nil"/>
              <w:bottom w:val="nil"/>
              <w:right w:val="nil"/>
            </w:tcBorders>
          </w:tcPr>
          <w:p w:rsidR="00326279" w:rsidRDefault="00326279" w:rsidP="000400AD">
            <w:pPr>
              <w:pStyle w:val="Vienkrsteksts"/>
              <w:jc w:val="center"/>
              <w:rPr>
                <w:rFonts w:ascii="Times New Roman" w:hAnsi="Times New Roman" w:cs="Times New Roman"/>
                <w:sz w:val="24"/>
                <w:szCs w:val="24"/>
              </w:rPr>
            </w:pPr>
            <w:r>
              <w:rPr>
                <w:rFonts w:ascii="Times New Roman" w:hAnsi="Times New Roman" w:cs="Times New Roman"/>
                <w:sz w:val="24"/>
                <w:szCs w:val="24"/>
              </w:rPr>
              <w:t>Lielbritānija</w:t>
            </w:r>
          </w:p>
        </w:tc>
        <w:tc>
          <w:tcPr>
            <w:tcW w:w="2201" w:type="dxa"/>
            <w:tcBorders>
              <w:top w:val="nil"/>
              <w:left w:val="nil"/>
              <w:bottom w:val="nil"/>
              <w:right w:val="nil"/>
            </w:tcBorders>
          </w:tcPr>
          <w:p w:rsidR="00326279" w:rsidRDefault="00326279" w:rsidP="006C17F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121</w:t>
            </w:r>
            <w:r>
              <w:rPr>
                <w:rFonts w:ascii="Times New Roman" w:hAnsi="Times New Roman" w:cs="Times New Roman"/>
                <w:sz w:val="24"/>
                <w:szCs w:val="24"/>
              </w:rPr>
              <w:t> </w:t>
            </w:r>
            <w:r w:rsidRPr="00FB5BC4">
              <w:rPr>
                <w:rFonts w:ascii="Times New Roman" w:hAnsi="Times New Roman" w:cs="Times New Roman"/>
                <w:sz w:val="24"/>
                <w:szCs w:val="24"/>
              </w:rPr>
              <w:t>258</w:t>
            </w:r>
          </w:p>
        </w:tc>
        <w:tc>
          <w:tcPr>
            <w:tcW w:w="2367" w:type="dxa"/>
            <w:tcBorders>
              <w:top w:val="nil"/>
              <w:left w:val="nil"/>
              <w:bottom w:val="nil"/>
              <w:right w:val="nil"/>
            </w:tcBorders>
          </w:tcPr>
          <w:p w:rsidR="00326279" w:rsidRDefault="00326279" w:rsidP="00326279">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 xml:space="preserve">6,7% </w:t>
            </w:r>
          </w:p>
        </w:tc>
        <w:tc>
          <w:tcPr>
            <w:tcW w:w="2367" w:type="dxa"/>
            <w:tcBorders>
              <w:top w:val="nil"/>
              <w:left w:val="nil"/>
              <w:bottom w:val="nil"/>
              <w:right w:val="nil"/>
            </w:tcBorders>
          </w:tcPr>
          <w:p w:rsidR="00326279" w:rsidRDefault="00326279" w:rsidP="006C17F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8,3%</w:t>
            </w:r>
          </w:p>
        </w:tc>
      </w:tr>
      <w:tr w:rsidR="00326279" w:rsidTr="00326279">
        <w:tc>
          <w:tcPr>
            <w:tcW w:w="2518" w:type="dxa"/>
            <w:tcBorders>
              <w:top w:val="nil"/>
              <w:left w:val="nil"/>
              <w:bottom w:val="nil"/>
              <w:right w:val="nil"/>
            </w:tcBorders>
          </w:tcPr>
          <w:p w:rsidR="00326279" w:rsidRDefault="00326279" w:rsidP="000400AD">
            <w:pPr>
              <w:pStyle w:val="Vienkrsteksts"/>
              <w:jc w:val="center"/>
              <w:rPr>
                <w:rFonts w:ascii="Times New Roman" w:hAnsi="Times New Roman" w:cs="Times New Roman"/>
                <w:sz w:val="24"/>
                <w:szCs w:val="24"/>
              </w:rPr>
            </w:pPr>
            <w:r>
              <w:rPr>
                <w:rFonts w:ascii="Times New Roman" w:hAnsi="Times New Roman" w:cs="Times New Roman"/>
                <w:sz w:val="24"/>
                <w:szCs w:val="24"/>
              </w:rPr>
              <w:t>Itālija</w:t>
            </w:r>
          </w:p>
        </w:tc>
        <w:tc>
          <w:tcPr>
            <w:tcW w:w="2201" w:type="dxa"/>
            <w:tcBorders>
              <w:top w:val="nil"/>
              <w:left w:val="nil"/>
              <w:bottom w:val="nil"/>
              <w:right w:val="nil"/>
            </w:tcBorders>
          </w:tcPr>
          <w:p w:rsidR="00326279" w:rsidRDefault="00326279" w:rsidP="006C17F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112</w:t>
            </w:r>
            <w:r>
              <w:rPr>
                <w:rFonts w:ascii="Times New Roman" w:hAnsi="Times New Roman" w:cs="Times New Roman"/>
                <w:sz w:val="24"/>
                <w:szCs w:val="24"/>
              </w:rPr>
              <w:t> </w:t>
            </w:r>
            <w:r w:rsidRPr="00FB5BC4">
              <w:rPr>
                <w:rFonts w:ascii="Times New Roman" w:hAnsi="Times New Roman" w:cs="Times New Roman"/>
                <w:sz w:val="24"/>
                <w:szCs w:val="24"/>
              </w:rPr>
              <w:t>449</w:t>
            </w:r>
          </w:p>
        </w:tc>
        <w:tc>
          <w:tcPr>
            <w:tcW w:w="2367" w:type="dxa"/>
            <w:tcBorders>
              <w:top w:val="nil"/>
              <w:left w:val="nil"/>
              <w:bottom w:val="nil"/>
              <w:right w:val="nil"/>
            </w:tcBorders>
          </w:tcPr>
          <w:p w:rsidR="00326279" w:rsidRDefault="00326279" w:rsidP="006C17F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6,2%</w:t>
            </w:r>
          </w:p>
        </w:tc>
        <w:tc>
          <w:tcPr>
            <w:tcW w:w="2367" w:type="dxa"/>
            <w:tcBorders>
              <w:top w:val="nil"/>
              <w:left w:val="nil"/>
              <w:bottom w:val="nil"/>
              <w:right w:val="nil"/>
            </w:tcBorders>
          </w:tcPr>
          <w:p w:rsidR="00326279" w:rsidRDefault="00326279" w:rsidP="006C17F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7,7%</w:t>
            </w:r>
          </w:p>
        </w:tc>
      </w:tr>
      <w:tr w:rsidR="00326279" w:rsidTr="00326279">
        <w:tc>
          <w:tcPr>
            <w:tcW w:w="2518" w:type="dxa"/>
            <w:tcBorders>
              <w:top w:val="nil"/>
              <w:left w:val="nil"/>
              <w:bottom w:val="nil"/>
              <w:right w:val="nil"/>
            </w:tcBorders>
          </w:tcPr>
          <w:p w:rsidR="00326279" w:rsidRDefault="00326279" w:rsidP="006C17F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Kanāda</w:t>
            </w:r>
          </w:p>
        </w:tc>
        <w:tc>
          <w:tcPr>
            <w:tcW w:w="2201" w:type="dxa"/>
            <w:tcBorders>
              <w:top w:val="nil"/>
              <w:left w:val="nil"/>
              <w:bottom w:val="nil"/>
              <w:right w:val="nil"/>
            </w:tcBorders>
          </w:tcPr>
          <w:p w:rsidR="00326279" w:rsidRDefault="00326279" w:rsidP="006C17F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91</w:t>
            </w:r>
            <w:r>
              <w:rPr>
                <w:rFonts w:ascii="Times New Roman" w:hAnsi="Times New Roman" w:cs="Times New Roman"/>
                <w:sz w:val="24"/>
                <w:szCs w:val="24"/>
              </w:rPr>
              <w:t> </w:t>
            </w:r>
            <w:r w:rsidRPr="00FB5BC4">
              <w:rPr>
                <w:rFonts w:ascii="Times New Roman" w:hAnsi="Times New Roman" w:cs="Times New Roman"/>
                <w:sz w:val="24"/>
                <w:szCs w:val="24"/>
              </w:rPr>
              <w:t>215</w:t>
            </w:r>
          </w:p>
        </w:tc>
        <w:tc>
          <w:tcPr>
            <w:tcW w:w="2367" w:type="dxa"/>
            <w:tcBorders>
              <w:top w:val="nil"/>
              <w:left w:val="nil"/>
              <w:bottom w:val="nil"/>
              <w:right w:val="nil"/>
            </w:tcBorders>
          </w:tcPr>
          <w:p w:rsidR="00326279" w:rsidRDefault="00326279" w:rsidP="006C17F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5,1%</w:t>
            </w:r>
          </w:p>
        </w:tc>
        <w:tc>
          <w:tcPr>
            <w:tcW w:w="2367" w:type="dxa"/>
            <w:tcBorders>
              <w:top w:val="nil"/>
              <w:left w:val="nil"/>
              <w:bottom w:val="nil"/>
              <w:right w:val="nil"/>
            </w:tcBorders>
          </w:tcPr>
          <w:p w:rsidR="00326279" w:rsidRDefault="00326279" w:rsidP="00326279">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6,3%</w:t>
            </w:r>
          </w:p>
        </w:tc>
      </w:tr>
      <w:tr w:rsidR="00326279" w:rsidTr="00326279">
        <w:tc>
          <w:tcPr>
            <w:tcW w:w="2518" w:type="dxa"/>
            <w:tcBorders>
              <w:top w:val="nil"/>
              <w:left w:val="nil"/>
              <w:bottom w:val="nil"/>
              <w:right w:val="nil"/>
            </w:tcBorders>
          </w:tcPr>
          <w:p w:rsidR="00326279" w:rsidRDefault="00326279" w:rsidP="006C17F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Koreja</w:t>
            </w:r>
            <w:r w:rsidRPr="00326279">
              <w:rPr>
                <w:rFonts w:ascii="Times New Roman" w:hAnsi="Times New Roman" w:cs="Times New Roman"/>
                <w:sz w:val="24"/>
                <w:szCs w:val="24"/>
                <w:vertAlign w:val="superscript"/>
              </w:rPr>
              <w:t>(1)</w:t>
            </w:r>
          </w:p>
        </w:tc>
        <w:tc>
          <w:tcPr>
            <w:tcW w:w="2201" w:type="dxa"/>
            <w:tcBorders>
              <w:top w:val="nil"/>
              <w:left w:val="nil"/>
              <w:bottom w:val="nil"/>
              <w:right w:val="nil"/>
            </w:tcBorders>
          </w:tcPr>
          <w:p w:rsidR="00326279" w:rsidRDefault="00326279" w:rsidP="006C17F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81</w:t>
            </w:r>
            <w:r>
              <w:rPr>
                <w:rFonts w:ascii="Times New Roman" w:hAnsi="Times New Roman" w:cs="Times New Roman"/>
                <w:sz w:val="24"/>
                <w:szCs w:val="24"/>
              </w:rPr>
              <w:t> </w:t>
            </w:r>
            <w:r w:rsidRPr="00FB5BC4">
              <w:rPr>
                <w:rFonts w:ascii="Times New Roman" w:hAnsi="Times New Roman" w:cs="Times New Roman"/>
                <w:sz w:val="24"/>
                <w:szCs w:val="24"/>
              </w:rPr>
              <w:t>364</w:t>
            </w:r>
          </w:p>
        </w:tc>
        <w:tc>
          <w:tcPr>
            <w:tcW w:w="2367" w:type="dxa"/>
            <w:tcBorders>
              <w:top w:val="nil"/>
              <w:left w:val="nil"/>
              <w:bottom w:val="nil"/>
              <w:right w:val="nil"/>
            </w:tcBorders>
          </w:tcPr>
          <w:p w:rsidR="00326279" w:rsidRDefault="00326279" w:rsidP="006C17F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4,5%</w:t>
            </w:r>
          </w:p>
        </w:tc>
        <w:tc>
          <w:tcPr>
            <w:tcW w:w="2367" w:type="dxa"/>
            <w:tcBorders>
              <w:top w:val="nil"/>
              <w:left w:val="nil"/>
              <w:bottom w:val="nil"/>
              <w:right w:val="nil"/>
            </w:tcBorders>
          </w:tcPr>
          <w:p w:rsidR="00326279" w:rsidRDefault="00326279" w:rsidP="00326279">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5,6%</w:t>
            </w:r>
          </w:p>
        </w:tc>
      </w:tr>
      <w:tr w:rsidR="00326279" w:rsidTr="00326279">
        <w:tc>
          <w:tcPr>
            <w:tcW w:w="2518" w:type="dxa"/>
            <w:tcBorders>
              <w:top w:val="nil"/>
              <w:left w:val="nil"/>
              <w:bottom w:val="nil"/>
              <w:right w:val="nil"/>
            </w:tcBorders>
          </w:tcPr>
          <w:p w:rsidR="00326279" w:rsidRDefault="00326279" w:rsidP="006C17F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Nīderlande</w:t>
            </w:r>
          </w:p>
        </w:tc>
        <w:tc>
          <w:tcPr>
            <w:tcW w:w="2201" w:type="dxa"/>
            <w:tcBorders>
              <w:top w:val="nil"/>
              <w:left w:val="nil"/>
              <w:bottom w:val="nil"/>
              <w:right w:val="nil"/>
            </w:tcBorders>
          </w:tcPr>
          <w:p w:rsidR="00326279" w:rsidRDefault="00326279" w:rsidP="006C17F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81</w:t>
            </w:r>
            <w:r>
              <w:rPr>
                <w:rFonts w:ascii="Times New Roman" w:hAnsi="Times New Roman" w:cs="Times New Roman"/>
                <w:sz w:val="24"/>
                <w:szCs w:val="24"/>
              </w:rPr>
              <w:t> </w:t>
            </w:r>
            <w:r w:rsidRPr="00FB5BC4">
              <w:rPr>
                <w:rFonts w:ascii="Times New Roman" w:hAnsi="Times New Roman" w:cs="Times New Roman"/>
                <w:sz w:val="24"/>
                <w:szCs w:val="24"/>
              </w:rPr>
              <w:t>264</w:t>
            </w:r>
          </w:p>
        </w:tc>
        <w:tc>
          <w:tcPr>
            <w:tcW w:w="2367" w:type="dxa"/>
            <w:tcBorders>
              <w:top w:val="nil"/>
              <w:left w:val="nil"/>
              <w:bottom w:val="nil"/>
              <w:right w:val="nil"/>
            </w:tcBorders>
          </w:tcPr>
          <w:p w:rsidR="00326279" w:rsidRDefault="00326279" w:rsidP="006C17F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4,5%</w:t>
            </w:r>
          </w:p>
        </w:tc>
        <w:tc>
          <w:tcPr>
            <w:tcW w:w="2367" w:type="dxa"/>
            <w:tcBorders>
              <w:top w:val="nil"/>
              <w:left w:val="nil"/>
              <w:bottom w:val="nil"/>
              <w:right w:val="nil"/>
            </w:tcBorders>
          </w:tcPr>
          <w:p w:rsidR="00326279" w:rsidRDefault="00326279" w:rsidP="00326279">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5,6%</w:t>
            </w:r>
          </w:p>
        </w:tc>
      </w:tr>
      <w:tr w:rsidR="00326279" w:rsidTr="00326279">
        <w:tc>
          <w:tcPr>
            <w:tcW w:w="2518" w:type="dxa"/>
            <w:tcBorders>
              <w:top w:val="nil"/>
              <w:left w:val="nil"/>
              <w:bottom w:val="single" w:sz="4" w:space="0" w:color="auto"/>
              <w:right w:val="nil"/>
            </w:tcBorders>
          </w:tcPr>
          <w:p w:rsidR="00326279" w:rsidRDefault="00326279" w:rsidP="006C17F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Beļģija – Luksemburga</w:t>
            </w:r>
          </w:p>
        </w:tc>
        <w:tc>
          <w:tcPr>
            <w:tcW w:w="2201" w:type="dxa"/>
            <w:tcBorders>
              <w:top w:val="nil"/>
              <w:left w:val="nil"/>
              <w:bottom w:val="single" w:sz="4" w:space="0" w:color="auto"/>
              <w:right w:val="nil"/>
            </w:tcBorders>
          </w:tcPr>
          <w:p w:rsidR="00326279" w:rsidRDefault="00326279" w:rsidP="006C17F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78</w:t>
            </w:r>
            <w:r>
              <w:rPr>
                <w:rFonts w:ascii="Times New Roman" w:hAnsi="Times New Roman" w:cs="Times New Roman"/>
                <w:sz w:val="24"/>
                <w:szCs w:val="24"/>
              </w:rPr>
              <w:t> </w:t>
            </w:r>
            <w:r w:rsidRPr="00FB5BC4">
              <w:rPr>
                <w:rFonts w:ascii="Times New Roman" w:hAnsi="Times New Roman" w:cs="Times New Roman"/>
                <w:sz w:val="24"/>
                <w:szCs w:val="24"/>
              </w:rPr>
              <w:t>598</w:t>
            </w:r>
          </w:p>
        </w:tc>
        <w:tc>
          <w:tcPr>
            <w:tcW w:w="2367" w:type="dxa"/>
            <w:tcBorders>
              <w:top w:val="nil"/>
              <w:left w:val="nil"/>
              <w:bottom w:val="single" w:sz="4" w:space="0" w:color="auto"/>
              <w:right w:val="nil"/>
            </w:tcBorders>
          </w:tcPr>
          <w:p w:rsidR="00326279" w:rsidRDefault="00326279" w:rsidP="006C17F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4,4%</w:t>
            </w:r>
          </w:p>
        </w:tc>
        <w:tc>
          <w:tcPr>
            <w:tcW w:w="2367" w:type="dxa"/>
            <w:tcBorders>
              <w:top w:val="nil"/>
              <w:left w:val="nil"/>
              <w:bottom w:val="single" w:sz="4" w:space="0" w:color="auto"/>
              <w:right w:val="nil"/>
            </w:tcBorders>
          </w:tcPr>
          <w:p w:rsidR="00326279" w:rsidRDefault="00326279" w:rsidP="00326279">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5,4%</w:t>
            </w:r>
          </w:p>
        </w:tc>
      </w:tr>
      <w:tr w:rsidR="00326279" w:rsidRPr="00326279" w:rsidTr="00326279">
        <w:tc>
          <w:tcPr>
            <w:tcW w:w="2518" w:type="dxa"/>
            <w:tcBorders>
              <w:left w:val="nil"/>
              <w:bottom w:val="single" w:sz="4" w:space="0" w:color="auto"/>
              <w:right w:val="nil"/>
            </w:tcBorders>
          </w:tcPr>
          <w:p w:rsidR="00326279" w:rsidRPr="00326279" w:rsidRDefault="00326279" w:rsidP="006C17FE">
            <w:pPr>
              <w:pStyle w:val="Vienkrsteksts"/>
              <w:jc w:val="center"/>
              <w:rPr>
                <w:rFonts w:ascii="Times New Roman" w:hAnsi="Times New Roman" w:cs="Times New Roman"/>
                <w:b/>
                <w:sz w:val="24"/>
                <w:szCs w:val="24"/>
              </w:rPr>
            </w:pPr>
            <w:r w:rsidRPr="00326279">
              <w:rPr>
                <w:rFonts w:ascii="Times New Roman" w:hAnsi="Times New Roman" w:cs="Times New Roman"/>
                <w:b/>
                <w:sz w:val="24"/>
                <w:szCs w:val="24"/>
              </w:rPr>
              <w:t>10 lielākās kopā</w:t>
            </w:r>
          </w:p>
        </w:tc>
        <w:tc>
          <w:tcPr>
            <w:tcW w:w="2201" w:type="dxa"/>
            <w:tcBorders>
              <w:left w:val="nil"/>
              <w:bottom w:val="single" w:sz="4" w:space="0" w:color="auto"/>
              <w:right w:val="nil"/>
            </w:tcBorders>
          </w:tcPr>
          <w:p w:rsidR="00326279" w:rsidRPr="00326279" w:rsidRDefault="00326279" w:rsidP="006C17FE">
            <w:pPr>
              <w:pStyle w:val="Vienkrsteksts"/>
              <w:jc w:val="center"/>
              <w:rPr>
                <w:rFonts w:ascii="Times New Roman" w:hAnsi="Times New Roman" w:cs="Times New Roman"/>
                <w:b/>
                <w:sz w:val="24"/>
                <w:szCs w:val="24"/>
              </w:rPr>
            </w:pPr>
            <w:r w:rsidRPr="00326279">
              <w:rPr>
                <w:rFonts w:ascii="Times New Roman" w:hAnsi="Times New Roman" w:cs="Times New Roman"/>
                <w:b/>
                <w:sz w:val="24"/>
                <w:szCs w:val="24"/>
              </w:rPr>
              <w:t>1 459 148</w:t>
            </w:r>
          </w:p>
        </w:tc>
        <w:tc>
          <w:tcPr>
            <w:tcW w:w="2367" w:type="dxa"/>
            <w:tcBorders>
              <w:left w:val="nil"/>
              <w:bottom w:val="single" w:sz="4" w:space="0" w:color="auto"/>
              <w:right w:val="nil"/>
            </w:tcBorders>
          </w:tcPr>
          <w:p w:rsidR="00326279" w:rsidRPr="00326279" w:rsidRDefault="00326279" w:rsidP="006C17FE">
            <w:pPr>
              <w:pStyle w:val="Vienkrsteksts"/>
              <w:jc w:val="center"/>
              <w:rPr>
                <w:rFonts w:ascii="Times New Roman" w:hAnsi="Times New Roman" w:cs="Times New Roman"/>
                <w:b/>
                <w:sz w:val="24"/>
                <w:szCs w:val="24"/>
              </w:rPr>
            </w:pPr>
            <w:r w:rsidRPr="00326279">
              <w:rPr>
                <w:rFonts w:ascii="Times New Roman" w:hAnsi="Times New Roman" w:cs="Times New Roman"/>
                <w:b/>
                <w:sz w:val="24"/>
                <w:szCs w:val="24"/>
              </w:rPr>
              <w:t>81,0%</w:t>
            </w:r>
          </w:p>
        </w:tc>
        <w:tc>
          <w:tcPr>
            <w:tcW w:w="2367" w:type="dxa"/>
            <w:tcBorders>
              <w:left w:val="nil"/>
              <w:bottom w:val="single" w:sz="4" w:space="0" w:color="auto"/>
              <w:right w:val="nil"/>
            </w:tcBorders>
          </w:tcPr>
          <w:p w:rsidR="00326279" w:rsidRPr="00326279" w:rsidRDefault="00326279" w:rsidP="00326279">
            <w:pPr>
              <w:pStyle w:val="Vienkrsteksts"/>
              <w:jc w:val="center"/>
              <w:rPr>
                <w:rFonts w:ascii="Times New Roman" w:hAnsi="Times New Roman" w:cs="Times New Roman"/>
                <w:b/>
                <w:sz w:val="24"/>
                <w:szCs w:val="24"/>
              </w:rPr>
            </w:pPr>
            <w:r w:rsidRPr="00326279">
              <w:rPr>
                <w:rFonts w:ascii="Times New Roman" w:hAnsi="Times New Roman" w:cs="Times New Roman"/>
                <w:b/>
                <w:sz w:val="24"/>
                <w:szCs w:val="24"/>
              </w:rPr>
              <w:t>100%</w:t>
            </w:r>
          </w:p>
        </w:tc>
      </w:tr>
      <w:tr w:rsidR="00326279" w:rsidTr="00EF3C3E">
        <w:tc>
          <w:tcPr>
            <w:tcW w:w="2518" w:type="dxa"/>
            <w:tcBorders>
              <w:left w:val="nil"/>
              <w:bottom w:val="single" w:sz="4" w:space="0" w:color="auto"/>
              <w:right w:val="nil"/>
            </w:tcBorders>
          </w:tcPr>
          <w:p w:rsidR="00326279" w:rsidRDefault="00326279" w:rsidP="006C17FE">
            <w:pPr>
              <w:pStyle w:val="Vienkrsteksts"/>
              <w:jc w:val="center"/>
              <w:rPr>
                <w:rFonts w:ascii="Times New Roman" w:hAnsi="Times New Roman" w:cs="Times New Roman"/>
                <w:sz w:val="24"/>
                <w:szCs w:val="24"/>
              </w:rPr>
            </w:pPr>
          </w:p>
        </w:tc>
        <w:tc>
          <w:tcPr>
            <w:tcW w:w="2201" w:type="dxa"/>
            <w:tcBorders>
              <w:left w:val="nil"/>
              <w:bottom w:val="single" w:sz="4" w:space="0" w:color="auto"/>
              <w:right w:val="nil"/>
            </w:tcBorders>
          </w:tcPr>
          <w:p w:rsidR="00326279" w:rsidRDefault="00326279" w:rsidP="006C17FE">
            <w:pPr>
              <w:pStyle w:val="Vienkrsteksts"/>
              <w:jc w:val="center"/>
              <w:rPr>
                <w:rFonts w:ascii="Times New Roman" w:hAnsi="Times New Roman" w:cs="Times New Roman"/>
                <w:sz w:val="24"/>
                <w:szCs w:val="24"/>
              </w:rPr>
            </w:pPr>
          </w:p>
        </w:tc>
        <w:tc>
          <w:tcPr>
            <w:tcW w:w="2367" w:type="dxa"/>
            <w:tcBorders>
              <w:left w:val="nil"/>
              <w:bottom w:val="single" w:sz="4" w:space="0" w:color="auto"/>
              <w:right w:val="nil"/>
            </w:tcBorders>
          </w:tcPr>
          <w:p w:rsidR="00326279" w:rsidRDefault="00326279" w:rsidP="006C17FE">
            <w:pPr>
              <w:pStyle w:val="Vienkrsteksts"/>
              <w:jc w:val="center"/>
              <w:rPr>
                <w:rFonts w:ascii="Times New Roman" w:hAnsi="Times New Roman" w:cs="Times New Roman"/>
                <w:sz w:val="24"/>
                <w:szCs w:val="24"/>
              </w:rPr>
            </w:pPr>
          </w:p>
        </w:tc>
        <w:tc>
          <w:tcPr>
            <w:tcW w:w="2367" w:type="dxa"/>
            <w:tcBorders>
              <w:left w:val="nil"/>
              <w:bottom w:val="single" w:sz="4" w:space="0" w:color="auto"/>
              <w:right w:val="nil"/>
            </w:tcBorders>
          </w:tcPr>
          <w:p w:rsidR="00326279" w:rsidRDefault="00326279" w:rsidP="006C17FE">
            <w:pPr>
              <w:pStyle w:val="Vienkrsteksts"/>
              <w:jc w:val="center"/>
              <w:rPr>
                <w:rFonts w:ascii="Times New Roman" w:hAnsi="Times New Roman" w:cs="Times New Roman"/>
                <w:sz w:val="24"/>
                <w:szCs w:val="24"/>
              </w:rPr>
            </w:pPr>
          </w:p>
        </w:tc>
      </w:tr>
      <w:tr w:rsidR="00326279" w:rsidTr="00EF3C3E">
        <w:tc>
          <w:tcPr>
            <w:tcW w:w="2518" w:type="dxa"/>
            <w:tcBorders>
              <w:left w:val="nil"/>
              <w:bottom w:val="nil"/>
              <w:right w:val="nil"/>
            </w:tcBorders>
          </w:tcPr>
          <w:p w:rsidR="00326279" w:rsidRDefault="00326279"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Spānija</w:t>
            </w:r>
          </w:p>
        </w:tc>
        <w:tc>
          <w:tcPr>
            <w:tcW w:w="2201" w:type="dxa"/>
            <w:tcBorders>
              <w:left w:val="nil"/>
              <w:bottom w:val="nil"/>
              <w:right w:val="nil"/>
            </w:tcBorders>
          </w:tcPr>
          <w:p w:rsidR="00326279" w:rsidRDefault="00326279"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42 469</w:t>
            </w:r>
          </w:p>
        </w:tc>
        <w:tc>
          <w:tcPr>
            <w:tcW w:w="2367" w:type="dxa"/>
            <w:tcBorders>
              <w:left w:val="nil"/>
              <w:bottom w:val="nil"/>
              <w:right w:val="nil"/>
            </w:tcBorders>
          </w:tcPr>
          <w:p w:rsidR="00326279" w:rsidRDefault="00326279"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2,4%</w:t>
            </w:r>
          </w:p>
        </w:tc>
        <w:tc>
          <w:tcPr>
            <w:tcW w:w="2367" w:type="dxa"/>
            <w:tcBorders>
              <w:left w:val="nil"/>
              <w:bottom w:val="nil"/>
              <w:right w:val="nil"/>
            </w:tcBorders>
          </w:tcPr>
          <w:p w:rsidR="00326279" w:rsidRDefault="00326279" w:rsidP="00EF3C3E">
            <w:pPr>
              <w:pStyle w:val="Vienkrsteksts"/>
              <w:jc w:val="center"/>
              <w:rPr>
                <w:rFonts w:ascii="Times New Roman" w:hAnsi="Times New Roman" w:cs="Times New Roman"/>
                <w:sz w:val="24"/>
                <w:szCs w:val="24"/>
              </w:rPr>
            </w:pPr>
          </w:p>
        </w:tc>
      </w:tr>
      <w:tr w:rsidR="00326279" w:rsidTr="00EF3C3E">
        <w:tc>
          <w:tcPr>
            <w:tcW w:w="2518" w:type="dxa"/>
            <w:tcBorders>
              <w:top w:val="nil"/>
              <w:left w:val="nil"/>
              <w:bottom w:val="nil"/>
              <w:right w:val="nil"/>
            </w:tcBorders>
          </w:tcPr>
          <w:p w:rsidR="00326279" w:rsidRDefault="00326279"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Šveice</w:t>
            </w:r>
          </w:p>
        </w:tc>
        <w:tc>
          <w:tcPr>
            <w:tcW w:w="2201" w:type="dxa"/>
            <w:tcBorders>
              <w:top w:val="nil"/>
              <w:left w:val="nil"/>
              <w:bottom w:val="nil"/>
              <w:right w:val="nil"/>
            </w:tcBorders>
          </w:tcPr>
          <w:p w:rsidR="00326279" w:rsidRDefault="00326279"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40 395</w:t>
            </w:r>
          </w:p>
        </w:tc>
        <w:tc>
          <w:tcPr>
            <w:tcW w:w="2367" w:type="dxa"/>
            <w:tcBorders>
              <w:top w:val="nil"/>
              <w:left w:val="nil"/>
              <w:bottom w:val="nil"/>
              <w:right w:val="nil"/>
            </w:tcBorders>
          </w:tcPr>
          <w:p w:rsidR="00326279" w:rsidRDefault="00326279"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2,2%</w:t>
            </w:r>
          </w:p>
        </w:tc>
        <w:tc>
          <w:tcPr>
            <w:tcW w:w="2367" w:type="dxa"/>
            <w:tcBorders>
              <w:top w:val="nil"/>
              <w:left w:val="nil"/>
              <w:bottom w:val="nil"/>
              <w:right w:val="nil"/>
            </w:tcBorders>
          </w:tcPr>
          <w:p w:rsidR="00326279" w:rsidRDefault="00326279" w:rsidP="00EF3C3E">
            <w:pPr>
              <w:pStyle w:val="Vienkrsteksts"/>
              <w:jc w:val="center"/>
              <w:rPr>
                <w:rFonts w:ascii="Times New Roman" w:hAnsi="Times New Roman" w:cs="Times New Roman"/>
                <w:sz w:val="24"/>
                <w:szCs w:val="24"/>
              </w:rPr>
            </w:pPr>
          </w:p>
        </w:tc>
      </w:tr>
      <w:tr w:rsidR="00326279" w:rsidTr="00EF3C3E">
        <w:tc>
          <w:tcPr>
            <w:tcW w:w="2518" w:type="dxa"/>
            <w:tcBorders>
              <w:top w:val="nil"/>
              <w:left w:val="nil"/>
              <w:bottom w:val="nil"/>
              <w:right w:val="nil"/>
            </w:tcBorders>
          </w:tcPr>
          <w:p w:rsidR="00326279" w:rsidRDefault="00326279"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Zviedrija</w:t>
            </w:r>
          </w:p>
        </w:tc>
        <w:tc>
          <w:tcPr>
            <w:tcW w:w="2201" w:type="dxa"/>
            <w:tcBorders>
              <w:top w:val="nil"/>
              <w:left w:val="nil"/>
              <w:bottom w:val="nil"/>
              <w:right w:val="nil"/>
            </w:tcBorders>
          </w:tcPr>
          <w:p w:rsidR="00326279" w:rsidRDefault="00326279"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36 710</w:t>
            </w:r>
          </w:p>
        </w:tc>
        <w:tc>
          <w:tcPr>
            <w:tcW w:w="2367" w:type="dxa"/>
            <w:tcBorders>
              <w:top w:val="nil"/>
              <w:left w:val="nil"/>
              <w:bottom w:val="nil"/>
              <w:right w:val="nil"/>
            </w:tcBorders>
          </w:tcPr>
          <w:p w:rsidR="00326279" w:rsidRDefault="00326279"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2,0%</w:t>
            </w:r>
          </w:p>
        </w:tc>
        <w:tc>
          <w:tcPr>
            <w:tcW w:w="2367" w:type="dxa"/>
            <w:tcBorders>
              <w:top w:val="nil"/>
              <w:left w:val="nil"/>
              <w:bottom w:val="nil"/>
              <w:right w:val="nil"/>
            </w:tcBorders>
          </w:tcPr>
          <w:p w:rsidR="00326279" w:rsidRDefault="00326279" w:rsidP="00EF3C3E">
            <w:pPr>
              <w:pStyle w:val="Vienkrsteksts"/>
              <w:jc w:val="center"/>
              <w:rPr>
                <w:rFonts w:ascii="Times New Roman" w:hAnsi="Times New Roman" w:cs="Times New Roman"/>
                <w:sz w:val="24"/>
                <w:szCs w:val="24"/>
              </w:rPr>
            </w:pPr>
          </w:p>
        </w:tc>
      </w:tr>
      <w:tr w:rsidR="00326279" w:rsidTr="00EF3C3E">
        <w:tc>
          <w:tcPr>
            <w:tcW w:w="2518" w:type="dxa"/>
            <w:tcBorders>
              <w:top w:val="nil"/>
              <w:left w:val="nil"/>
              <w:bottom w:val="nil"/>
              <w:right w:val="nil"/>
            </w:tcBorders>
          </w:tcPr>
          <w:p w:rsidR="00326279" w:rsidRDefault="00326279"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Meksika</w:t>
            </w:r>
            <w:r w:rsidRPr="00326279">
              <w:rPr>
                <w:rFonts w:ascii="Times New Roman" w:hAnsi="Times New Roman" w:cs="Times New Roman"/>
                <w:sz w:val="24"/>
                <w:szCs w:val="24"/>
                <w:vertAlign w:val="superscript"/>
              </w:rPr>
              <w:t>(1)</w:t>
            </w:r>
          </w:p>
        </w:tc>
        <w:tc>
          <w:tcPr>
            <w:tcW w:w="2201" w:type="dxa"/>
            <w:tcBorders>
              <w:top w:val="nil"/>
              <w:left w:val="nil"/>
              <w:bottom w:val="nil"/>
              <w:right w:val="nil"/>
            </w:tcBorders>
          </w:tcPr>
          <w:p w:rsidR="00326279" w:rsidRDefault="00326279"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34 233</w:t>
            </w:r>
          </w:p>
        </w:tc>
        <w:tc>
          <w:tcPr>
            <w:tcW w:w="2367" w:type="dxa"/>
            <w:tcBorders>
              <w:top w:val="nil"/>
              <w:left w:val="nil"/>
              <w:bottom w:val="nil"/>
              <w:right w:val="nil"/>
            </w:tcBorders>
          </w:tcPr>
          <w:p w:rsidR="00326279" w:rsidRDefault="00326279"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1,9%</w:t>
            </w:r>
          </w:p>
        </w:tc>
        <w:tc>
          <w:tcPr>
            <w:tcW w:w="2367" w:type="dxa"/>
            <w:tcBorders>
              <w:top w:val="nil"/>
              <w:left w:val="nil"/>
              <w:bottom w:val="nil"/>
              <w:right w:val="nil"/>
            </w:tcBorders>
          </w:tcPr>
          <w:p w:rsidR="00326279" w:rsidRDefault="00326279" w:rsidP="00EF3C3E">
            <w:pPr>
              <w:pStyle w:val="Vienkrsteksts"/>
              <w:jc w:val="center"/>
              <w:rPr>
                <w:rFonts w:ascii="Times New Roman" w:hAnsi="Times New Roman" w:cs="Times New Roman"/>
                <w:sz w:val="24"/>
                <w:szCs w:val="24"/>
              </w:rPr>
            </w:pPr>
          </w:p>
        </w:tc>
      </w:tr>
      <w:tr w:rsidR="00326279" w:rsidTr="00EF3C3E">
        <w:tc>
          <w:tcPr>
            <w:tcW w:w="2518" w:type="dxa"/>
            <w:tcBorders>
              <w:top w:val="nil"/>
              <w:left w:val="nil"/>
              <w:bottom w:val="nil"/>
              <w:right w:val="nil"/>
            </w:tcBorders>
          </w:tcPr>
          <w:p w:rsidR="00326279" w:rsidRDefault="00326279"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Austrālija</w:t>
            </w:r>
          </w:p>
        </w:tc>
        <w:tc>
          <w:tcPr>
            <w:tcW w:w="2201" w:type="dxa"/>
            <w:tcBorders>
              <w:top w:val="nil"/>
              <w:left w:val="nil"/>
              <w:bottom w:val="nil"/>
              <w:right w:val="nil"/>
            </w:tcBorders>
          </w:tcPr>
          <w:p w:rsidR="00326279" w:rsidRDefault="00326279"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27 194</w:t>
            </w:r>
          </w:p>
        </w:tc>
        <w:tc>
          <w:tcPr>
            <w:tcW w:w="2367" w:type="dxa"/>
            <w:tcBorders>
              <w:top w:val="nil"/>
              <w:left w:val="nil"/>
              <w:bottom w:val="nil"/>
              <w:right w:val="nil"/>
            </w:tcBorders>
          </w:tcPr>
          <w:p w:rsidR="00326279" w:rsidRDefault="00326279"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1,5%</w:t>
            </w:r>
          </w:p>
        </w:tc>
        <w:tc>
          <w:tcPr>
            <w:tcW w:w="2367" w:type="dxa"/>
            <w:tcBorders>
              <w:top w:val="nil"/>
              <w:left w:val="nil"/>
              <w:bottom w:val="nil"/>
              <w:right w:val="nil"/>
            </w:tcBorders>
          </w:tcPr>
          <w:p w:rsidR="00326279" w:rsidRDefault="00326279" w:rsidP="00EF3C3E">
            <w:pPr>
              <w:pStyle w:val="Vienkrsteksts"/>
              <w:jc w:val="center"/>
              <w:rPr>
                <w:rFonts w:ascii="Times New Roman" w:hAnsi="Times New Roman" w:cs="Times New Roman"/>
                <w:sz w:val="24"/>
                <w:szCs w:val="24"/>
              </w:rPr>
            </w:pPr>
          </w:p>
        </w:tc>
      </w:tr>
      <w:tr w:rsidR="00326279" w:rsidTr="00EF3C3E">
        <w:tc>
          <w:tcPr>
            <w:tcW w:w="2518" w:type="dxa"/>
            <w:tcBorders>
              <w:top w:val="nil"/>
              <w:left w:val="nil"/>
              <w:bottom w:val="nil"/>
              <w:right w:val="nil"/>
            </w:tcBorders>
          </w:tcPr>
          <w:p w:rsidR="00326279" w:rsidRDefault="00326279"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Dānija</w:t>
            </w:r>
          </w:p>
        </w:tc>
        <w:tc>
          <w:tcPr>
            <w:tcW w:w="2201" w:type="dxa"/>
            <w:tcBorders>
              <w:top w:val="nil"/>
              <w:left w:val="nil"/>
              <w:bottom w:val="nil"/>
              <w:right w:val="nil"/>
            </w:tcBorders>
          </w:tcPr>
          <w:p w:rsidR="00326279" w:rsidRDefault="00326279"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24 145</w:t>
            </w:r>
          </w:p>
        </w:tc>
        <w:tc>
          <w:tcPr>
            <w:tcW w:w="2367" w:type="dxa"/>
            <w:tcBorders>
              <w:top w:val="nil"/>
              <w:left w:val="nil"/>
              <w:bottom w:val="nil"/>
              <w:right w:val="nil"/>
            </w:tcBorders>
          </w:tcPr>
          <w:p w:rsidR="00326279" w:rsidRDefault="00326279"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1,3%</w:t>
            </w:r>
          </w:p>
        </w:tc>
        <w:tc>
          <w:tcPr>
            <w:tcW w:w="2367" w:type="dxa"/>
            <w:tcBorders>
              <w:top w:val="nil"/>
              <w:left w:val="nil"/>
              <w:bottom w:val="nil"/>
              <w:right w:val="nil"/>
            </w:tcBorders>
          </w:tcPr>
          <w:p w:rsidR="00326279" w:rsidRDefault="00326279" w:rsidP="00EF3C3E">
            <w:pPr>
              <w:pStyle w:val="Vienkrsteksts"/>
              <w:jc w:val="center"/>
              <w:rPr>
                <w:rFonts w:ascii="Times New Roman" w:hAnsi="Times New Roman" w:cs="Times New Roman"/>
                <w:sz w:val="24"/>
                <w:szCs w:val="24"/>
              </w:rPr>
            </w:pPr>
          </w:p>
        </w:tc>
      </w:tr>
      <w:tr w:rsidR="00326279" w:rsidTr="00EF3C3E">
        <w:tc>
          <w:tcPr>
            <w:tcW w:w="2518" w:type="dxa"/>
            <w:tcBorders>
              <w:top w:val="nil"/>
              <w:left w:val="nil"/>
              <w:bottom w:val="nil"/>
              <w:right w:val="nil"/>
            </w:tcBorders>
          </w:tcPr>
          <w:p w:rsidR="00326279" w:rsidRDefault="00326279"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Austrija*</w:t>
            </w:r>
          </w:p>
        </w:tc>
        <w:tc>
          <w:tcPr>
            <w:tcW w:w="2201" w:type="dxa"/>
            <w:tcBorders>
              <w:top w:val="nil"/>
              <w:left w:val="nil"/>
              <w:bottom w:val="nil"/>
              <w:right w:val="nil"/>
            </w:tcBorders>
          </w:tcPr>
          <w:p w:rsidR="00326279" w:rsidRDefault="00326279"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22</w:t>
            </w:r>
            <w:r>
              <w:rPr>
                <w:rFonts w:ascii="Times New Roman" w:hAnsi="Times New Roman" w:cs="Times New Roman"/>
                <w:sz w:val="24"/>
                <w:szCs w:val="24"/>
              </w:rPr>
              <w:t> </w:t>
            </w:r>
            <w:r w:rsidRPr="00FB5BC4">
              <w:rPr>
                <w:rFonts w:ascii="Times New Roman" w:hAnsi="Times New Roman" w:cs="Times New Roman"/>
                <w:sz w:val="24"/>
                <w:szCs w:val="24"/>
              </w:rPr>
              <w:t>432</w:t>
            </w:r>
          </w:p>
        </w:tc>
        <w:tc>
          <w:tcPr>
            <w:tcW w:w="2367" w:type="dxa"/>
            <w:tcBorders>
              <w:top w:val="nil"/>
              <w:left w:val="nil"/>
              <w:bottom w:val="nil"/>
              <w:right w:val="nil"/>
            </w:tcBorders>
          </w:tcPr>
          <w:p w:rsidR="00326279" w:rsidRDefault="00326279"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1,2%</w:t>
            </w:r>
          </w:p>
        </w:tc>
        <w:tc>
          <w:tcPr>
            <w:tcW w:w="2367" w:type="dxa"/>
            <w:tcBorders>
              <w:top w:val="nil"/>
              <w:left w:val="nil"/>
              <w:bottom w:val="nil"/>
              <w:right w:val="nil"/>
            </w:tcBorders>
          </w:tcPr>
          <w:p w:rsidR="00326279" w:rsidRDefault="00326279" w:rsidP="00EF3C3E">
            <w:pPr>
              <w:pStyle w:val="Vienkrsteksts"/>
              <w:jc w:val="center"/>
              <w:rPr>
                <w:rFonts w:ascii="Times New Roman" w:hAnsi="Times New Roman" w:cs="Times New Roman"/>
                <w:sz w:val="24"/>
                <w:szCs w:val="24"/>
              </w:rPr>
            </w:pPr>
          </w:p>
        </w:tc>
      </w:tr>
      <w:tr w:rsidR="00326279" w:rsidTr="00EF3C3E">
        <w:tc>
          <w:tcPr>
            <w:tcW w:w="2518" w:type="dxa"/>
            <w:tcBorders>
              <w:top w:val="nil"/>
              <w:left w:val="nil"/>
              <w:bottom w:val="nil"/>
              <w:right w:val="nil"/>
            </w:tcBorders>
          </w:tcPr>
          <w:p w:rsidR="00326279" w:rsidRDefault="00EF3C3E"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Norvēģija</w:t>
            </w:r>
          </w:p>
        </w:tc>
        <w:tc>
          <w:tcPr>
            <w:tcW w:w="2201" w:type="dxa"/>
            <w:tcBorders>
              <w:top w:val="nil"/>
              <w:left w:val="nil"/>
              <w:bottom w:val="nil"/>
              <w:right w:val="nil"/>
            </w:tcBorders>
          </w:tcPr>
          <w:p w:rsidR="00326279" w:rsidRDefault="00EF3C3E"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21</w:t>
            </w:r>
            <w:r>
              <w:rPr>
                <w:rFonts w:ascii="Times New Roman" w:hAnsi="Times New Roman" w:cs="Times New Roman"/>
                <w:sz w:val="24"/>
                <w:szCs w:val="24"/>
              </w:rPr>
              <w:t> </w:t>
            </w:r>
            <w:r w:rsidRPr="00FB5BC4">
              <w:rPr>
                <w:rFonts w:ascii="Times New Roman" w:hAnsi="Times New Roman" w:cs="Times New Roman"/>
                <w:sz w:val="24"/>
                <w:szCs w:val="24"/>
              </w:rPr>
              <w:t>666</w:t>
            </w:r>
          </w:p>
        </w:tc>
        <w:tc>
          <w:tcPr>
            <w:tcW w:w="2367" w:type="dxa"/>
            <w:tcBorders>
              <w:top w:val="nil"/>
              <w:left w:val="nil"/>
              <w:bottom w:val="nil"/>
              <w:right w:val="nil"/>
            </w:tcBorders>
          </w:tcPr>
          <w:p w:rsidR="00326279" w:rsidRDefault="00EF3C3E"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1,2%</w:t>
            </w:r>
          </w:p>
        </w:tc>
        <w:tc>
          <w:tcPr>
            <w:tcW w:w="2367" w:type="dxa"/>
            <w:tcBorders>
              <w:top w:val="nil"/>
              <w:left w:val="nil"/>
              <w:bottom w:val="nil"/>
              <w:right w:val="nil"/>
            </w:tcBorders>
          </w:tcPr>
          <w:p w:rsidR="00326279" w:rsidRDefault="00326279" w:rsidP="00EF3C3E">
            <w:pPr>
              <w:pStyle w:val="Vienkrsteksts"/>
              <w:jc w:val="center"/>
              <w:rPr>
                <w:rFonts w:ascii="Times New Roman" w:hAnsi="Times New Roman" w:cs="Times New Roman"/>
                <w:sz w:val="24"/>
                <w:szCs w:val="24"/>
              </w:rPr>
            </w:pPr>
          </w:p>
        </w:tc>
      </w:tr>
      <w:tr w:rsidR="00326279" w:rsidTr="00EF3C3E">
        <w:tc>
          <w:tcPr>
            <w:tcW w:w="2518" w:type="dxa"/>
            <w:tcBorders>
              <w:top w:val="nil"/>
              <w:left w:val="nil"/>
              <w:bottom w:val="nil"/>
              <w:right w:val="nil"/>
            </w:tcBorders>
          </w:tcPr>
          <w:p w:rsidR="00326279" w:rsidRDefault="00EF3C3E"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Īrija</w:t>
            </w:r>
          </w:p>
        </w:tc>
        <w:tc>
          <w:tcPr>
            <w:tcW w:w="2201" w:type="dxa"/>
            <w:tcBorders>
              <w:top w:val="nil"/>
              <w:left w:val="nil"/>
              <w:bottom w:val="nil"/>
              <w:right w:val="nil"/>
            </w:tcBorders>
          </w:tcPr>
          <w:p w:rsidR="00326279" w:rsidRDefault="00EF3C3E"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19</w:t>
            </w:r>
            <w:r>
              <w:rPr>
                <w:rFonts w:ascii="Times New Roman" w:hAnsi="Times New Roman" w:cs="Times New Roman"/>
                <w:sz w:val="24"/>
                <w:szCs w:val="24"/>
              </w:rPr>
              <w:t> </w:t>
            </w:r>
            <w:r w:rsidRPr="00FB5BC4">
              <w:rPr>
                <w:rFonts w:ascii="Times New Roman" w:hAnsi="Times New Roman" w:cs="Times New Roman"/>
                <w:sz w:val="24"/>
                <w:szCs w:val="24"/>
              </w:rPr>
              <w:t>217</w:t>
            </w:r>
          </w:p>
        </w:tc>
        <w:tc>
          <w:tcPr>
            <w:tcW w:w="2367" w:type="dxa"/>
            <w:tcBorders>
              <w:top w:val="nil"/>
              <w:left w:val="nil"/>
              <w:bottom w:val="nil"/>
              <w:right w:val="nil"/>
            </w:tcBorders>
          </w:tcPr>
          <w:p w:rsidR="00326279" w:rsidRDefault="00EF3C3E"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1,1%</w:t>
            </w:r>
          </w:p>
        </w:tc>
        <w:tc>
          <w:tcPr>
            <w:tcW w:w="2367" w:type="dxa"/>
            <w:tcBorders>
              <w:top w:val="nil"/>
              <w:left w:val="nil"/>
              <w:bottom w:val="nil"/>
              <w:right w:val="nil"/>
            </w:tcBorders>
          </w:tcPr>
          <w:p w:rsidR="00326279" w:rsidRDefault="00326279" w:rsidP="00EF3C3E">
            <w:pPr>
              <w:pStyle w:val="Vienkrsteksts"/>
              <w:jc w:val="center"/>
              <w:rPr>
                <w:rFonts w:ascii="Times New Roman" w:hAnsi="Times New Roman" w:cs="Times New Roman"/>
                <w:sz w:val="24"/>
                <w:szCs w:val="24"/>
              </w:rPr>
            </w:pPr>
          </w:p>
        </w:tc>
      </w:tr>
      <w:tr w:rsidR="00326279" w:rsidTr="00EF3C3E">
        <w:tc>
          <w:tcPr>
            <w:tcW w:w="2518" w:type="dxa"/>
            <w:tcBorders>
              <w:top w:val="nil"/>
              <w:left w:val="nil"/>
              <w:bottom w:val="nil"/>
              <w:right w:val="nil"/>
            </w:tcBorders>
          </w:tcPr>
          <w:p w:rsidR="00326279" w:rsidRDefault="00EF3C3E"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Somija</w:t>
            </w:r>
          </w:p>
        </w:tc>
        <w:tc>
          <w:tcPr>
            <w:tcW w:w="2201" w:type="dxa"/>
            <w:tcBorders>
              <w:top w:val="nil"/>
              <w:left w:val="nil"/>
              <w:bottom w:val="nil"/>
              <w:right w:val="nil"/>
            </w:tcBorders>
          </w:tcPr>
          <w:p w:rsidR="00326279" w:rsidRDefault="00EF3C3E"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17</w:t>
            </w:r>
            <w:r>
              <w:rPr>
                <w:rFonts w:ascii="Times New Roman" w:hAnsi="Times New Roman" w:cs="Times New Roman"/>
                <w:sz w:val="24"/>
                <w:szCs w:val="24"/>
              </w:rPr>
              <w:t> </w:t>
            </w:r>
            <w:r w:rsidRPr="00FB5BC4">
              <w:rPr>
                <w:rFonts w:ascii="Times New Roman" w:hAnsi="Times New Roman" w:cs="Times New Roman"/>
                <w:sz w:val="24"/>
                <w:szCs w:val="24"/>
              </w:rPr>
              <w:t>296</w:t>
            </w:r>
          </w:p>
        </w:tc>
        <w:tc>
          <w:tcPr>
            <w:tcW w:w="2367" w:type="dxa"/>
            <w:tcBorders>
              <w:top w:val="nil"/>
              <w:left w:val="nil"/>
              <w:bottom w:val="nil"/>
              <w:right w:val="nil"/>
            </w:tcBorders>
          </w:tcPr>
          <w:p w:rsidR="00326279" w:rsidRDefault="00EF3C3E"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1,0%</w:t>
            </w:r>
          </w:p>
        </w:tc>
        <w:tc>
          <w:tcPr>
            <w:tcW w:w="2367" w:type="dxa"/>
            <w:tcBorders>
              <w:top w:val="nil"/>
              <w:left w:val="nil"/>
              <w:bottom w:val="nil"/>
              <w:right w:val="nil"/>
            </w:tcBorders>
          </w:tcPr>
          <w:p w:rsidR="00326279" w:rsidRDefault="00326279" w:rsidP="00EF3C3E">
            <w:pPr>
              <w:pStyle w:val="Vienkrsteksts"/>
              <w:jc w:val="center"/>
              <w:rPr>
                <w:rFonts w:ascii="Times New Roman" w:hAnsi="Times New Roman" w:cs="Times New Roman"/>
                <w:sz w:val="24"/>
                <w:szCs w:val="24"/>
              </w:rPr>
            </w:pPr>
          </w:p>
        </w:tc>
      </w:tr>
      <w:tr w:rsidR="00326279" w:rsidTr="00EF3C3E">
        <w:tc>
          <w:tcPr>
            <w:tcW w:w="2518" w:type="dxa"/>
            <w:tcBorders>
              <w:top w:val="nil"/>
              <w:left w:val="nil"/>
              <w:bottom w:val="nil"/>
              <w:right w:val="nil"/>
            </w:tcBorders>
          </w:tcPr>
          <w:p w:rsidR="00326279" w:rsidRDefault="00EF3C3E"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 xml:space="preserve">Polija </w:t>
            </w:r>
            <w:r w:rsidRPr="00EF3C3E">
              <w:rPr>
                <w:rFonts w:ascii="Times New Roman" w:hAnsi="Times New Roman" w:cs="Times New Roman"/>
                <w:sz w:val="24"/>
                <w:szCs w:val="24"/>
                <w:vertAlign w:val="superscript"/>
              </w:rPr>
              <w:t>(1)</w:t>
            </w:r>
            <w:r w:rsidRPr="00FB5BC4">
              <w:rPr>
                <w:rFonts w:ascii="Times New Roman" w:hAnsi="Times New Roman" w:cs="Times New Roman"/>
                <w:sz w:val="24"/>
                <w:szCs w:val="24"/>
              </w:rPr>
              <w:t>**</w:t>
            </w:r>
          </w:p>
        </w:tc>
        <w:tc>
          <w:tcPr>
            <w:tcW w:w="2201" w:type="dxa"/>
            <w:tcBorders>
              <w:top w:val="nil"/>
              <w:left w:val="nil"/>
              <w:bottom w:val="nil"/>
              <w:right w:val="nil"/>
            </w:tcBorders>
          </w:tcPr>
          <w:p w:rsidR="00326279" w:rsidRDefault="00EF3C3E"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12</w:t>
            </w:r>
            <w:r>
              <w:rPr>
                <w:rFonts w:ascii="Times New Roman" w:hAnsi="Times New Roman" w:cs="Times New Roman"/>
                <w:sz w:val="24"/>
                <w:szCs w:val="24"/>
              </w:rPr>
              <w:t> </w:t>
            </w:r>
            <w:r w:rsidRPr="00FB5BC4">
              <w:rPr>
                <w:rFonts w:ascii="Times New Roman" w:hAnsi="Times New Roman" w:cs="Times New Roman"/>
                <w:sz w:val="24"/>
                <w:szCs w:val="24"/>
              </w:rPr>
              <w:t>652</w:t>
            </w:r>
          </w:p>
        </w:tc>
        <w:tc>
          <w:tcPr>
            <w:tcW w:w="2367" w:type="dxa"/>
            <w:tcBorders>
              <w:top w:val="nil"/>
              <w:left w:val="nil"/>
              <w:bottom w:val="nil"/>
              <w:right w:val="nil"/>
            </w:tcBorders>
          </w:tcPr>
          <w:p w:rsidR="00326279" w:rsidRDefault="00EF3C3E"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0,7%</w:t>
            </w:r>
          </w:p>
        </w:tc>
        <w:tc>
          <w:tcPr>
            <w:tcW w:w="2367" w:type="dxa"/>
            <w:tcBorders>
              <w:top w:val="nil"/>
              <w:left w:val="nil"/>
              <w:bottom w:val="nil"/>
              <w:right w:val="nil"/>
            </w:tcBorders>
          </w:tcPr>
          <w:p w:rsidR="00326279" w:rsidRDefault="00326279" w:rsidP="00EF3C3E">
            <w:pPr>
              <w:pStyle w:val="Vienkrsteksts"/>
              <w:jc w:val="center"/>
              <w:rPr>
                <w:rFonts w:ascii="Times New Roman" w:hAnsi="Times New Roman" w:cs="Times New Roman"/>
                <w:sz w:val="24"/>
                <w:szCs w:val="24"/>
              </w:rPr>
            </w:pPr>
          </w:p>
        </w:tc>
      </w:tr>
      <w:tr w:rsidR="00326279" w:rsidTr="00EF3C3E">
        <w:tc>
          <w:tcPr>
            <w:tcW w:w="2518" w:type="dxa"/>
            <w:tcBorders>
              <w:top w:val="nil"/>
              <w:left w:val="nil"/>
              <w:bottom w:val="nil"/>
              <w:right w:val="nil"/>
            </w:tcBorders>
          </w:tcPr>
          <w:p w:rsidR="00326279" w:rsidRDefault="00EF3C3E"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Portugāle</w:t>
            </w:r>
          </w:p>
        </w:tc>
        <w:tc>
          <w:tcPr>
            <w:tcW w:w="2201" w:type="dxa"/>
            <w:tcBorders>
              <w:top w:val="nil"/>
              <w:left w:val="nil"/>
              <w:bottom w:val="nil"/>
              <w:right w:val="nil"/>
            </w:tcBorders>
          </w:tcPr>
          <w:p w:rsidR="00326279" w:rsidRDefault="00EF3C3E"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10</w:t>
            </w:r>
            <w:r>
              <w:rPr>
                <w:rFonts w:ascii="Times New Roman" w:hAnsi="Times New Roman" w:cs="Times New Roman"/>
                <w:sz w:val="24"/>
                <w:szCs w:val="24"/>
              </w:rPr>
              <w:t> </w:t>
            </w:r>
            <w:r w:rsidRPr="00FB5BC4">
              <w:rPr>
                <w:rFonts w:ascii="Times New Roman" w:hAnsi="Times New Roman" w:cs="Times New Roman"/>
                <w:sz w:val="24"/>
                <w:szCs w:val="24"/>
              </w:rPr>
              <w:t>801</w:t>
            </w:r>
          </w:p>
        </w:tc>
        <w:tc>
          <w:tcPr>
            <w:tcW w:w="2367" w:type="dxa"/>
            <w:tcBorders>
              <w:top w:val="nil"/>
              <w:left w:val="nil"/>
              <w:bottom w:val="nil"/>
              <w:right w:val="nil"/>
            </w:tcBorders>
          </w:tcPr>
          <w:p w:rsidR="00326279" w:rsidRDefault="00EF3C3E"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0,6%</w:t>
            </w:r>
          </w:p>
        </w:tc>
        <w:tc>
          <w:tcPr>
            <w:tcW w:w="2367" w:type="dxa"/>
            <w:tcBorders>
              <w:top w:val="nil"/>
              <w:left w:val="nil"/>
              <w:bottom w:val="nil"/>
              <w:right w:val="nil"/>
            </w:tcBorders>
          </w:tcPr>
          <w:p w:rsidR="00326279" w:rsidRDefault="00326279" w:rsidP="00EF3C3E">
            <w:pPr>
              <w:pStyle w:val="Vienkrsteksts"/>
              <w:jc w:val="center"/>
              <w:rPr>
                <w:rFonts w:ascii="Times New Roman" w:hAnsi="Times New Roman" w:cs="Times New Roman"/>
                <w:sz w:val="24"/>
                <w:szCs w:val="24"/>
              </w:rPr>
            </w:pPr>
          </w:p>
        </w:tc>
      </w:tr>
      <w:tr w:rsidR="00326279" w:rsidTr="00EF3C3E">
        <w:tc>
          <w:tcPr>
            <w:tcW w:w="2518" w:type="dxa"/>
            <w:tcBorders>
              <w:top w:val="nil"/>
              <w:left w:val="nil"/>
              <w:bottom w:val="nil"/>
              <w:right w:val="nil"/>
            </w:tcBorders>
          </w:tcPr>
          <w:p w:rsidR="00326279" w:rsidRDefault="00EF3C3E"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Turcija*</w:t>
            </w:r>
          </w:p>
        </w:tc>
        <w:tc>
          <w:tcPr>
            <w:tcW w:w="2201" w:type="dxa"/>
            <w:tcBorders>
              <w:top w:val="nil"/>
              <w:left w:val="nil"/>
              <w:bottom w:val="nil"/>
              <w:right w:val="nil"/>
            </w:tcBorders>
          </w:tcPr>
          <w:p w:rsidR="00326279" w:rsidRDefault="00EF3C3E"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8</w:t>
            </w:r>
            <w:r>
              <w:rPr>
                <w:rFonts w:ascii="Times New Roman" w:hAnsi="Times New Roman" w:cs="Times New Roman"/>
                <w:sz w:val="24"/>
                <w:szCs w:val="24"/>
              </w:rPr>
              <w:t> </w:t>
            </w:r>
            <w:r w:rsidRPr="00FB5BC4">
              <w:rPr>
                <w:rFonts w:ascii="Times New Roman" w:hAnsi="Times New Roman" w:cs="Times New Roman"/>
                <w:sz w:val="24"/>
                <w:szCs w:val="24"/>
              </w:rPr>
              <w:t>027</w:t>
            </w:r>
          </w:p>
        </w:tc>
        <w:tc>
          <w:tcPr>
            <w:tcW w:w="2367" w:type="dxa"/>
            <w:tcBorders>
              <w:top w:val="nil"/>
              <w:left w:val="nil"/>
              <w:bottom w:val="nil"/>
              <w:right w:val="nil"/>
            </w:tcBorders>
          </w:tcPr>
          <w:p w:rsidR="00326279" w:rsidRDefault="00EF3C3E"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0,4%</w:t>
            </w:r>
          </w:p>
        </w:tc>
        <w:tc>
          <w:tcPr>
            <w:tcW w:w="2367" w:type="dxa"/>
            <w:tcBorders>
              <w:top w:val="nil"/>
              <w:left w:val="nil"/>
              <w:bottom w:val="nil"/>
              <w:right w:val="nil"/>
            </w:tcBorders>
          </w:tcPr>
          <w:p w:rsidR="00326279" w:rsidRDefault="00326279" w:rsidP="00EF3C3E">
            <w:pPr>
              <w:pStyle w:val="Vienkrsteksts"/>
              <w:jc w:val="center"/>
              <w:rPr>
                <w:rFonts w:ascii="Times New Roman" w:hAnsi="Times New Roman" w:cs="Times New Roman"/>
                <w:sz w:val="24"/>
                <w:szCs w:val="24"/>
              </w:rPr>
            </w:pPr>
          </w:p>
        </w:tc>
      </w:tr>
      <w:tr w:rsidR="00EF3C3E" w:rsidTr="00EF3C3E">
        <w:tc>
          <w:tcPr>
            <w:tcW w:w="2518" w:type="dxa"/>
            <w:tcBorders>
              <w:top w:val="nil"/>
              <w:left w:val="nil"/>
              <w:bottom w:val="nil"/>
              <w:right w:val="nil"/>
            </w:tcBorders>
          </w:tcPr>
          <w:p w:rsidR="00EF3C3E" w:rsidRDefault="00EF3C3E"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Ungārija**</w:t>
            </w:r>
          </w:p>
        </w:tc>
        <w:tc>
          <w:tcPr>
            <w:tcW w:w="2201" w:type="dxa"/>
            <w:tcBorders>
              <w:top w:val="nil"/>
              <w:left w:val="nil"/>
              <w:bottom w:val="nil"/>
              <w:right w:val="nil"/>
            </w:tcBorders>
          </w:tcPr>
          <w:p w:rsidR="00EF3C3E" w:rsidRDefault="00EF3C3E"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6</w:t>
            </w:r>
            <w:r>
              <w:rPr>
                <w:rFonts w:ascii="Times New Roman" w:hAnsi="Times New Roman" w:cs="Times New Roman"/>
                <w:sz w:val="24"/>
                <w:szCs w:val="24"/>
              </w:rPr>
              <w:t> </w:t>
            </w:r>
            <w:r w:rsidRPr="00FB5BC4">
              <w:rPr>
                <w:rFonts w:ascii="Times New Roman" w:hAnsi="Times New Roman" w:cs="Times New Roman"/>
                <w:sz w:val="24"/>
                <w:szCs w:val="24"/>
              </w:rPr>
              <w:t>795</w:t>
            </w:r>
          </w:p>
        </w:tc>
        <w:tc>
          <w:tcPr>
            <w:tcW w:w="2367" w:type="dxa"/>
            <w:tcBorders>
              <w:top w:val="nil"/>
              <w:left w:val="nil"/>
              <w:bottom w:val="nil"/>
              <w:right w:val="nil"/>
            </w:tcBorders>
          </w:tcPr>
          <w:p w:rsidR="00EF3C3E" w:rsidRDefault="00EF3C3E"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0,4%</w:t>
            </w:r>
          </w:p>
        </w:tc>
        <w:tc>
          <w:tcPr>
            <w:tcW w:w="2367" w:type="dxa"/>
            <w:tcBorders>
              <w:top w:val="nil"/>
              <w:left w:val="nil"/>
              <w:bottom w:val="nil"/>
              <w:right w:val="nil"/>
            </w:tcBorders>
          </w:tcPr>
          <w:p w:rsidR="00EF3C3E" w:rsidRDefault="00EF3C3E" w:rsidP="00EF3C3E">
            <w:pPr>
              <w:pStyle w:val="Vienkrsteksts"/>
              <w:jc w:val="center"/>
              <w:rPr>
                <w:rFonts w:ascii="Times New Roman" w:hAnsi="Times New Roman" w:cs="Times New Roman"/>
                <w:sz w:val="24"/>
                <w:szCs w:val="24"/>
              </w:rPr>
            </w:pPr>
          </w:p>
        </w:tc>
      </w:tr>
      <w:tr w:rsidR="00EF3C3E" w:rsidTr="00EF3C3E">
        <w:tc>
          <w:tcPr>
            <w:tcW w:w="2518" w:type="dxa"/>
            <w:tcBorders>
              <w:top w:val="nil"/>
              <w:left w:val="nil"/>
              <w:bottom w:val="nil"/>
              <w:right w:val="nil"/>
            </w:tcBorders>
          </w:tcPr>
          <w:p w:rsidR="00EF3C3E" w:rsidRDefault="00EF3C3E"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Jaunzēlande</w:t>
            </w:r>
          </w:p>
        </w:tc>
        <w:tc>
          <w:tcPr>
            <w:tcW w:w="2201" w:type="dxa"/>
            <w:tcBorders>
              <w:top w:val="nil"/>
              <w:left w:val="nil"/>
              <w:bottom w:val="nil"/>
              <w:right w:val="nil"/>
            </w:tcBorders>
          </w:tcPr>
          <w:p w:rsidR="00EF3C3E" w:rsidRDefault="00EF3C3E"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6</w:t>
            </w:r>
            <w:r>
              <w:rPr>
                <w:rFonts w:ascii="Times New Roman" w:hAnsi="Times New Roman" w:cs="Times New Roman"/>
                <w:sz w:val="24"/>
                <w:szCs w:val="24"/>
              </w:rPr>
              <w:t> </w:t>
            </w:r>
            <w:r w:rsidRPr="00FB5BC4">
              <w:rPr>
                <w:rFonts w:ascii="Times New Roman" w:hAnsi="Times New Roman" w:cs="Times New Roman"/>
                <w:sz w:val="24"/>
                <w:szCs w:val="24"/>
              </w:rPr>
              <w:t>663</w:t>
            </w:r>
          </w:p>
        </w:tc>
        <w:tc>
          <w:tcPr>
            <w:tcW w:w="2367" w:type="dxa"/>
            <w:tcBorders>
              <w:top w:val="nil"/>
              <w:left w:val="nil"/>
              <w:bottom w:val="nil"/>
              <w:right w:val="nil"/>
            </w:tcBorders>
          </w:tcPr>
          <w:p w:rsidR="00EF3C3E" w:rsidRDefault="00EF3C3E"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0,4%</w:t>
            </w:r>
          </w:p>
        </w:tc>
        <w:tc>
          <w:tcPr>
            <w:tcW w:w="2367" w:type="dxa"/>
            <w:tcBorders>
              <w:top w:val="nil"/>
              <w:left w:val="nil"/>
              <w:bottom w:val="nil"/>
              <w:right w:val="nil"/>
            </w:tcBorders>
          </w:tcPr>
          <w:p w:rsidR="00EF3C3E" w:rsidRDefault="00EF3C3E" w:rsidP="00EF3C3E">
            <w:pPr>
              <w:pStyle w:val="Vienkrsteksts"/>
              <w:jc w:val="center"/>
              <w:rPr>
                <w:rFonts w:ascii="Times New Roman" w:hAnsi="Times New Roman" w:cs="Times New Roman"/>
                <w:sz w:val="24"/>
                <w:szCs w:val="24"/>
              </w:rPr>
            </w:pPr>
          </w:p>
        </w:tc>
      </w:tr>
      <w:tr w:rsidR="00EF3C3E" w:rsidTr="00EF3C3E">
        <w:tc>
          <w:tcPr>
            <w:tcW w:w="2518" w:type="dxa"/>
            <w:tcBorders>
              <w:top w:val="nil"/>
              <w:left w:val="nil"/>
              <w:bottom w:val="nil"/>
              <w:right w:val="nil"/>
            </w:tcBorders>
          </w:tcPr>
          <w:p w:rsidR="00EF3C3E" w:rsidRDefault="00EF3C3E"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Čehijas Republika***</w:t>
            </w:r>
          </w:p>
        </w:tc>
        <w:tc>
          <w:tcPr>
            <w:tcW w:w="2201" w:type="dxa"/>
            <w:tcBorders>
              <w:top w:val="nil"/>
              <w:left w:val="nil"/>
              <w:bottom w:val="nil"/>
              <w:right w:val="nil"/>
            </w:tcBorders>
          </w:tcPr>
          <w:p w:rsidR="00EF3C3E" w:rsidRDefault="00EF3C3E"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6</w:t>
            </w:r>
            <w:r>
              <w:rPr>
                <w:rFonts w:ascii="Times New Roman" w:hAnsi="Times New Roman" w:cs="Times New Roman"/>
                <w:sz w:val="24"/>
                <w:szCs w:val="24"/>
              </w:rPr>
              <w:t> </w:t>
            </w:r>
            <w:r w:rsidRPr="00FB5BC4">
              <w:rPr>
                <w:rFonts w:ascii="Times New Roman" w:hAnsi="Times New Roman" w:cs="Times New Roman"/>
                <w:sz w:val="24"/>
                <w:szCs w:val="24"/>
              </w:rPr>
              <w:t>263</w:t>
            </w:r>
          </w:p>
        </w:tc>
        <w:tc>
          <w:tcPr>
            <w:tcW w:w="2367" w:type="dxa"/>
            <w:tcBorders>
              <w:top w:val="nil"/>
              <w:left w:val="nil"/>
              <w:bottom w:val="nil"/>
              <w:right w:val="nil"/>
            </w:tcBorders>
          </w:tcPr>
          <w:p w:rsidR="00EF3C3E" w:rsidRDefault="00EF3C3E"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0,3%</w:t>
            </w:r>
          </w:p>
        </w:tc>
        <w:tc>
          <w:tcPr>
            <w:tcW w:w="2367" w:type="dxa"/>
            <w:tcBorders>
              <w:top w:val="nil"/>
              <w:left w:val="nil"/>
              <w:bottom w:val="nil"/>
              <w:right w:val="nil"/>
            </w:tcBorders>
          </w:tcPr>
          <w:p w:rsidR="00EF3C3E" w:rsidRDefault="00EF3C3E" w:rsidP="00EF3C3E">
            <w:pPr>
              <w:pStyle w:val="Vienkrsteksts"/>
              <w:jc w:val="center"/>
              <w:rPr>
                <w:rFonts w:ascii="Times New Roman" w:hAnsi="Times New Roman" w:cs="Times New Roman"/>
                <w:sz w:val="24"/>
                <w:szCs w:val="24"/>
              </w:rPr>
            </w:pPr>
          </w:p>
        </w:tc>
      </w:tr>
      <w:tr w:rsidR="00EF3C3E" w:rsidTr="00EF3C3E">
        <w:tc>
          <w:tcPr>
            <w:tcW w:w="2518" w:type="dxa"/>
            <w:tcBorders>
              <w:top w:val="nil"/>
              <w:left w:val="nil"/>
              <w:bottom w:val="nil"/>
              <w:right w:val="nil"/>
            </w:tcBorders>
          </w:tcPr>
          <w:p w:rsidR="00EF3C3E" w:rsidRDefault="00EF3C3E"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Grieķija*</w:t>
            </w:r>
          </w:p>
        </w:tc>
        <w:tc>
          <w:tcPr>
            <w:tcW w:w="2201" w:type="dxa"/>
            <w:tcBorders>
              <w:top w:val="nil"/>
              <w:left w:val="nil"/>
              <w:bottom w:val="nil"/>
              <w:right w:val="nil"/>
            </w:tcBorders>
          </w:tcPr>
          <w:p w:rsidR="00EF3C3E" w:rsidRDefault="00EF3C3E"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4</w:t>
            </w:r>
            <w:r>
              <w:rPr>
                <w:rFonts w:ascii="Times New Roman" w:hAnsi="Times New Roman" w:cs="Times New Roman"/>
                <w:sz w:val="24"/>
                <w:szCs w:val="24"/>
              </w:rPr>
              <w:t> </w:t>
            </w:r>
            <w:r w:rsidRPr="00FB5BC4">
              <w:rPr>
                <w:rFonts w:ascii="Times New Roman" w:hAnsi="Times New Roman" w:cs="Times New Roman"/>
                <w:sz w:val="24"/>
                <w:szCs w:val="24"/>
              </w:rPr>
              <w:t>606</w:t>
            </w:r>
          </w:p>
        </w:tc>
        <w:tc>
          <w:tcPr>
            <w:tcW w:w="2367" w:type="dxa"/>
            <w:tcBorders>
              <w:top w:val="nil"/>
              <w:left w:val="nil"/>
              <w:bottom w:val="nil"/>
              <w:right w:val="nil"/>
            </w:tcBorders>
          </w:tcPr>
          <w:p w:rsidR="00EF3C3E" w:rsidRDefault="00EF3C3E"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0,3%</w:t>
            </w:r>
          </w:p>
        </w:tc>
        <w:tc>
          <w:tcPr>
            <w:tcW w:w="2367" w:type="dxa"/>
            <w:tcBorders>
              <w:top w:val="nil"/>
              <w:left w:val="nil"/>
              <w:bottom w:val="nil"/>
              <w:right w:val="nil"/>
            </w:tcBorders>
          </w:tcPr>
          <w:p w:rsidR="00EF3C3E" w:rsidRDefault="00EF3C3E" w:rsidP="00EF3C3E">
            <w:pPr>
              <w:pStyle w:val="Vienkrsteksts"/>
              <w:jc w:val="center"/>
              <w:rPr>
                <w:rFonts w:ascii="Times New Roman" w:hAnsi="Times New Roman" w:cs="Times New Roman"/>
                <w:sz w:val="24"/>
                <w:szCs w:val="24"/>
              </w:rPr>
            </w:pPr>
          </w:p>
        </w:tc>
      </w:tr>
      <w:tr w:rsidR="00EF3C3E" w:rsidTr="00EF3C3E">
        <w:tc>
          <w:tcPr>
            <w:tcW w:w="2518" w:type="dxa"/>
            <w:tcBorders>
              <w:top w:val="nil"/>
              <w:left w:val="nil"/>
              <w:bottom w:val="single" w:sz="4" w:space="0" w:color="auto"/>
              <w:right w:val="nil"/>
            </w:tcBorders>
          </w:tcPr>
          <w:p w:rsidR="00EF3C3E" w:rsidRDefault="00EF3C3E"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Islande</w:t>
            </w:r>
          </w:p>
        </w:tc>
        <w:tc>
          <w:tcPr>
            <w:tcW w:w="2201" w:type="dxa"/>
            <w:tcBorders>
              <w:top w:val="nil"/>
              <w:left w:val="nil"/>
              <w:bottom w:val="single" w:sz="4" w:space="0" w:color="auto"/>
              <w:right w:val="nil"/>
            </w:tcBorders>
          </w:tcPr>
          <w:p w:rsidR="00EF3C3E" w:rsidRDefault="00EF3C3E"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949</w:t>
            </w:r>
          </w:p>
        </w:tc>
        <w:tc>
          <w:tcPr>
            <w:tcW w:w="2367" w:type="dxa"/>
            <w:tcBorders>
              <w:top w:val="nil"/>
              <w:left w:val="nil"/>
              <w:bottom w:val="single" w:sz="4" w:space="0" w:color="auto"/>
              <w:right w:val="nil"/>
            </w:tcBorders>
          </w:tcPr>
          <w:p w:rsidR="00EF3C3E" w:rsidRDefault="00EF3C3E" w:rsidP="00EF3C3E">
            <w:pPr>
              <w:pStyle w:val="Vienkrsteksts"/>
              <w:jc w:val="center"/>
              <w:rPr>
                <w:rFonts w:ascii="Times New Roman" w:hAnsi="Times New Roman" w:cs="Times New Roman"/>
                <w:sz w:val="24"/>
                <w:szCs w:val="24"/>
              </w:rPr>
            </w:pPr>
            <w:r w:rsidRPr="00FB5BC4">
              <w:rPr>
                <w:rFonts w:ascii="Times New Roman" w:hAnsi="Times New Roman" w:cs="Times New Roman"/>
                <w:sz w:val="24"/>
                <w:szCs w:val="24"/>
              </w:rPr>
              <w:t>0,1%</w:t>
            </w:r>
          </w:p>
        </w:tc>
        <w:tc>
          <w:tcPr>
            <w:tcW w:w="2367" w:type="dxa"/>
            <w:tcBorders>
              <w:top w:val="nil"/>
              <w:left w:val="nil"/>
              <w:bottom w:val="single" w:sz="4" w:space="0" w:color="auto"/>
              <w:right w:val="nil"/>
            </w:tcBorders>
          </w:tcPr>
          <w:p w:rsidR="00EF3C3E" w:rsidRDefault="00EF3C3E" w:rsidP="00EF3C3E">
            <w:pPr>
              <w:pStyle w:val="Vienkrsteksts"/>
              <w:jc w:val="center"/>
              <w:rPr>
                <w:rFonts w:ascii="Times New Roman" w:hAnsi="Times New Roman" w:cs="Times New Roman"/>
                <w:sz w:val="24"/>
                <w:szCs w:val="24"/>
              </w:rPr>
            </w:pPr>
          </w:p>
        </w:tc>
      </w:tr>
      <w:tr w:rsidR="00EF3C3E" w:rsidRPr="00EF3C3E" w:rsidTr="00EF3C3E">
        <w:tc>
          <w:tcPr>
            <w:tcW w:w="2518" w:type="dxa"/>
            <w:tcBorders>
              <w:left w:val="nil"/>
              <w:bottom w:val="single" w:sz="18" w:space="0" w:color="auto"/>
              <w:right w:val="nil"/>
            </w:tcBorders>
          </w:tcPr>
          <w:p w:rsidR="00EF3C3E" w:rsidRPr="00EF3C3E" w:rsidRDefault="00EF3C3E" w:rsidP="00EF3C3E">
            <w:pPr>
              <w:pStyle w:val="Vienkrsteksts"/>
              <w:rPr>
                <w:rFonts w:ascii="Times New Roman" w:hAnsi="Times New Roman" w:cs="Times New Roman"/>
                <w:b/>
                <w:sz w:val="24"/>
                <w:szCs w:val="24"/>
              </w:rPr>
            </w:pPr>
            <w:r w:rsidRPr="00EF3C3E">
              <w:rPr>
                <w:rFonts w:ascii="Times New Roman" w:hAnsi="Times New Roman" w:cs="Times New Roman"/>
                <w:b/>
                <w:sz w:val="24"/>
                <w:szCs w:val="24"/>
              </w:rPr>
              <w:t xml:space="preserve">ESAO kopā </w:t>
            </w:r>
          </w:p>
          <w:p w:rsidR="00EF3C3E" w:rsidRPr="00EF3C3E" w:rsidRDefault="00EF3C3E" w:rsidP="006C17FE">
            <w:pPr>
              <w:pStyle w:val="Vienkrsteksts"/>
              <w:jc w:val="center"/>
              <w:rPr>
                <w:rFonts w:ascii="Times New Roman" w:hAnsi="Times New Roman" w:cs="Times New Roman"/>
                <w:b/>
                <w:sz w:val="24"/>
                <w:szCs w:val="24"/>
              </w:rPr>
            </w:pPr>
          </w:p>
        </w:tc>
        <w:tc>
          <w:tcPr>
            <w:tcW w:w="2201" w:type="dxa"/>
            <w:tcBorders>
              <w:left w:val="nil"/>
              <w:bottom w:val="single" w:sz="18" w:space="0" w:color="auto"/>
              <w:right w:val="nil"/>
            </w:tcBorders>
          </w:tcPr>
          <w:p w:rsidR="00EF3C3E" w:rsidRPr="00EF3C3E" w:rsidRDefault="00EF3C3E" w:rsidP="006C17FE">
            <w:pPr>
              <w:pStyle w:val="Vienkrsteksts"/>
              <w:jc w:val="center"/>
              <w:rPr>
                <w:rFonts w:ascii="Times New Roman" w:hAnsi="Times New Roman" w:cs="Times New Roman"/>
                <w:b/>
                <w:sz w:val="24"/>
                <w:szCs w:val="24"/>
              </w:rPr>
            </w:pPr>
            <w:r w:rsidRPr="00EF3C3E">
              <w:rPr>
                <w:rFonts w:ascii="Times New Roman" w:hAnsi="Times New Roman" w:cs="Times New Roman"/>
                <w:b/>
                <w:sz w:val="24"/>
                <w:szCs w:val="24"/>
              </w:rPr>
              <w:t>1 801 661</w:t>
            </w:r>
          </w:p>
        </w:tc>
        <w:tc>
          <w:tcPr>
            <w:tcW w:w="2367" w:type="dxa"/>
            <w:tcBorders>
              <w:left w:val="nil"/>
              <w:bottom w:val="single" w:sz="18" w:space="0" w:color="auto"/>
              <w:right w:val="nil"/>
            </w:tcBorders>
          </w:tcPr>
          <w:p w:rsidR="00EF3C3E" w:rsidRPr="00EF3C3E" w:rsidRDefault="00EF3C3E" w:rsidP="006C17FE">
            <w:pPr>
              <w:pStyle w:val="Vienkrsteksts"/>
              <w:jc w:val="center"/>
              <w:rPr>
                <w:rFonts w:ascii="Times New Roman" w:hAnsi="Times New Roman" w:cs="Times New Roman"/>
                <w:b/>
                <w:sz w:val="24"/>
                <w:szCs w:val="24"/>
              </w:rPr>
            </w:pPr>
            <w:r w:rsidRPr="00EF3C3E">
              <w:rPr>
                <w:rFonts w:ascii="Times New Roman" w:hAnsi="Times New Roman" w:cs="Times New Roman"/>
                <w:b/>
                <w:sz w:val="24"/>
                <w:szCs w:val="24"/>
              </w:rPr>
              <w:t>100%</w:t>
            </w:r>
          </w:p>
        </w:tc>
        <w:tc>
          <w:tcPr>
            <w:tcW w:w="2367" w:type="dxa"/>
            <w:tcBorders>
              <w:left w:val="nil"/>
              <w:bottom w:val="single" w:sz="18" w:space="0" w:color="auto"/>
              <w:right w:val="nil"/>
            </w:tcBorders>
          </w:tcPr>
          <w:p w:rsidR="00EF3C3E" w:rsidRPr="00EF3C3E" w:rsidRDefault="00EF3C3E" w:rsidP="006C17FE">
            <w:pPr>
              <w:pStyle w:val="Vienkrsteksts"/>
              <w:jc w:val="center"/>
              <w:rPr>
                <w:rFonts w:ascii="Times New Roman" w:hAnsi="Times New Roman" w:cs="Times New Roman"/>
                <w:b/>
                <w:sz w:val="24"/>
                <w:szCs w:val="24"/>
              </w:rPr>
            </w:pPr>
          </w:p>
        </w:tc>
      </w:tr>
    </w:tbl>
    <w:p w:rsidR="00B10BE0" w:rsidRPr="00EF3C3E" w:rsidRDefault="00B10BE0" w:rsidP="00501160">
      <w:pPr>
        <w:pStyle w:val="Vienkrsteksts"/>
        <w:rPr>
          <w:rFonts w:ascii="Times New Roman" w:hAnsi="Times New Roman" w:cs="Times New Roman"/>
          <w:sz w:val="20"/>
          <w:szCs w:val="20"/>
        </w:rPr>
      </w:pPr>
      <w:r w:rsidRPr="00EF3C3E">
        <w:rPr>
          <w:rFonts w:ascii="Times New Roman" w:hAnsi="Times New Roman" w:cs="Times New Roman"/>
          <w:i/>
          <w:sz w:val="20"/>
          <w:szCs w:val="20"/>
        </w:rPr>
        <w:t xml:space="preserve"> Piezīmes: </w:t>
      </w:r>
      <w:r w:rsidRPr="00EF3C3E">
        <w:rPr>
          <w:rFonts w:ascii="Times New Roman" w:hAnsi="Times New Roman" w:cs="Times New Roman"/>
          <w:sz w:val="20"/>
          <w:szCs w:val="20"/>
        </w:rPr>
        <w:t xml:space="preserve">* 1990.-1995.; **1991.-1996.; ***1993.-1996. </w:t>
      </w:r>
    </w:p>
    <w:p w:rsidR="00B10BE0" w:rsidRPr="00EF3C3E" w:rsidRDefault="00B10BE0" w:rsidP="00501160">
      <w:pPr>
        <w:pStyle w:val="Vienkrsteksts"/>
        <w:rPr>
          <w:rFonts w:ascii="Times New Roman" w:hAnsi="Times New Roman" w:cs="Times New Roman"/>
          <w:i/>
          <w:sz w:val="20"/>
          <w:szCs w:val="20"/>
        </w:rPr>
      </w:pPr>
      <w:r w:rsidRPr="00EF3C3E">
        <w:rPr>
          <w:rFonts w:ascii="Times New Roman" w:hAnsi="Times New Roman" w:cs="Times New Roman"/>
          <w:i/>
          <w:sz w:val="20"/>
          <w:szCs w:val="20"/>
        </w:rPr>
        <w:t xml:space="preserve">Avots: </w:t>
      </w:r>
      <w:r w:rsidRPr="00EF3C3E">
        <w:rPr>
          <w:rFonts w:ascii="Times New Roman" w:hAnsi="Times New Roman" w:cs="Times New Roman"/>
          <w:sz w:val="20"/>
          <w:szCs w:val="20"/>
        </w:rPr>
        <w:t>ESAO, (1) SVF</w:t>
      </w:r>
      <w:r w:rsidRPr="00EF3C3E">
        <w:rPr>
          <w:rFonts w:ascii="Times New Roman" w:hAnsi="Times New Roman" w:cs="Times New Roman"/>
          <w:i/>
          <w:sz w:val="20"/>
          <w:szCs w:val="20"/>
        </w:rPr>
        <w:t xml:space="preserve"> </w:t>
      </w:r>
    </w:p>
    <w:p w:rsidR="00B10BE0" w:rsidRPr="00EF3C3E" w:rsidRDefault="00B10BE0" w:rsidP="00501160">
      <w:pPr>
        <w:pStyle w:val="Vienkrsteksts"/>
        <w:rPr>
          <w:rFonts w:ascii="Times New Roman" w:hAnsi="Times New Roman" w:cs="Times New Roman"/>
          <w:i/>
          <w:sz w:val="20"/>
          <w:szCs w:val="20"/>
        </w:rPr>
      </w:pPr>
    </w:p>
    <w:p w:rsidR="00B10BE0" w:rsidRPr="00FB5BC4" w:rsidRDefault="00B10BE0" w:rsidP="00EF3C3E">
      <w:pPr>
        <w:pStyle w:val="Vienkrsteksts"/>
        <w:jc w:val="both"/>
        <w:rPr>
          <w:rFonts w:ascii="Times New Roman" w:hAnsi="Times New Roman" w:cs="Times New Roman"/>
          <w:sz w:val="24"/>
          <w:szCs w:val="24"/>
        </w:rPr>
      </w:pPr>
      <w:r w:rsidRPr="00EF3C3E">
        <w:rPr>
          <w:rFonts w:ascii="Times New Roman" w:hAnsi="Times New Roman" w:cs="Times New Roman"/>
          <w:i/>
          <w:sz w:val="20"/>
          <w:szCs w:val="20"/>
        </w:rPr>
        <w:t xml:space="preserve">Attiecībā uz Beļģiju – Luksemburgu: Tirdzniecības statistika par Beļģiju un Luksemburgu ir pieejama tikai par abām valstīm kopā. Konvencijas 15. panta 1. punkta izpratnē, ja kāda no šīm divām valstīm iesniedz savu dokumentu, kas apliecina pieņemšanu, apstiprināšanu vai ratificēšanu, vai ja abas gan Beļģija, gan Luksemburga iesniedz savus apstiprināšanas, pieņemšanas vai ratificēšanas dokumentus, tiek uzskatīts, ka viena no valstīm, kura ir iekļauta desmit lielāko eksportētāju sarakstā, ir iesniegusi savu apliecinošo dokumentu, un abu valstu kopējais eksporta apjoms tiks ieskaitīts 60% no kopējā eksporta apjoma, ko realizē šīs desmit valstis, kas saskaņā ar šo normu ir nepieciešami, lai Konvencija stātos likumīgā spēkā. </w:t>
      </w:r>
    </w:p>
    <w:sectPr w:rsidR="00B10BE0" w:rsidRPr="00FB5BC4" w:rsidSect="00B63451">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7FE" w:rsidRDefault="006C17FE" w:rsidP="006C17FE">
      <w:pPr>
        <w:spacing w:after="0" w:line="240" w:lineRule="auto"/>
      </w:pPr>
      <w:r>
        <w:separator/>
      </w:r>
    </w:p>
  </w:endnote>
  <w:endnote w:type="continuationSeparator" w:id="0">
    <w:p w:rsidR="006C17FE" w:rsidRDefault="006C17FE" w:rsidP="006C1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7FE" w:rsidRDefault="00153FD1" w:rsidP="008735C2">
    <w:pPr>
      <w:pStyle w:val="Kjene"/>
    </w:pPr>
    <w:r w:rsidRPr="00153FD1">
      <w:rPr>
        <w:rFonts w:ascii="Times New Roman" w:eastAsia="Times New Roman" w:hAnsi="Times New Roman" w:cs="Times New Roman"/>
        <w:sz w:val="20"/>
        <w:szCs w:val="24"/>
      </w:rPr>
      <w:t>TM</w:t>
    </w:r>
    <w:r w:rsidR="008735C2">
      <w:rPr>
        <w:rFonts w:ascii="Times New Roman" w:eastAsia="Times New Roman" w:hAnsi="Times New Roman" w:cs="Times New Roman"/>
        <w:sz w:val="20"/>
        <w:szCs w:val="24"/>
      </w:rPr>
      <w:t>S</w:t>
    </w:r>
    <w:r>
      <w:rPr>
        <w:rFonts w:ascii="Times New Roman" w:eastAsia="Times New Roman" w:hAnsi="Times New Roman" w:cs="Times New Roman"/>
        <w:sz w:val="20"/>
        <w:szCs w:val="24"/>
      </w:rPr>
      <w:t>l</w:t>
    </w:r>
    <w:r w:rsidRPr="00153FD1">
      <w:rPr>
        <w:rFonts w:ascii="Times New Roman" w:eastAsia="Times New Roman" w:hAnsi="Times New Roman" w:cs="Times New Roman"/>
        <w:sz w:val="20"/>
        <w:szCs w:val="24"/>
      </w:rPr>
      <w:t>_</w:t>
    </w:r>
    <w:r w:rsidR="00B63451">
      <w:rPr>
        <w:rFonts w:ascii="Times New Roman" w:eastAsia="Times New Roman" w:hAnsi="Times New Roman" w:cs="Times New Roman"/>
        <w:sz w:val="20"/>
        <w:szCs w:val="24"/>
      </w:rPr>
      <w:t>27</w:t>
    </w:r>
    <w:r>
      <w:rPr>
        <w:rFonts w:ascii="Times New Roman" w:eastAsia="Times New Roman" w:hAnsi="Times New Roman" w:cs="Times New Roman"/>
        <w:sz w:val="20"/>
        <w:szCs w:val="24"/>
      </w:rPr>
      <w:t>12</w:t>
    </w:r>
    <w:r w:rsidRPr="00153FD1">
      <w:rPr>
        <w:rFonts w:ascii="Times New Roman" w:eastAsia="Times New Roman" w:hAnsi="Times New Roman" w:cs="Times New Roman"/>
        <w:sz w:val="20"/>
        <w:szCs w:val="24"/>
      </w:rPr>
      <w:t>13</w:t>
    </w:r>
    <w:r w:rsidR="008735C2">
      <w:rPr>
        <w:rFonts w:ascii="Times New Roman" w:eastAsia="Times New Roman" w:hAnsi="Times New Roman" w:cs="Times New Roman"/>
        <w:sz w:val="20"/>
        <w:szCs w:val="24"/>
      </w:rPr>
      <w:t>_oedc_konv</w:t>
    </w:r>
    <w:r w:rsidRPr="00153FD1">
      <w:rPr>
        <w:rFonts w:ascii="Times New Roman" w:eastAsia="Times New Roman" w:hAnsi="Times New Roman" w:cs="Times New Roman"/>
        <w:sz w:val="20"/>
        <w:szCs w:val="24"/>
      </w:rPr>
      <w:t>;</w:t>
    </w:r>
    <w:r w:rsidRPr="00153FD1">
      <w:rPr>
        <w:rFonts w:ascii="Times New Roman" w:eastAsia="Times New Roman" w:hAnsi="Times New Roman" w:cs="Times New Roman"/>
        <w:bCs/>
        <w:noProof/>
        <w:sz w:val="20"/>
        <w:szCs w:val="24"/>
      </w:rPr>
      <w:t xml:space="preserve"> </w:t>
    </w:r>
    <w:r w:rsidRPr="00153FD1">
      <w:rPr>
        <w:rFonts w:ascii="Times New Roman" w:eastAsia="Times New Roman" w:hAnsi="Times New Roman" w:cs="Times New Roman"/>
        <w:noProof/>
        <w:sz w:val="20"/>
        <w:szCs w:val="24"/>
      </w:rPr>
      <w:t>Konvencij</w:t>
    </w:r>
    <w:r>
      <w:rPr>
        <w:rFonts w:ascii="Times New Roman" w:eastAsia="Times New Roman" w:hAnsi="Times New Roman" w:cs="Times New Roman"/>
        <w:noProof/>
        <w:sz w:val="20"/>
        <w:szCs w:val="24"/>
      </w:rPr>
      <w:t>a</w:t>
    </w:r>
    <w:r w:rsidRPr="00153FD1">
      <w:rPr>
        <w:rFonts w:ascii="Times New Roman" w:eastAsia="Times New Roman" w:hAnsi="Times New Roman" w:cs="Times New Roman"/>
        <w:noProof/>
        <w:sz w:val="20"/>
        <w:szCs w:val="24"/>
      </w:rPr>
      <w:t xml:space="preserve"> par ārvalstu amatpersonu kukuļošanas apkarošanu starptautiskajos biznesa darījumos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43B" w:rsidRDefault="002C143B" w:rsidP="00B63451">
    <w:pPr>
      <w:jc w:val="both"/>
    </w:pPr>
    <w:r w:rsidRPr="00153FD1">
      <w:rPr>
        <w:rFonts w:ascii="Times New Roman" w:eastAsia="Times New Roman" w:hAnsi="Times New Roman" w:cs="Times New Roman"/>
        <w:sz w:val="20"/>
        <w:szCs w:val="24"/>
      </w:rPr>
      <w:t>TM</w:t>
    </w:r>
    <w:r w:rsidR="008735C2">
      <w:rPr>
        <w:rFonts w:ascii="Times New Roman" w:eastAsia="Times New Roman" w:hAnsi="Times New Roman" w:cs="Times New Roman"/>
        <w:sz w:val="20"/>
        <w:szCs w:val="24"/>
      </w:rPr>
      <w:t>S</w:t>
    </w:r>
    <w:r>
      <w:rPr>
        <w:rFonts w:ascii="Times New Roman" w:eastAsia="Times New Roman" w:hAnsi="Times New Roman" w:cs="Times New Roman"/>
        <w:sz w:val="20"/>
        <w:szCs w:val="24"/>
      </w:rPr>
      <w:t>l</w:t>
    </w:r>
    <w:r w:rsidRPr="00153FD1">
      <w:rPr>
        <w:rFonts w:ascii="Times New Roman" w:eastAsia="Times New Roman" w:hAnsi="Times New Roman" w:cs="Times New Roman"/>
        <w:sz w:val="20"/>
        <w:szCs w:val="24"/>
      </w:rPr>
      <w:t>_</w:t>
    </w:r>
    <w:r w:rsidR="00B63451">
      <w:rPr>
        <w:rFonts w:ascii="Times New Roman" w:eastAsia="Times New Roman" w:hAnsi="Times New Roman" w:cs="Times New Roman"/>
        <w:sz w:val="20"/>
        <w:szCs w:val="24"/>
      </w:rPr>
      <w:t>27</w:t>
    </w:r>
    <w:r>
      <w:rPr>
        <w:rFonts w:ascii="Times New Roman" w:eastAsia="Times New Roman" w:hAnsi="Times New Roman" w:cs="Times New Roman"/>
        <w:sz w:val="20"/>
        <w:szCs w:val="24"/>
      </w:rPr>
      <w:t>12</w:t>
    </w:r>
    <w:r w:rsidRPr="00153FD1">
      <w:rPr>
        <w:rFonts w:ascii="Times New Roman" w:eastAsia="Times New Roman" w:hAnsi="Times New Roman" w:cs="Times New Roman"/>
        <w:sz w:val="20"/>
        <w:szCs w:val="24"/>
      </w:rPr>
      <w:t>13</w:t>
    </w:r>
    <w:r w:rsidR="008735C2">
      <w:rPr>
        <w:rFonts w:ascii="Times New Roman" w:eastAsia="Times New Roman" w:hAnsi="Times New Roman" w:cs="Times New Roman"/>
        <w:sz w:val="20"/>
        <w:szCs w:val="24"/>
      </w:rPr>
      <w:t>_oecd_konv</w:t>
    </w:r>
    <w:r w:rsidRPr="00153FD1">
      <w:rPr>
        <w:rFonts w:ascii="Times New Roman" w:eastAsia="Times New Roman" w:hAnsi="Times New Roman" w:cs="Times New Roman"/>
        <w:sz w:val="20"/>
        <w:szCs w:val="24"/>
      </w:rPr>
      <w:t>;</w:t>
    </w:r>
    <w:r w:rsidRPr="00153FD1">
      <w:rPr>
        <w:rFonts w:ascii="Times New Roman" w:eastAsia="Times New Roman" w:hAnsi="Times New Roman" w:cs="Times New Roman"/>
        <w:bCs/>
        <w:noProof/>
        <w:sz w:val="20"/>
        <w:szCs w:val="24"/>
      </w:rPr>
      <w:t xml:space="preserve"> </w:t>
    </w:r>
    <w:r w:rsidRPr="00153FD1">
      <w:rPr>
        <w:rFonts w:ascii="Times New Roman" w:eastAsia="Times New Roman" w:hAnsi="Times New Roman" w:cs="Times New Roman"/>
        <w:noProof/>
        <w:sz w:val="20"/>
        <w:szCs w:val="24"/>
      </w:rPr>
      <w:t>Konvencij</w:t>
    </w:r>
    <w:r>
      <w:rPr>
        <w:rFonts w:ascii="Times New Roman" w:eastAsia="Times New Roman" w:hAnsi="Times New Roman" w:cs="Times New Roman"/>
        <w:noProof/>
        <w:sz w:val="20"/>
        <w:szCs w:val="24"/>
      </w:rPr>
      <w:t>a</w:t>
    </w:r>
    <w:r w:rsidRPr="00153FD1">
      <w:rPr>
        <w:rFonts w:ascii="Times New Roman" w:eastAsia="Times New Roman" w:hAnsi="Times New Roman" w:cs="Times New Roman"/>
        <w:noProof/>
        <w:sz w:val="20"/>
        <w:szCs w:val="24"/>
      </w:rPr>
      <w:t xml:space="preserve"> par ārvalstu amatpersonu kukuļošanas apkarošanu starptautiskajos biznesa darījumos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7FE" w:rsidRDefault="006C17FE" w:rsidP="006C17FE">
      <w:pPr>
        <w:spacing w:after="0" w:line="240" w:lineRule="auto"/>
      </w:pPr>
      <w:r>
        <w:separator/>
      </w:r>
    </w:p>
  </w:footnote>
  <w:footnote w:type="continuationSeparator" w:id="0">
    <w:p w:rsidR="006C17FE" w:rsidRDefault="006C17FE" w:rsidP="006C1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917209"/>
      <w:docPartObj>
        <w:docPartGallery w:val="Page Numbers (Top of Page)"/>
        <w:docPartUnique/>
      </w:docPartObj>
    </w:sdtPr>
    <w:sdtEndPr/>
    <w:sdtContent>
      <w:p w:rsidR="001B2D98" w:rsidRDefault="001B2D98">
        <w:pPr>
          <w:pStyle w:val="Galvene"/>
          <w:jc w:val="center"/>
        </w:pPr>
        <w:r>
          <w:fldChar w:fldCharType="begin"/>
        </w:r>
        <w:r>
          <w:instrText>PAGE   \* MERGEFORMAT</w:instrText>
        </w:r>
        <w:r>
          <w:fldChar w:fldCharType="separate"/>
        </w:r>
        <w:r w:rsidR="001B7157">
          <w:rPr>
            <w:noProof/>
          </w:rPr>
          <w:t>7</w:t>
        </w:r>
        <w:r>
          <w:fldChar w:fldCharType="end"/>
        </w:r>
      </w:p>
    </w:sdtContent>
  </w:sdt>
  <w:p w:rsidR="001B2D98" w:rsidRDefault="001B2D9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E6A"/>
    <w:multiLevelType w:val="hybridMultilevel"/>
    <w:tmpl w:val="529478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6E929B4"/>
    <w:multiLevelType w:val="hybridMultilevel"/>
    <w:tmpl w:val="24764A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0D77E33"/>
    <w:multiLevelType w:val="hybridMultilevel"/>
    <w:tmpl w:val="1CA2CC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17A2F26"/>
    <w:multiLevelType w:val="hybridMultilevel"/>
    <w:tmpl w:val="A4F861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A240469"/>
    <w:multiLevelType w:val="hybridMultilevel"/>
    <w:tmpl w:val="9CDAD1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70C34DB"/>
    <w:multiLevelType w:val="hybridMultilevel"/>
    <w:tmpl w:val="CF16F9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A540000"/>
    <w:multiLevelType w:val="hybridMultilevel"/>
    <w:tmpl w:val="26C845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0171F20"/>
    <w:multiLevelType w:val="hybridMultilevel"/>
    <w:tmpl w:val="CED689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2441897"/>
    <w:multiLevelType w:val="hybridMultilevel"/>
    <w:tmpl w:val="BE80B6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D5D4DBF"/>
    <w:multiLevelType w:val="hybridMultilevel"/>
    <w:tmpl w:val="72022F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2EE6531"/>
    <w:multiLevelType w:val="hybridMultilevel"/>
    <w:tmpl w:val="84EE16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3264DA8"/>
    <w:multiLevelType w:val="hybridMultilevel"/>
    <w:tmpl w:val="C456A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7636936"/>
    <w:multiLevelType w:val="hybridMultilevel"/>
    <w:tmpl w:val="4A66BFA8"/>
    <w:lvl w:ilvl="0" w:tplc="D4C4F8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7B862140"/>
    <w:multiLevelType w:val="hybridMultilevel"/>
    <w:tmpl w:val="34C6DF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7"/>
  </w:num>
  <w:num w:numId="5">
    <w:abstractNumId w:val="4"/>
  </w:num>
  <w:num w:numId="6">
    <w:abstractNumId w:val="2"/>
  </w:num>
  <w:num w:numId="7">
    <w:abstractNumId w:val="6"/>
  </w:num>
  <w:num w:numId="8">
    <w:abstractNumId w:val="12"/>
  </w:num>
  <w:num w:numId="9">
    <w:abstractNumId w:val="11"/>
  </w:num>
  <w:num w:numId="10">
    <w:abstractNumId w:val="1"/>
  </w:num>
  <w:num w:numId="11">
    <w:abstractNumId w:val="0"/>
  </w:num>
  <w:num w:numId="12">
    <w:abstractNumId w:val="9"/>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1C"/>
    <w:rsid w:val="000815DB"/>
    <w:rsid w:val="000C182B"/>
    <w:rsid w:val="00150952"/>
    <w:rsid w:val="00153FD1"/>
    <w:rsid w:val="001B2D98"/>
    <w:rsid w:val="001B7157"/>
    <w:rsid w:val="001B7B4F"/>
    <w:rsid w:val="001F36B5"/>
    <w:rsid w:val="00222A27"/>
    <w:rsid w:val="00255898"/>
    <w:rsid w:val="002C143B"/>
    <w:rsid w:val="00313E67"/>
    <w:rsid w:val="00326279"/>
    <w:rsid w:val="003517C0"/>
    <w:rsid w:val="0039373F"/>
    <w:rsid w:val="003B0BE2"/>
    <w:rsid w:val="003C054E"/>
    <w:rsid w:val="00565DAF"/>
    <w:rsid w:val="00574D7A"/>
    <w:rsid w:val="0058324B"/>
    <w:rsid w:val="005B341C"/>
    <w:rsid w:val="00603DB8"/>
    <w:rsid w:val="0061473F"/>
    <w:rsid w:val="006C17FE"/>
    <w:rsid w:val="008735C2"/>
    <w:rsid w:val="008D18CC"/>
    <w:rsid w:val="00935B1F"/>
    <w:rsid w:val="009B448E"/>
    <w:rsid w:val="00A560DC"/>
    <w:rsid w:val="00B10BE0"/>
    <w:rsid w:val="00B20330"/>
    <w:rsid w:val="00B63451"/>
    <w:rsid w:val="00B8787E"/>
    <w:rsid w:val="00C03119"/>
    <w:rsid w:val="00C86E84"/>
    <w:rsid w:val="00CF4079"/>
    <w:rsid w:val="00D8631E"/>
    <w:rsid w:val="00DB67BB"/>
    <w:rsid w:val="00EF3C3E"/>
    <w:rsid w:val="00F225B6"/>
    <w:rsid w:val="00FB5B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C143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ienkrsteksts">
    <w:name w:val="Plain Text"/>
    <w:basedOn w:val="Parasts"/>
    <w:link w:val="VienkrstekstsRakstz"/>
    <w:uiPriority w:val="99"/>
    <w:unhideWhenUsed/>
    <w:rsid w:val="00501160"/>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uiPriority w:val="99"/>
    <w:rsid w:val="00501160"/>
    <w:rPr>
      <w:rFonts w:ascii="Consolas" w:hAnsi="Consolas"/>
      <w:sz w:val="21"/>
      <w:szCs w:val="21"/>
    </w:rPr>
  </w:style>
  <w:style w:type="paragraph" w:styleId="Galvene">
    <w:name w:val="header"/>
    <w:basedOn w:val="Parasts"/>
    <w:link w:val="GalveneRakstz"/>
    <w:uiPriority w:val="99"/>
    <w:unhideWhenUsed/>
    <w:rsid w:val="006C17F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C17FE"/>
  </w:style>
  <w:style w:type="paragraph" w:styleId="Kjene">
    <w:name w:val="footer"/>
    <w:basedOn w:val="Parasts"/>
    <w:link w:val="KjeneRakstz"/>
    <w:uiPriority w:val="99"/>
    <w:unhideWhenUsed/>
    <w:rsid w:val="006C17F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C17FE"/>
  </w:style>
  <w:style w:type="paragraph" w:styleId="Sarakstarindkopa">
    <w:name w:val="List Paragraph"/>
    <w:basedOn w:val="Parasts"/>
    <w:uiPriority w:val="34"/>
    <w:qFormat/>
    <w:rsid w:val="00935B1F"/>
    <w:pPr>
      <w:ind w:left="720"/>
      <w:contextualSpacing/>
    </w:pPr>
  </w:style>
  <w:style w:type="paragraph" w:styleId="Balonteksts">
    <w:name w:val="Balloon Text"/>
    <w:basedOn w:val="Parasts"/>
    <w:link w:val="BalontekstsRakstz"/>
    <w:uiPriority w:val="99"/>
    <w:semiHidden/>
    <w:unhideWhenUsed/>
    <w:rsid w:val="00603DB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03DB8"/>
    <w:rPr>
      <w:rFonts w:ascii="Tahoma" w:hAnsi="Tahoma" w:cs="Tahoma"/>
      <w:sz w:val="16"/>
      <w:szCs w:val="16"/>
    </w:rPr>
  </w:style>
  <w:style w:type="table" w:styleId="Reatabula">
    <w:name w:val="Table Grid"/>
    <w:basedOn w:val="Parastatabula"/>
    <w:uiPriority w:val="59"/>
    <w:rsid w:val="00565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raatsauce">
    <w:name w:val="annotation reference"/>
    <w:basedOn w:val="Noklusjumarindkopasfonts"/>
    <w:uiPriority w:val="99"/>
    <w:semiHidden/>
    <w:unhideWhenUsed/>
    <w:rsid w:val="008D18CC"/>
    <w:rPr>
      <w:sz w:val="16"/>
      <w:szCs w:val="16"/>
    </w:rPr>
  </w:style>
  <w:style w:type="paragraph" w:styleId="Komentrateksts">
    <w:name w:val="annotation text"/>
    <w:basedOn w:val="Parasts"/>
    <w:link w:val="KomentratekstsRakstz"/>
    <w:uiPriority w:val="99"/>
    <w:semiHidden/>
    <w:unhideWhenUsed/>
    <w:rsid w:val="008D18C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D18CC"/>
    <w:rPr>
      <w:sz w:val="20"/>
      <w:szCs w:val="20"/>
    </w:rPr>
  </w:style>
  <w:style w:type="paragraph" w:styleId="Komentratma">
    <w:name w:val="annotation subject"/>
    <w:basedOn w:val="Komentrateksts"/>
    <w:next w:val="Komentrateksts"/>
    <w:link w:val="KomentratmaRakstz"/>
    <w:uiPriority w:val="99"/>
    <w:semiHidden/>
    <w:unhideWhenUsed/>
    <w:rsid w:val="008D18CC"/>
    <w:rPr>
      <w:b/>
      <w:bCs/>
    </w:rPr>
  </w:style>
  <w:style w:type="character" w:customStyle="1" w:styleId="KomentratmaRakstz">
    <w:name w:val="Komentāra tēma Rakstz."/>
    <w:basedOn w:val="KomentratekstsRakstz"/>
    <w:link w:val="Komentratma"/>
    <w:uiPriority w:val="99"/>
    <w:semiHidden/>
    <w:rsid w:val="008D18C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C143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ienkrsteksts">
    <w:name w:val="Plain Text"/>
    <w:basedOn w:val="Parasts"/>
    <w:link w:val="VienkrstekstsRakstz"/>
    <w:uiPriority w:val="99"/>
    <w:unhideWhenUsed/>
    <w:rsid w:val="00501160"/>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uiPriority w:val="99"/>
    <w:rsid w:val="00501160"/>
    <w:rPr>
      <w:rFonts w:ascii="Consolas" w:hAnsi="Consolas"/>
      <w:sz w:val="21"/>
      <w:szCs w:val="21"/>
    </w:rPr>
  </w:style>
  <w:style w:type="paragraph" w:styleId="Galvene">
    <w:name w:val="header"/>
    <w:basedOn w:val="Parasts"/>
    <w:link w:val="GalveneRakstz"/>
    <w:uiPriority w:val="99"/>
    <w:unhideWhenUsed/>
    <w:rsid w:val="006C17F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C17FE"/>
  </w:style>
  <w:style w:type="paragraph" w:styleId="Kjene">
    <w:name w:val="footer"/>
    <w:basedOn w:val="Parasts"/>
    <w:link w:val="KjeneRakstz"/>
    <w:uiPriority w:val="99"/>
    <w:unhideWhenUsed/>
    <w:rsid w:val="006C17F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C17FE"/>
  </w:style>
  <w:style w:type="paragraph" w:styleId="Sarakstarindkopa">
    <w:name w:val="List Paragraph"/>
    <w:basedOn w:val="Parasts"/>
    <w:uiPriority w:val="34"/>
    <w:qFormat/>
    <w:rsid w:val="00935B1F"/>
    <w:pPr>
      <w:ind w:left="720"/>
      <w:contextualSpacing/>
    </w:pPr>
  </w:style>
  <w:style w:type="paragraph" w:styleId="Balonteksts">
    <w:name w:val="Balloon Text"/>
    <w:basedOn w:val="Parasts"/>
    <w:link w:val="BalontekstsRakstz"/>
    <w:uiPriority w:val="99"/>
    <w:semiHidden/>
    <w:unhideWhenUsed/>
    <w:rsid w:val="00603DB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03DB8"/>
    <w:rPr>
      <w:rFonts w:ascii="Tahoma" w:hAnsi="Tahoma" w:cs="Tahoma"/>
      <w:sz w:val="16"/>
      <w:szCs w:val="16"/>
    </w:rPr>
  </w:style>
  <w:style w:type="table" w:styleId="Reatabula">
    <w:name w:val="Table Grid"/>
    <w:basedOn w:val="Parastatabula"/>
    <w:uiPriority w:val="59"/>
    <w:rsid w:val="00565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raatsauce">
    <w:name w:val="annotation reference"/>
    <w:basedOn w:val="Noklusjumarindkopasfonts"/>
    <w:uiPriority w:val="99"/>
    <w:semiHidden/>
    <w:unhideWhenUsed/>
    <w:rsid w:val="008D18CC"/>
    <w:rPr>
      <w:sz w:val="16"/>
      <w:szCs w:val="16"/>
    </w:rPr>
  </w:style>
  <w:style w:type="paragraph" w:styleId="Komentrateksts">
    <w:name w:val="annotation text"/>
    <w:basedOn w:val="Parasts"/>
    <w:link w:val="KomentratekstsRakstz"/>
    <w:uiPriority w:val="99"/>
    <w:semiHidden/>
    <w:unhideWhenUsed/>
    <w:rsid w:val="008D18C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D18CC"/>
    <w:rPr>
      <w:sz w:val="20"/>
      <w:szCs w:val="20"/>
    </w:rPr>
  </w:style>
  <w:style w:type="paragraph" w:styleId="Komentratma">
    <w:name w:val="annotation subject"/>
    <w:basedOn w:val="Komentrateksts"/>
    <w:next w:val="Komentrateksts"/>
    <w:link w:val="KomentratmaRakstz"/>
    <w:uiPriority w:val="99"/>
    <w:semiHidden/>
    <w:unhideWhenUsed/>
    <w:rsid w:val="008D18CC"/>
    <w:rPr>
      <w:b/>
      <w:bCs/>
    </w:rPr>
  </w:style>
  <w:style w:type="character" w:customStyle="1" w:styleId="KomentratmaRakstz">
    <w:name w:val="Komentāra tēma Rakstz."/>
    <w:basedOn w:val="KomentratekstsRakstz"/>
    <w:link w:val="Komentratma"/>
    <w:uiPriority w:val="99"/>
    <w:semiHidden/>
    <w:rsid w:val="008D18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F7E57-63AC-4227-8862-9D2BB9F6E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11148</Words>
  <Characters>6355</Characters>
  <Application>Microsoft Office Word</Application>
  <DocSecurity>0</DocSecurity>
  <Lines>52</Lines>
  <Paragraphs>34</Paragraphs>
  <ScaleCrop>false</ScaleCrop>
  <HeadingPairs>
    <vt:vector size="2" baseType="variant">
      <vt:variant>
        <vt:lpstr>Nosaukums</vt:lpstr>
      </vt:variant>
      <vt:variant>
        <vt:i4>1</vt:i4>
      </vt:variant>
    </vt:vector>
  </HeadingPairs>
  <TitlesOfParts>
    <vt:vector size="1" baseType="lpstr">
      <vt:lpstr/>
    </vt:vector>
  </TitlesOfParts>
  <Company>Lattelecom</Company>
  <LinksUpToDate>false</LinksUpToDate>
  <CharactersWithSpaces>17469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Konvencija par ārvalstu amatpersonu kukuļošanas apkarošanu starptautiskajos biznesa darījumos</dc:title>
  <dc:subject>Konvencija</dc:subject>
  <dc:creator>Dina.Spule@tm.gov.lv</dc:creator>
  <dc:description>Dina.Spule@tm.gov.lv, 67036733</dc:description>
  <cp:lastModifiedBy>Dina Spule</cp:lastModifiedBy>
  <cp:revision>7</cp:revision>
  <cp:lastPrinted>2013-12-06T07:02:00Z</cp:lastPrinted>
  <dcterms:created xsi:type="dcterms:W3CDTF">2013-12-19T10:38:00Z</dcterms:created>
  <dcterms:modified xsi:type="dcterms:W3CDTF">2013-12-27T07:20:00Z</dcterms:modified>
</cp:coreProperties>
</file>