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7C" w:rsidRDefault="00B31B31" w:rsidP="00B31B31">
      <w:pPr>
        <w:jc w:val="right"/>
        <w:rPr>
          <w:rFonts w:ascii="Times New Roman" w:hAnsi="Times New Roman" w:cs="Times New Roman"/>
          <w:sz w:val="28"/>
          <w:szCs w:val="28"/>
        </w:rPr>
      </w:pPr>
      <w:r>
        <w:rPr>
          <w:rFonts w:ascii="Times New Roman" w:hAnsi="Times New Roman" w:cs="Times New Roman"/>
          <w:sz w:val="28"/>
          <w:szCs w:val="28"/>
        </w:rPr>
        <w:t>Projekts</w:t>
      </w:r>
    </w:p>
    <w:p w:rsidR="00B31B31" w:rsidRDefault="00B31B31" w:rsidP="00B31B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Informatīvais ziņojums</w:t>
      </w:r>
    </w:p>
    <w:p w:rsidR="00B31B31" w:rsidRDefault="00B31B31" w:rsidP="00B31B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Par priekšlikumiem grozījumiem  normatīvajos aktos vekseļu elektroniskas aprites nodrošināšanai”</w:t>
      </w:r>
    </w:p>
    <w:p w:rsidR="00B31B31" w:rsidRDefault="00B31B31" w:rsidP="00B31B31">
      <w:pPr>
        <w:spacing w:after="0" w:line="240" w:lineRule="auto"/>
        <w:jc w:val="center"/>
        <w:rPr>
          <w:rFonts w:ascii="Times New Roman" w:hAnsi="Times New Roman" w:cs="Times New Roman"/>
          <w:b/>
          <w:sz w:val="28"/>
          <w:szCs w:val="28"/>
        </w:rPr>
      </w:pPr>
    </w:p>
    <w:p w:rsidR="00B31B31" w:rsidRDefault="004D7E1B" w:rsidP="00AA65D7">
      <w:pPr>
        <w:spacing w:after="0" w:line="240" w:lineRule="auto"/>
        <w:ind w:firstLine="561"/>
        <w:jc w:val="both"/>
        <w:rPr>
          <w:rFonts w:ascii="Times New Roman" w:hAnsi="Times New Roman" w:cs="Times New Roman"/>
          <w:bCs/>
          <w:kern w:val="36"/>
          <w:sz w:val="28"/>
          <w:szCs w:val="28"/>
        </w:rPr>
      </w:pPr>
      <w:r>
        <w:rPr>
          <w:rFonts w:ascii="Times New Roman" w:eastAsia="Calibri" w:hAnsi="Times New Roman" w:cs="Times New Roman"/>
          <w:sz w:val="28"/>
          <w:szCs w:val="28"/>
        </w:rPr>
        <w:t>I</w:t>
      </w:r>
      <w:r w:rsidR="00B31B31" w:rsidRPr="00B31B31">
        <w:rPr>
          <w:rFonts w:ascii="Times New Roman" w:eastAsia="Calibri" w:hAnsi="Times New Roman" w:cs="Times New Roman"/>
          <w:sz w:val="28"/>
          <w:szCs w:val="28"/>
        </w:rPr>
        <w:t>nformatīv</w:t>
      </w:r>
      <w:r>
        <w:rPr>
          <w:rFonts w:ascii="Times New Roman" w:eastAsia="Calibri" w:hAnsi="Times New Roman" w:cs="Times New Roman"/>
          <w:sz w:val="28"/>
          <w:szCs w:val="28"/>
        </w:rPr>
        <w:t>ais</w:t>
      </w:r>
      <w:r w:rsidR="00B31B31" w:rsidRPr="00B31B31">
        <w:rPr>
          <w:rFonts w:ascii="Times New Roman" w:eastAsia="Calibri" w:hAnsi="Times New Roman" w:cs="Times New Roman"/>
          <w:sz w:val="28"/>
          <w:szCs w:val="28"/>
        </w:rPr>
        <w:t xml:space="preserve"> ziņojum</w:t>
      </w:r>
      <w:r>
        <w:rPr>
          <w:rFonts w:ascii="Times New Roman" w:eastAsia="Calibri" w:hAnsi="Times New Roman" w:cs="Times New Roman"/>
          <w:sz w:val="28"/>
          <w:szCs w:val="28"/>
        </w:rPr>
        <w:t>s</w:t>
      </w:r>
      <w:r w:rsidR="00B31B31" w:rsidRPr="00B31B31">
        <w:rPr>
          <w:rFonts w:ascii="Times New Roman" w:eastAsia="Calibri" w:hAnsi="Times New Roman" w:cs="Times New Roman"/>
          <w:sz w:val="28"/>
          <w:szCs w:val="28"/>
        </w:rPr>
        <w:t xml:space="preserve"> „Par </w:t>
      </w:r>
      <w:r w:rsidR="00B31B31">
        <w:rPr>
          <w:rFonts w:ascii="Times New Roman" w:hAnsi="Times New Roman" w:cs="Times New Roman"/>
          <w:sz w:val="28"/>
          <w:szCs w:val="28"/>
        </w:rPr>
        <w:t>priekšlikumiem grozījumiem normatīvajos aktos vekseļu elektroniskas aprites nodrošināšanai</w:t>
      </w:r>
      <w:r w:rsidR="00B31B31" w:rsidRPr="00B31B31">
        <w:rPr>
          <w:rFonts w:ascii="Times New Roman" w:eastAsia="Calibri" w:hAnsi="Times New Roman" w:cs="Times New Roman"/>
          <w:sz w:val="28"/>
          <w:szCs w:val="28"/>
        </w:rPr>
        <w:t xml:space="preserve">” </w:t>
      </w:r>
      <w:r w:rsidR="00B31B31" w:rsidRPr="00B31B31">
        <w:rPr>
          <w:rFonts w:ascii="Times New Roman" w:eastAsia="Calibri" w:hAnsi="Times New Roman" w:cs="Times New Roman"/>
          <w:bCs/>
          <w:kern w:val="36"/>
          <w:sz w:val="28"/>
          <w:szCs w:val="28"/>
        </w:rPr>
        <w:t>izstrādā</w:t>
      </w:r>
      <w:r>
        <w:rPr>
          <w:rFonts w:ascii="Times New Roman" w:eastAsia="Calibri" w:hAnsi="Times New Roman" w:cs="Times New Roman"/>
          <w:bCs/>
          <w:kern w:val="36"/>
          <w:sz w:val="28"/>
          <w:szCs w:val="28"/>
        </w:rPr>
        <w:t>ts</w:t>
      </w:r>
      <w:r w:rsidR="00B31B31">
        <w:rPr>
          <w:rFonts w:ascii="Times New Roman" w:hAnsi="Times New Roman" w:cs="Times New Roman"/>
          <w:bCs/>
          <w:kern w:val="36"/>
          <w:sz w:val="28"/>
          <w:szCs w:val="28"/>
        </w:rPr>
        <w:t xml:space="preserve">, </w:t>
      </w:r>
      <w:r w:rsidR="00AA65D7">
        <w:rPr>
          <w:rFonts w:ascii="Times New Roman" w:eastAsia="Calibri" w:hAnsi="Times New Roman" w:cs="Times New Roman"/>
          <w:bCs/>
          <w:kern w:val="36"/>
          <w:sz w:val="28"/>
          <w:szCs w:val="28"/>
        </w:rPr>
        <w:t>izpildot Ministru kabineta 2010.gada 21.jūnija sēdes protokollēmum</w:t>
      </w:r>
      <w:r w:rsidR="00923FA6">
        <w:rPr>
          <w:rFonts w:ascii="Times New Roman" w:eastAsia="Calibri" w:hAnsi="Times New Roman" w:cs="Times New Roman"/>
          <w:bCs/>
          <w:kern w:val="36"/>
          <w:sz w:val="28"/>
          <w:szCs w:val="28"/>
        </w:rPr>
        <w:t>u</w:t>
      </w:r>
      <w:r w:rsidR="00AA65D7">
        <w:rPr>
          <w:rFonts w:ascii="Times New Roman" w:eastAsia="Calibri" w:hAnsi="Times New Roman" w:cs="Times New Roman"/>
          <w:bCs/>
          <w:kern w:val="36"/>
          <w:sz w:val="28"/>
          <w:szCs w:val="28"/>
        </w:rPr>
        <w:t xml:space="preserve"> „Noteikumu projekts „Noteikumi par vekseļa protesta akta paraugiem”” (prot. Nr. 32, 43.§)</w:t>
      </w:r>
      <w:r w:rsidR="00923FA6">
        <w:rPr>
          <w:rFonts w:ascii="Times New Roman" w:eastAsia="Calibri" w:hAnsi="Times New Roman" w:cs="Times New Roman"/>
          <w:bCs/>
          <w:kern w:val="36"/>
          <w:sz w:val="28"/>
          <w:szCs w:val="28"/>
        </w:rPr>
        <w:t xml:space="preserve"> . Saskaņā ar minētā protokollēmuma 2.punktu</w:t>
      </w:r>
      <w:r w:rsidR="00AA65D7">
        <w:rPr>
          <w:rFonts w:ascii="Times New Roman" w:eastAsia="Calibri" w:hAnsi="Times New Roman" w:cs="Times New Roman"/>
          <w:bCs/>
          <w:kern w:val="36"/>
          <w:sz w:val="28"/>
          <w:szCs w:val="28"/>
        </w:rPr>
        <w:t xml:space="preserve"> Tieslietu ministrijai sadarbībā ar Reģionālās attīstības un pašvaldību lietu ministriju</w:t>
      </w:r>
      <w:r w:rsidR="00923FA6">
        <w:rPr>
          <w:rFonts w:ascii="Times New Roman" w:eastAsia="Calibri" w:hAnsi="Times New Roman" w:cs="Times New Roman"/>
          <w:bCs/>
          <w:kern w:val="36"/>
          <w:sz w:val="28"/>
          <w:szCs w:val="28"/>
        </w:rPr>
        <w:t xml:space="preserve"> dots uzdevums izvērtēt spēkā esošos normatīvos aktus, ar kuriem tiek regulētas darbības ar vekseļiem, lai nodrošinātu vekseļu elektroniskas aprites iespēju, un tieslietu ministram līdz 2010.gada 31.decembrim noteiktā kārtībā Ministru kabinetā iesniegt priekšlikumus par nepieciešamajām izmaiņām normatīvajos aktos.</w:t>
      </w:r>
    </w:p>
    <w:p w:rsidR="00AA65D7" w:rsidRPr="00923FA6" w:rsidRDefault="00AA65D7" w:rsidP="00AA65D7">
      <w:pPr>
        <w:pStyle w:val="Sarakstarindkopa"/>
        <w:numPr>
          <w:ilvl w:val="0"/>
          <w:numId w:val="1"/>
        </w:num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Situācijas raksturojums.</w:t>
      </w:r>
    </w:p>
    <w:p w:rsidR="00CA44A9" w:rsidRDefault="00CA44A9" w:rsidP="00CA44A9">
      <w:pPr>
        <w:spacing w:after="0" w:line="240" w:lineRule="auto"/>
        <w:ind w:left="5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Ar vekseļu apriti saistītus jautājumus šobrīd reglamentē pieci ārējie </w:t>
      </w:r>
    </w:p>
    <w:p w:rsidR="00CA44A9" w:rsidRDefault="00CA44A9" w:rsidP="00CA44A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normatīvie akti: Vekseļu likums, Notariāta likums, Civilprocesa likums, Ministru kabineta 2010.gada 21.jūnija noteikumi Nr. 558 „Noteikumi par valsts nodevu par operācijām ar vekseļiem” un Ministru kabineta 2010.gada 21.jūnija noteikumi Nr. 559 „Noteikumi par vekseļa protesta akta paraugiem”.</w:t>
      </w:r>
    </w:p>
    <w:p w:rsidR="008C22EC" w:rsidRDefault="00CA44A9" w:rsidP="00CA44A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C22EC">
        <w:rPr>
          <w:rFonts w:ascii="Times New Roman" w:eastAsia="Calibri" w:hAnsi="Times New Roman" w:cs="Times New Roman"/>
          <w:sz w:val="28"/>
          <w:szCs w:val="28"/>
        </w:rPr>
        <w:t>Atbilstoši</w:t>
      </w:r>
      <w:r>
        <w:rPr>
          <w:rFonts w:ascii="Times New Roman" w:eastAsia="Calibri" w:hAnsi="Times New Roman" w:cs="Times New Roman"/>
          <w:sz w:val="28"/>
          <w:szCs w:val="28"/>
        </w:rPr>
        <w:t xml:space="preserve"> </w:t>
      </w:r>
      <w:r w:rsidR="00A603ED">
        <w:rPr>
          <w:rFonts w:ascii="Times New Roman" w:eastAsia="Calibri" w:hAnsi="Times New Roman" w:cs="Times New Roman"/>
          <w:sz w:val="28"/>
          <w:szCs w:val="28"/>
        </w:rPr>
        <w:t>Vekseļu likumam</w:t>
      </w:r>
      <w:r w:rsidR="008C22EC">
        <w:rPr>
          <w:rFonts w:ascii="Times New Roman" w:eastAsia="Calibri" w:hAnsi="Times New Roman" w:cs="Times New Roman"/>
          <w:sz w:val="28"/>
          <w:szCs w:val="28"/>
        </w:rPr>
        <w:t xml:space="preserve"> vekseļi ir tikai papīra formā noformējami vērtspapīri</w:t>
      </w:r>
      <w:r w:rsidR="00034B56">
        <w:rPr>
          <w:rFonts w:ascii="Times New Roman" w:eastAsia="Calibri" w:hAnsi="Times New Roman" w:cs="Times New Roman"/>
          <w:sz w:val="28"/>
          <w:szCs w:val="28"/>
        </w:rPr>
        <w:t xml:space="preserve">, kuru juridiskais spēks ir </w:t>
      </w:r>
      <w:r w:rsidR="00483CD2">
        <w:rPr>
          <w:rFonts w:ascii="Times New Roman" w:eastAsia="Calibri" w:hAnsi="Times New Roman" w:cs="Times New Roman"/>
          <w:sz w:val="28"/>
          <w:szCs w:val="28"/>
        </w:rPr>
        <w:t xml:space="preserve">atkarīgs gan no tā satura (Vekseļu likuma 2. un 76.pants), </w:t>
      </w:r>
      <w:r w:rsidR="004D7E1B">
        <w:rPr>
          <w:rFonts w:ascii="Times New Roman" w:eastAsia="Calibri" w:hAnsi="Times New Roman" w:cs="Times New Roman"/>
          <w:sz w:val="28"/>
          <w:szCs w:val="28"/>
        </w:rPr>
        <w:t>gan</w:t>
      </w:r>
      <w:r w:rsidR="00483CD2">
        <w:rPr>
          <w:rFonts w:ascii="Times New Roman" w:eastAsia="Calibri" w:hAnsi="Times New Roman" w:cs="Times New Roman"/>
          <w:sz w:val="28"/>
          <w:szCs w:val="28"/>
        </w:rPr>
        <w:t xml:space="preserve"> arī valsts nodevas samaksas (Vekseļu likuma 93. un 94.pants).</w:t>
      </w:r>
    </w:p>
    <w:p w:rsidR="00CF284E" w:rsidRDefault="00CF284E" w:rsidP="00CA44A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D7E1B">
        <w:rPr>
          <w:rFonts w:ascii="Times New Roman" w:eastAsia="Calibri" w:hAnsi="Times New Roman" w:cs="Times New Roman"/>
          <w:sz w:val="28"/>
          <w:szCs w:val="28"/>
        </w:rPr>
        <w:t>S</w:t>
      </w:r>
      <w:r>
        <w:rPr>
          <w:rFonts w:ascii="Times New Roman" w:eastAsia="Calibri" w:hAnsi="Times New Roman" w:cs="Times New Roman"/>
          <w:sz w:val="28"/>
          <w:szCs w:val="28"/>
        </w:rPr>
        <w:t>askaņā ar Notariāta likuma 45.panta otro daļu vekseļu protesta aktu grāmata tiek vesta tikai papīra formā.</w:t>
      </w:r>
    </w:p>
    <w:p w:rsidR="00CF284E" w:rsidRDefault="00CF284E" w:rsidP="00CA44A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Arī no Civilprocesa likumā ietvertā regulējuma (Civilprocesa likuma 404.panta) izriet, ka pieteikums par bezstrīdus piespiedu izpildīšanu, vekselis</w:t>
      </w:r>
      <w:r w:rsidR="006D5BCC">
        <w:rPr>
          <w:rFonts w:ascii="Times New Roman" w:eastAsia="Calibri" w:hAnsi="Times New Roman" w:cs="Times New Roman"/>
          <w:sz w:val="28"/>
          <w:szCs w:val="28"/>
        </w:rPr>
        <w:t>,</w:t>
      </w:r>
      <w:r>
        <w:rPr>
          <w:rFonts w:ascii="Times New Roman" w:eastAsia="Calibri" w:hAnsi="Times New Roman" w:cs="Times New Roman"/>
          <w:sz w:val="28"/>
          <w:szCs w:val="28"/>
        </w:rPr>
        <w:t xml:space="preserve"> tā noraksts</w:t>
      </w:r>
      <w:r w:rsidR="006D5BCC">
        <w:rPr>
          <w:rFonts w:ascii="Times New Roman" w:eastAsia="Calibri" w:hAnsi="Times New Roman" w:cs="Times New Roman"/>
          <w:sz w:val="28"/>
          <w:szCs w:val="28"/>
        </w:rPr>
        <w:t xml:space="preserve"> un</w:t>
      </w:r>
      <w:r>
        <w:rPr>
          <w:rFonts w:ascii="Times New Roman" w:eastAsia="Calibri" w:hAnsi="Times New Roman" w:cs="Times New Roman"/>
          <w:sz w:val="28"/>
          <w:szCs w:val="28"/>
        </w:rPr>
        <w:t xml:space="preserve"> vekseļa protest</w:t>
      </w:r>
      <w:r w:rsidR="006D5BCC">
        <w:rPr>
          <w:rFonts w:ascii="Times New Roman" w:eastAsia="Calibri" w:hAnsi="Times New Roman" w:cs="Times New Roman"/>
          <w:sz w:val="28"/>
          <w:szCs w:val="28"/>
        </w:rPr>
        <w:t>a akts iesniedzami tiesā papīra formā.</w:t>
      </w:r>
      <w:r>
        <w:rPr>
          <w:rFonts w:ascii="Times New Roman" w:eastAsia="Calibri" w:hAnsi="Times New Roman" w:cs="Times New Roman"/>
          <w:sz w:val="28"/>
          <w:szCs w:val="28"/>
        </w:rPr>
        <w:t xml:space="preserve"> </w:t>
      </w:r>
    </w:p>
    <w:p w:rsidR="004D7E1B" w:rsidRDefault="00A603ED" w:rsidP="00483C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C22EC">
        <w:rPr>
          <w:rFonts w:ascii="Times New Roman" w:eastAsia="Calibri" w:hAnsi="Times New Roman" w:cs="Times New Roman"/>
          <w:sz w:val="28"/>
          <w:szCs w:val="28"/>
        </w:rPr>
        <w:t xml:space="preserve">Šāds regulējums </w:t>
      </w:r>
      <w:r w:rsidR="004D7E1B">
        <w:rPr>
          <w:rFonts w:ascii="Times New Roman" w:eastAsia="Calibri" w:hAnsi="Times New Roman" w:cs="Times New Roman"/>
          <w:sz w:val="28"/>
          <w:szCs w:val="28"/>
        </w:rPr>
        <w:t>var tikt uzskatīts pa</w:t>
      </w:r>
      <w:r w:rsidR="008C22EC">
        <w:rPr>
          <w:rFonts w:ascii="Times New Roman" w:eastAsia="Calibri" w:hAnsi="Times New Roman" w:cs="Times New Roman"/>
          <w:sz w:val="28"/>
          <w:szCs w:val="28"/>
        </w:rPr>
        <w:t>r morāli novecoj</w:t>
      </w:r>
      <w:r w:rsidR="004D7E1B">
        <w:rPr>
          <w:rFonts w:ascii="Times New Roman" w:eastAsia="Calibri" w:hAnsi="Times New Roman" w:cs="Times New Roman"/>
          <w:sz w:val="28"/>
          <w:szCs w:val="28"/>
        </w:rPr>
        <w:t>ušu un</w:t>
      </w:r>
      <w:r w:rsidR="008C22EC">
        <w:rPr>
          <w:rFonts w:ascii="Times New Roman" w:eastAsia="Calibri" w:hAnsi="Times New Roman" w:cs="Times New Roman"/>
          <w:sz w:val="28"/>
          <w:szCs w:val="28"/>
        </w:rPr>
        <w:t xml:space="preserve"> </w:t>
      </w:r>
      <w:r w:rsidR="003903D4">
        <w:rPr>
          <w:rFonts w:ascii="Times New Roman" w:eastAsia="Calibri" w:hAnsi="Times New Roman" w:cs="Times New Roman"/>
          <w:sz w:val="28"/>
          <w:szCs w:val="28"/>
        </w:rPr>
        <w:t>neatbilst</w:t>
      </w:r>
      <w:r w:rsidR="004D7E1B">
        <w:rPr>
          <w:rFonts w:ascii="Times New Roman" w:eastAsia="Calibri" w:hAnsi="Times New Roman" w:cs="Times New Roman"/>
          <w:sz w:val="28"/>
          <w:szCs w:val="28"/>
        </w:rPr>
        <w:t>ošu šobrīd pieejamām tehnoloģiskajām iespējām.</w:t>
      </w:r>
    </w:p>
    <w:p w:rsidR="004D7E1B" w:rsidRDefault="008C22EC" w:rsidP="004D7E1B">
      <w:pPr>
        <w:spacing w:after="0" w:line="240" w:lineRule="auto"/>
        <w:ind w:firstLine="561"/>
        <w:jc w:val="both"/>
        <w:rPr>
          <w:rFonts w:ascii="Times New Roman" w:hAnsi="Times New Roman" w:cs="Times New Roman"/>
          <w:sz w:val="28"/>
          <w:szCs w:val="28"/>
        </w:rPr>
      </w:pPr>
      <w:r>
        <w:rPr>
          <w:rFonts w:ascii="Times New Roman" w:eastAsia="Calibri" w:hAnsi="Times New Roman" w:cs="Times New Roman"/>
          <w:sz w:val="28"/>
          <w:szCs w:val="28"/>
        </w:rPr>
        <w:t xml:space="preserve"> Elektronisko dokumentu likuma</w:t>
      </w:r>
      <w:r w:rsidR="00CA44A9">
        <w:rPr>
          <w:rFonts w:ascii="Times New Roman" w:eastAsia="Calibri" w:hAnsi="Times New Roman" w:cs="Times New Roman"/>
          <w:sz w:val="28"/>
          <w:szCs w:val="28"/>
        </w:rPr>
        <w:t xml:space="preserve"> </w:t>
      </w:r>
      <w:r>
        <w:rPr>
          <w:rFonts w:ascii="Times New Roman" w:eastAsia="Calibri" w:hAnsi="Times New Roman" w:cs="Times New Roman"/>
          <w:sz w:val="28"/>
          <w:szCs w:val="28"/>
        </w:rPr>
        <w:t>3.panta sestajā daļā noteikt</w:t>
      </w:r>
      <w:r w:rsidR="003903D4">
        <w:rPr>
          <w:rFonts w:ascii="Times New Roman" w:eastAsia="Calibri" w:hAnsi="Times New Roman" w:cs="Times New Roman"/>
          <w:sz w:val="28"/>
          <w:szCs w:val="28"/>
        </w:rPr>
        <w:t>i četri izņēmumi</w:t>
      </w:r>
      <w:r>
        <w:rPr>
          <w:rFonts w:ascii="Times New Roman" w:eastAsia="Calibri" w:hAnsi="Times New Roman" w:cs="Times New Roman"/>
          <w:sz w:val="28"/>
          <w:szCs w:val="28"/>
        </w:rPr>
        <w:t>, ka</w:t>
      </w:r>
      <w:r w:rsidR="003903D4">
        <w:rPr>
          <w:rFonts w:ascii="Times New Roman" w:eastAsia="Calibri" w:hAnsi="Times New Roman" w:cs="Times New Roman"/>
          <w:sz w:val="28"/>
          <w:szCs w:val="28"/>
        </w:rPr>
        <w:t>d</w:t>
      </w:r>
      <w:r>
        <w:rPr>
          <w:rFonts w:ascii="Times New Roman" w:eastAsia="Calibri" w:hAnsi="Times New Roman" w:cs="Times New Roman"/>
          <w:sz w:val="28"/>
          <w:szCs w:val="28"/>
        </w:rPr>
        <w:t xml:space="preserve"> </w:t>
      </w:r>
      <w:r w:rsidR="003903D4">
        <w:rPr>
          <w:rFonts w:ascii="Times New Roman" w:eastAsia="Calibri" w:hAnsi="Times New Roman" w:cs="Times New Roman"/>
          <w:sz w:val="28"/>
          <w:szCs w:val="28"/>
        </w:rPr>
        <w:t xml:space="preserve">nav piemērojami Elektronisko dokumenta likuma noteikumi, t.i., attiecībā uz </w:t>
      </w:r>
      <w:r w:rsidR="003903D4" w:rsidRPr="003903D4">
        <w:rPr>
          <w:rFonts w:ascii="Times New Roman" w:hAnsi="Times New Roman" w:cs="Times New Roman"/>
          <w:sz w:val="28"/>
          <w:szCs w:val="28"/>
        </w:rPr>
        <w:t>līgumi</w:t>
      </w:r>
      <w:r w:rsidR="003903D4">
        <w:rPr>
          <w:rFonts w:ascii="Times New Roman" w:hAnsi="Times New Roman" w:cs="Times New Roman"/>
          <w:sz w:val="28"/>
          <w:szCs w:val="28"/>
        </w:rPr>
        <w:t>em</w:t>
      </w:r>
      <w:r w:rsidR="003903D4" w:rsidRPr="003903D4">
        <w:rPr>
          <w:rFonts w:ascii="Times New Roman" w:hAnsi="Times New Roman" w:cs="Times New Roman"/>
          <w:sz w:val="28"/>
          <w:szCs w:val="28"/>
        </w:rPr>
        <w:t>, ar kuriem tiek radītas vai nodotas tiesības uz nekustamo</w:t>
      </w:r>
      <w:r w:rsidR="003903D4">
        <w:rPr>
          <w:rFonts w:ascii="Times New Roman" w:hAnsi="Times New Roman" w:cs="Times New Roman"/>
          <w:sz w:val="28"/>
          <w:szCs w:val="28"/>
        </w:rPr>
        <w:t xml:space="preserve"> </w:t>
      </w:r>
      <w:r w:rsidR="003903D4" w:rsidRPr="003903D4">
        <w:rPr>
          <w:rFonts w:ascii="Times New Roman" w:hAnsi="Times New Roman" w:cs="Times New Roman"/>
          <w:sz w:val="28"/>
          <w:szCs w:val="28"/>
        </w:rPr>
        <w:t>īpašumu, izņemot nomas</w:t>
      </w:r>
      <w:r w:rsidR="003903D4" w:rsidRPr="003903D4">
        <w:rPr>
          <w:rFonts w:ascii="Verdana" w:hAnsi="Verdana"/>
          <w:sz w:val="18"/>
          <w:szCs w:val="18"/>
        </w:rPr>
        <w:t xml:space="preserve"> </w:t>
      </w:r>
      <w:r w:rsidR="003903D4" w:rsidRPr="003903D4">
        <w:rPr>
          <w:rFonts w:ascii="Times New Roman" w:hAnsi="Times New Roman" w:cs="Times New Roman"/>
          <w:sz w:val="28"/>
          <w:szCs w:val="28"/>
        </w:rPr>
        <w:t>tiesības</w:t>
      </w:r>
      <w:r w:rsidR="003903D4">
        <w:rPr>
          <w:rFonts w:ascii="Times New Roman" w:hAnsi="Times New Roman" w:cs="Times New Roman"/>
          <w:sz w:val="28"/>
          <w:szCs w:val="28"/>
        </w:rPr>
        <w:t xml:space="preserve">, un </w:t>
      </w:r>
      <w:r w:rsidR="003903D4" w:rsidRPr="003903D4">
        <w:rPr>
          <w:rFonts w:ascii="Times New Roman" w:hAnsi="Times New Roman" w:cs="Times New Roman"/>
          <w:sz w:val="28"/>
          <w:szCs w:val="28"/>
        </w:rPr>
        <w:t>līgumiem, kuri saskaņā ar likumu nav spēkā, ja tie nav apliecināti likumā noteiktajā kārtībā</w:t>
      </w:r>
      <w:r w:rsidR="003903D4">
        <w:rPr>
          <w:rFonts w:ascii="Times New Roman" w:hAnsi="Times New Roman" w:cs="Times New Roman"/>
          <w:sz w:val="28"/>
          <w:szCs w:val="28"/>
        </w:rPr>
        <w:t xml:space="preserve">, attiecībā uz </w:t>
      </w:r>
      <w:r w:rsidR="003903D4" w:rsidRPr="003903D4">
        <w:rPr>
          <w:rFonts w:ascii="Times New Roman" w:hAnsi="Times New Roman" w:cs="Times New Roman"/>
          <w:sz w:val="28"/>
          <w:szCs w:val="28"/>
        </w:rPr>
        <w:t>galvojuma līgumiem, ja galvojumu piešķir, un ķīlas nodrošinājumiem, ja tos sniedz personas, kuras darbojas nolūkos, kas nav saistīti ar šo personu arodu, uzņēmējdarbību vai profesiju</w:t>
      </w:r>
      <w:r w:rsidR="003903D4">
        <w:rPr>
          <w:rFonts w:ascii="Verdana" w:hAnsi="Verdana"/>
          <w:sz w:val="18"/>
          <w:szCs w:val="18"/>
        </w:rPr>
        <w:t xml:space="preserve">, </w:t>
      </w:r>
      <w:r w:rsidR="003903D4" w:rsidRPr="003903D4">
        <w:rPr>
          <w:rFonts w:ascii="Times New Roman" w:hAnsi="Times New Roman" w:cs="Times New Roman"/>
          <w:sz w:val="28"/>
          <w:szCs w:val="28"/>
        </w:rPr>
        <w:t>kā arī darījumiem ģimenes tiesību un mantojuma tiesību jomā</w:t>
      </w:r>
      <w:r w:rsidR="004D7E1B">
        <w:rPr>
          <w:rFonts w:ascii="Times New Roman" w:hAnsi="Times New Roman" w:cs="Times New Roman"/>
          <w:sz w:val="28"/>
          <w:szCs w:val="28"/>
        </w:rPr>
        <w:t>.</w:t>
      </w:r>
    </w:p>
    <w:p w:rsidR="00483CD2" w:rsidRDefault="004D7E1B" w:rsidP="004D7E1B">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lastRenderedPageBreak/>
        <w:t>Ievērojot iepriekš</w:t>
      </w:r>
      <w:r w:rsidR="003250CE">
        <w:rPr>
          <w:rFonts w:ascii="Times New Roman" w:hAnsi="Times New Roman" w:cs="Times New Roman"/>
          <w:sz w:val="28"/>
          <w:szCs w:val="28"/>
        </w:rPr>
        <w:t xml:space="preserve"> minēto secināms, ka šī brīža regulējums</w:t>
      </w:r>
      <w:r w:rsidR="00483CD2">
        <w:rPr>
          <w:rFonts w:ascii="Times New Roman" w:hAnsi="Times New Roman" w:cs="Times New Roman"/>
          <w:sz w:val="28"/>
          <w:szCs w:val="28"/>
        </w:rPr>
        <w:t xml:space="preserve"> nedod iespēju vekseļa izdevējam izvēlēties vekseļa </w:t>
      </w:r>
      <w:r w:rsidR="003250CE">
        <w:rPr>
          <w:rFonts w:ascii="Times New Roman" w:hAnsi="Times New Roman" w:cs="Times New Roman"/>
          <w:sz w:val="28"/>
          <w:szCs w:val="28"/>
        </w:rPr>
        <w:t xml:space="preserve">elektronisku </w:t>
      </w:r>
      <w:r w:rsidR="00483CD2">
        <w:rPr>
          <w:rFonts w:ascii="Times New Roman" w:hAnsi="Times New Roman" w:cs="Times New Roman"/>
          <w:sz w:val="28"/>
          <w:szCs w:val="28"/>
        </w:rPr>
        <w:t xml:space="preserve">formu, tādējādi </w:t>
      </w:r>
      <w:r w:rsidR="003250CE">
        <w:rPr>
          <w:rFonts w:ascii="Times New Roman" w:hAnsi="Times New Roman" w:cs="Times New Roman"/>
          <w:sz w:val="28"/>
          <w:szCs w:val="28"/>
        </w:rPr>
        <w:t xml:space="preserve">esošās prasības </w:t>
      </w:r>
      <w:r w:rsidR="00483CD2">
        <w:rPr>
          <w:rFonts w:ascii="Times New Roman" w:hAnsi="Times New Roman" w:cs="Times New Roman"/>
          <w:sz w:val="28"/>
          <w:szCs w:val="28"/>
        </w:rPr>
        <w:t>padar</w:t>
      </w:r>
      <w:r w:rsidR="003250CE">
        <w:rPr>
          <w:rFonts w:ascii="Times New Roman" w:hAnsi="Times New Roman" w:cs="Times New Roman"/>
          <w:sz w:val="28"/>
          <w:szCs w:val="28"/>
        </w:rPr>
        <w:t>a vekseļu apriti</w:t>
      </w:r>
      <w:r w:rsidR="00483CD2">
        <w:rPr>
          <w:rFonts w:ascii="Times New Roman" w:hAnsi="Times New Roman" w:cs="Times New Roman"/>
          <w:sz w:val="28"/>
          <w:szCs w:val="28"/>
        </w:rPr>
        <w:t xml:space="preserve"> gan laikietilpīgāku (elektronisko dokumentu aprite ir ātrāka nekā papīra </w:t>
      </w:r>
      <w:r w:rsidR="00622034">
        <w:rPr>
          <w:rFonts w:ascii="Times New Roman" w:hAnsi="Times New Roman" w:cs="Times New Roman"/>
          <w:sz w:val="28"/>
          <w:szCs w:val="28"/>
        </w:rPr>
        <w:t xml:space="preserve">formas </w:t>
      </w:r>
      <w:r w:rsidR="00483CD2">
        <w:rPr>
          <w:rFonts w:ascii="Times New Roman" w:hAnsi="Times New Roman" w:cs="Times New Roman"/>
          <w:sz w:val="28"/>
          <w:szCs w:val="28"/>
        </w:rPr>
        <w:t>dokumentu aprite), gan arī dārgāku (</w:t>
      </w:r>
      <w:r w:rsidR="00622034">
        <w:rPr>
          <w:rFonts w:ascii="Times New Roman" w:hAnsi="Times New Roman" w:cs="Times New Roman"/>
          <w:sz w:val="28"/>
          <w:szCs w:val="28"/>
        </w:rPr>
        <w:t>uz</w:t>
      </w:r>
      <w:r w:rsidR="00483CD2">
        <w:rPr>
          <w:rFonts w:ascii="Times New Roman" w:hAnsi="Times New Roman" w:cs="Times New Roman"/>
          <w:sz w:val="28"/>
          <w:szCs w:val="28"/>
        </w:rPr>
        <w:t xml:space="preserve"> kancelejas pre</w:t>
      </w:r>
      <w:r w:rsidR="00622034">
        <w:rPr>
          <w:rFonts w:ascii="Times New Roman" w:hAnsi="Times New Roman" w:cs="Times New Roman"/>
          <w:sz w:val="28"/>
          <w:szCs w:val="28"/>
        </w:rPr>
        <w:t>ču un pasta izdevumu rēķina</w:t>
      </w:r>
      <w:r w:rsidR="00483CD2">
        <w:rPr>
          <w:rFonts w:ascii="Times New Roman" w:hAnsi="Times New Roman" w:cs="Times New Roman"/>
          <w:sz w:val="28"/>
          <w:szCs w:val="28"/>
        </w:rPr>
        <w:t>)</w:t>
      </w:r>
      <w:r w:rsidR="00622034">
        <w:rPr>
          <w:rFonts w:ascii="Times New Roman" w:hAnsi="Times New Roman" w:cs="Times New Roman"/>
          <w:sz w:val="28"/>
          <w:szCs w:val="28"/>
        </w:rPr>
        <w:t xml:space="preserve"> </w:t>
      </w:r>
      <w:r w:rsidR="00483CD2">
        <w:rPr>
          <w:rFonts w:ascii="Times New Roman" w:hAnsi="Times New Roman" w:cs="Times New Roman"/>
          <w:sz w:val="28"/>
          <w:szCs w:val="28"/>
        </w:rPr>
        <w:t>vekseļa apriti</w:t>
      </w:r>
      <w:r w:rsidR="00622034">
        <w:rPr>
          <w:rFonts w:ascii="Times New Roman" w:hAnsi="Times New Roman" w:cs="Times New Roman"/>
          <w:sz w:val="28"/>
          <w:szCs w:val="28"/>
        </w:rPr>
        <w:t>.</w:t>
      </w:r>
      <w:r w:rsidR="00483CD2">
        <w:rPr>
          <w:rFonts w:ascii="Times New Roman" w:hAnsi="Times New Roman" w:cs="Times New Roman"/>
          <w:sz w:val="28"/>
          <w:szCs w:val="28"/>
        </w:rPr>
        <w:t xml:space="preserve"> </w:t>
      </w:r>
    </w:p>
    <w:p w:rsidR="00AA65D7" w:rsidRPr="00483CD2" w:rsidRDefault="00AA65D7" w:rsidP="00483CD2">
      <w:pPr>
        <w:pStyle w:val="Sarakstarindkopa"/>
        <w:numPr>
          <w:ilvl w:val="0"/>
          <w:numId w:val="1"/>
        </w:numPr>
        <w:spacing w:after="0" w:line="240" w:lineRule="auto"/>
        <w:jc w:val="both"/>
        <w:rPr>
          <w:rFonts w:ascii="Times New Roman" w:hAnsi="Times New Roman" w:cs="Times New Roman"/>
          <w:b/>
          <w:sz w:val="28"/>
          <w:szCs w:val="28"/>
        </w:rPr>
      </w:pPr>
      <w:r w:rsidRPr="00483CD2">
        <w:rPr>
          <w:rFonts w:ascii="Times New Roman" w:hAnsi="Times New Roman" w:cs="Times New Roman"/>
          <w:b/>
          <w:sz w:val="28"/>
          <w:szCs w:val="28"/>
        </w:rPr>
        <w:t xml:space="preserve">Priekšlikumi turpmākai rīcībai saistībā ar informatīvajā ziņojumā </w:t>
      </w:r>
    </w:p>
    <w:p w:rsidR="00B31B31" w:rsidRDefault="00AA65D7" w:rsidP="00AA65D7">
      <w:pPr>
        <w:spacing w:after="0" w:line="240" w:lineRule="auto"/>
        <w:jc w:val="both"/>
        <w:rPr>
          <w:rFonts w:ascii="Times New Roman" w:hAnsi="Times New Roman" w:cs="Times New Roman"/>
          <w:b/>
          <w:sz w:val="28"/>
          <w:szCs w:val="28"/>
        </w:rPr>
      </w:pPr>
      <w:r w:rsidRPr="00AA65D7">
        <w:rPr>
          <w:rFonts w:ascii="Times New Roman" w:hAnsi="Times New Roman" w:cs="Times New Roman"/>
          <w:b/>
          <w:sz w:val="28"/>
          <w:szCs w:val="28"/>
        </w:rPr>
        <w:t>minētā jautājuma risināšanu</w:t>
      </w:r>
      <w:r>
        <w:rPr>
          <w:rFonts w:ascii="Times New Roman" w:hAnsi="Times New Roman" w:cs="Times New Roman"/>
          <w:b/>
          <w:sz w:val="28"/>
          <w:szCs w:val="28"/>
        </w:rPr>
        <w:t>.</w:t>
      </w:r>
    </w:p>
    <w:p w:rsidR="00F1631E" w:rsidRDefault="00F1631E" w:rsidP="00AA65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622034">
        <w:rPr>
          <w:rFonts w:ascii="Times New Roman" w:hAnsi="Times New Roman" w:cs="Times New Roman"/>
          <w:sz w:val="28"/>
          <w:szCs w:val="28"/>
        </w:rPr>
        <w:t>Lai novērstu šā informatīvā ziņojuma 1.punktā minētās nepilnības</w:t>
      </w:r>
      <w:r w:rsidR="003250CE">
        <w:rPr>
          <w:rFonts w:ascii="Times New Roman" w:hAnsi="Times New Roman" w:cs="Times New Roman"/>
          <w:sz w:val="28"/>
          <w:szCs w:val="28"/>
        </w:rPr>
        <w:t xml:space="preserve"> </w:t>
      </w:r>
      <w:r w:rsidR="003250CE" w:rsidRPr="002A07BF">
        <w:rPr>
          <w:rFonts w:ascii="Times New Roman" w:hAnsi="Times New Roman" w:cs="Times New Roman"/>
          <w:sz w:val="28"/>
          <w:szCs w:val="28"/>
        </w:rPr>
        <w:t>un noteiktu elektronisko vekseļu izrakstīšanas</w:t>
      </w:r>
      <w:r w:rsidR="00622034" w:rsidRPr="002A07BF">
        <w:rPr>
          <w:rFonts w:ascii="Times New Roman" w:hAnsi="Times New Roman" w:cs="Times New Roman"/>
          <w:sz w:val="28"/>
          <w:szCs w:val="28"/>
        </w:rPr>
        <w:t>,</w:t>
      </w:r>
      <w:r w:rsidR="003250CE" w:rsidRPr="002A07BF">
        <w:rPr>
          <w:rFonts w:ascii="Times New Roman" w:hAnsi="Times New Roman" w:cs="Times New Roman"/>
          <w:sz w:val="28"/>
          <w:szCs w:val="28"/>
        </w:rPr>
        <w:t xml:space="preserve"> uzrādīšanas samaksai, samaksas</w:t>
      </w:r>
      <w:r w:rsidR="001032D0" w:rsidRPr="002A07BF">
        <w:rPr>
          <w:rFonts w:ascii="Times New Roman" w:hAnsi="Times New Roman" w:cs="Times New Roman"/>
          <w:sz w:val="28"/>
          <w:szCs w:val="28"/>
        </w:rPr>
        <w:t>,</w:t>
      </w:r>
      <w:r w:rsidR="003250CE" w:rsidRPr="002A07BF">
        <w:rPr>
          <w:rFonts w:ascii="Times New Roman" w:hAnsi="Times New Roman" w:cs="Times New Roman"/>
          <w:sz w:val="28"/>
          <w:szCs w:val="28"/>
        </w:rPr>
        <w:t xml:space="preserve"> noprotestēšanas </w:t>
      </w:r>
      <w:r w:rsidR="001032D0" w:rsidRPr="002A07BF">
        <w:rPr>
          <w:rFonts w:ascii="Times New Roman" w:hAnsi="Times New Roman" w:cs="Times New Roman"/>
          <w:sz w:val="28"/>
          <w:szCs w:val="28"/>
        </w:rPr>
        <w:t xml:space="preserve">un iesniegšanas tiesai </w:t>
      </w:r>
      <w:r w:rsidR="003250CE" w:rsidRPr="002A07BF">
        <w:rPr>
          <w:rFonts w:ascii="Times New Roman" w:hAnsi="Times New Roman" w:cs="Times New Roman"/>
          <w:sz w:val="28"/>
          <w:szCs w:val="28"/>
        </w:rPr>
        <w:t>kārtību</w:t>
      </w:r>
      <w:r w:rsidR="003250CE">
        <w:rPr>
          <w:rFonts w:ascii="Times New Roman" w:hAnsi="Times New Roman" w:cs="Times New Roman"/>
          <w:sz w:val="28"/>
          <w:szCs w:val="28"/>
        </w:rPr>
        <w:t>,</w:t>
      </w:r>
      <w:r w:rsidR="00622034">
        <w:rPr>
          <w:rFonts w:ascii="Times New Roman" w:hAnsi="Times New Roman" w:cs="Times New Roman"/>
          <w:sz w:val="28"/>
          <w:szCs w:val="28"/>
        </w:rPr>
        <w:t xml:space="preserve"> Tieslietu ministrija sadarbībā ar Reģionālās attīstības</w:t>
      </w:r>
      <w:r w:rsidR="00AC5D59">
        <w:rPr>
          <w:rFonts w:ascii="Times New Roman" w:hAnsi="Times New Roman" w:cs="Times New Roman"/>
          <w:sz w:val="28"/>
          <w:szCs w:val="28"/>
        </w:rPr>
        <w:t xml:space="preserve"> un pašvaldību lietu</w:t>
      </w:r>
      <w:r w:rsidR="00622034">
        <w:rPr>
          <w:rFonts w:ascii="Times New Roman" w:hAnsi="Times New Roman" w:cs="Times New Roman"/>
          <w:sz w:val="28"/>
          <w:szCs w:val="28"/>
        </w:rPr>
        <w:t xml:space="preserve"> </w:t>
      </w:r>
      <w:r w:rsidR="00AC5D59">
        <w:rPr>
          <w:rFonts w:ascii="Times New Roman" w:hAnsi="Times New Roman" w:cs="Times New Roman"/>
          <w:sz w:val="28"/>
          <w:szCs w:val="28"/>
        </w:rPr>
        <w:t>ministrij</w:t>
      </w:r>
      <w:r w:rsidR="007B0DB3">
        <w:rPr>
          <w:rFonts w:ascii="Times New Roman" w:hAnsi="Times New Roman" w:cs="Times New Roman"/>
          <w:sz w:val="28"/>
          <w:szCs w:val="28"/>
        </w:rPr>
        <w:t>u</w:t>
      </w:r>
      <w:r w:rsidR="00AC5D59">
        <w:rPr>
          <w:rFonts w:ascii="Times New Roman" w:hAnsi="Times New Roman" w:cs="Times New Roman"/>
          <w:sz w:val="28"/>
          <w:szCs w:val="28"/>
        </w:rPr>
        <w:t xml:space="preserve"> </w:t>
      </w:r>
      <w:r w:rsidR="00622034">
        <w:rPr>
          <w:rFonts w:ascii="Times New Roman" w:hAnsi="Times New Roman" w:cs="Times New Roman"/>
          <w:sz w:val="28"/>
          <w:szCs w:val="28"/>
        </w:rPr>
        <w:t xml:space="preserve"> ir izstrādājusi šādus priekšlikumus turpmākai rīcībai</w:t>
      </w:r>
      <w:r w:rsidR="00AC5D59">
        <w:rPr>
          <w:rFonts w:ascii="Times New Roman" w:hAnsi="Times New Roman" w:cs="Times New Roman"/>
          <w:sz w:val="28"/>
          <w:szCs w:val="28"/>
        </w:rPr>
        <w:t>.</w:t>
      </w:r>
    </w:p>
    <w:p w:rsidR="007B0DB3" w:rsidRDefault="00AC5D59" w:rsidP="00622034">
      <w:pPr>
        <w:pStyle w:val="Sarakstarindkopa"/>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Tieslietu ministram</w:t>
      </w:r>
      <w:r w:rsidR="007B0DB3">
        <w:rPr>
          <w:rFonts w:ascii="Times New Roman" w:hAnsi="Times New Roman" w:cs="Times New Roman"/>
          <w:sz w:val="28"/>
          <w:szCs w:val="28"/>
        </w:rPr>
        <w:t xml:space="preserve"> viena mēneša laikā </w:t>
      </w:r>
      <w:r>
        <w:rPr>
          <w:rFonts w:ascii="Times New Roman" w:hAnsi="Times New Roman" w:cs="Times New Roman"/>
          <w:sz w:val="28"/>
          <w:szCs w:val="28"/>
        </w:rPr>
        <w:t xml:space="preserve"> izveidot starpinstitūciju darba </w:t>
      </w:r>
    </w:p>
    <w:p w:rsidR="00622034" w:rsidRDefault="00AC5D59" w:rsidP="00AC5D59">
      <w:pPr>
        <w:spacing w:after="0" w:line="240" w:lineRule="auto"/>
        <w:jc w:val="both"/>
        <w:rPr>
          <w:rFonts w:ascii="Times New Roman" w:hAnsi="Times New Roman" w:cs="Times New Roman"/>
          <w:sz w:val="28"/>
          <w:szCs w:val="28"/>
        </w:rPr>
      </w:pPr>
      <w:r w:rsidRPr="007B0DB3">
        <w:rPr>
          <w:rFonts w:ascii="Times New Roman" w:hAnsi="Times New Roman" w:cs="Times New Roman"/>
          <w:sz w:val="28"/>
          <w:szCs w:val="28"/>
        </w:rPr>
        <w:t>grupu, iekļaujot tajā</w:t>
      </w:r>
      <w:r w:rsidR="007B0DB3">
        <w:rPr>
          <w:rFonts w:ascii="Times New Roman" w:hAnsi="Times New Roman" w:cs="Times New Roman"/>
          <w:sz w:val="28"/>
          <w:szCs w:val="28"/>
        </w:rPr>
        <w:t xml:space="preserve"> </w:t>
      </w:r>
      <w:r w:rsidR="003250CE" w:rsidRPr="00AC5D59">
        <w:rPr>
          <w:rFonts w:ascii="Times New Roman" w:hAnsi="Times New Roman" w:cs="Times New Roman"/>
          <w:sz w:val="28"/>
          <w:szCs w:val="28"/>
        </w:rPr>
        <w:t>Finanšu</w:t>
      </w:r>
      <w:r w:rsidR="003250CE">
        <w:rPr>
          <w:rFonts w:ascii="Times New Roman" w:hAnsi="Times New Roman" w:cs="Times New Roman"/>
          <w:sz w:val="28"/>
          <w:szCs w:val="28"/>
        </w:rPr>
        <w:t xml:space="preserve"> ministrijas, </w:t>
      </w:r>
      <w:r>
        <w:rPr>
          <w:rFonts w:ascii="Times New Roman" w:hAnsi="Times New Roman" w:cs="Times New Roman"/>
          <w:sz w:val="28"/>
          <w:szCs w:val="28"/>
        </w:rPr>
        <w:t>Reģionālās attīstības un pašvaldību lietu ministrijas</w:t>
      </w:r>
      <w:r w:rsidR="007B0DB3">
        <w:rPr>
          <w:rFonts w:ascii="Times New Roman" w:hAnsi="Times New Roman" w:cs="Times New Roman"/>
          <w:sz w:val="28"/>
          <w:szCs w:val="28"/>
        </w:rPr>
        <w:t xml:space="preserve">, </w:t>
      </w:r>
      <w:r w:rsidR="003250CE">
        <w:rPr>
          <w:rFonts w:ascii="Times New Roman" w:hAnsi="Times New Roman" w:cs="Times New Roman"/>
          <w:sz w:val="28"/>
          <w:szCs w:val="28"/>
        </w:rPr>
        <w:t xml:space="preserve">Tieslietu ministrijas, </w:t>
      </w:r>
      <w:r w:rsidR="007B0DB3">
        <w:rPr>
          <w:rFonts w:ascii="Times New Roman" w:hAnsi="Times New Roman" w:cs="Times New Roman"/>
          <w:sz w:val="28"/>
          <w:szCs w:val="28"/>
        </w:rPr>
        <w:t>Valsts kases, Latvijas Komercbanku asociācijas</w:t>
      </w:r>
      <w:r w:rsidR="003250CE">
        <w:rPr>
          <w:rFonts w:ascii="Times New Roman" w:hAnsi="Times New Roman" w:cs="Times New Roman"/>
          <w:sz w:val="28"/>
          <w:szCs w:val="28"/>
        </w:rPr>
        <w:t>,</w:t>
      </w:r>
      <w:r w:rsidR="007B0DB3">
        <w:rPr>
          <w:rFonts w:ascii="Times New Roman" w:hAnsi="Times New Roman" w:cs="Times New Roman"/>
          <w:sz w:val="28"/>
          <w:szCs w:val="28"/>
        </w:rPr>
        <w:t xml:space="preserve"> Latvijas </w:t>
      </w:r>
      <w:r w:rsidR="003250CE">
        <w:rPr>
          <w:rFonts w:ascii="Times New Roman" w:hAnsi="Times New Roman" w:cs="Times New Roman"/>
          <w:sz w:val="28"/>
          <w:szCs w:val="28"/>
        </w:rPr>
        <w:t>Z</w:t>
      </w:r>
      <w:r w:rsidR="007B0DB3">
        <w:rPr>
          <w:rFonts w:ascii="Times New Roman" w:hAnsi="Times New Roman" w:cs="Times New Roman"/>
          <w:sz w:val="28"/>
          <w:szCs w:val="28"/>
        </w:rPr>
        <w:t xml:space="preserve">vērinātu notāru padomes pārstāvjus, kā arī </w:t>
      </w:r>
      <w:r w:rsidR="003250CE">
        <w:rPr>
          <w:rFonts w:ascii="Times New Roman" w:hAnsi="Times New Roman" w:cs="Times New Roman"/>
          <w:sz w:val="28"/>
          <w:szCs w:val="28"/>
        </w:rPr>
        <w:t xml:space="preserve">rajona tiesu </w:t>
      </w:r>
      <w:r w:rsidR="007B0DB3">
        <w:rPr>
          <w:rFonts w:ascii="Times New Roman" w:hAnsi="Times New Roman" w:cs="Times New Roman"/>
          <w:sz w:val="28"/>
          <w:szCs w:val="28"/>
        </w:rPr>
        <w:t xml:space="preserve">tiesnešus nepieciešamo grozījumu </w:t>
      </w:r>
      <w:r w:rsidR="007B0DB3">
        <w:rPr>
          <w:rFonts w:ascii="Times New Roman" w:eastAsia="Calibri" w:hAnsi="Times New Roman" w:cs="Times New Roman"/>
          <w:sz w:val="28"/>
          <w:szCs w:val="28"/>
        </w:rPr>
        <w:t>Vekseļu likumā, Notariāta likumā, Civilprocesa likumā, Ministru kabineta 2010.gada 21.jūnija noteikumos Nr. 558 „Noteikumi par valsts nodevu par operācijām ar vekseļiem” un Ministru kabineta 2010.gada 21.jūnija noteikumos Nr. 559 „Noteikumi par vekseļa protesta akta p</w:t>
      </w:r>
      <w:r w:rsidR="003250CE">
        <w:rPr>
          <w:rFonts w:ascii="Times New Roman" w:eastAsia="Calibri" w:hAnsi="Times New Roman" w:cs="Times New Roman"/>
          <w:sz w:val="28"/>
          <w:szCs w:val="28"/>
        </w:rPr>
        <w:t>araugiem” izstrādei.</w:t>
      </w:r>
      <w:r w:rsidR="007B0DB3">
        <w:rPr>
          <w:rFonts w:ascii="Times New Roman" w:hAnsi="Times New Roman" w:cs="Times New Roman"/>
          <w:sz w:val="28"/>
          <w:szCs w:val="28"/>
        </w:rPr>
        <w:t xml:space="preserve"> </w:t>
      </w:r>
    </w:p>
    <w:p w:rsidR="007B0DB3" w:rsidRDefault="007B0DB3" w:rsidP="007B0DB3">
      <w:pPr>
        <w:pStyle w:val="Sarakstarindkopa"/>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Noteikt, ka minētie normatīvo aktu projekti izstrādājami un </w:t>
      </w:r>
    </w:p>
    <w:p w:rsidR="007B0DB3" w:rsidRDefault="007B0DB3" w:rsidP="007B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7B0DB3">
        <w:rPr>
          <w:rFonts w:ascii="Times New Roman" w:hAnsi="Times New Roman" w:cs="Times New Roman"/>
          <w:sz w:val="28"/>
          <w:szCs w:val="28"/>
        </w:rPr>
        <w:t>esniedzami</w:t>
      </w:r>
      <w:r>
        <w:rPr>
          <w:rFonts w:ascii="Times New Roman" w:hAnsi="Times New Roman" w:cs="Times New Roman"/>
          <w:sz w:val="28"/>
          <w:szCs w:val="28"/>
        </w:rPr>
        <w:t xml:space="preserve"> noteiktā kārtībā Ministru kabinetā līdz 2012.gada 31.decembrim.</w:t>
      </w:r>
      <w:r w:rsidRPr="007B0DB3">
        <w:rPr>
          <w:rFonts w:ascii="Times New Roman" w:hAnsi="Times New Roman" w:cs="Times New Roman"/>
          <w:sz w:val="28"/>
          <w:szCs w:val="28"/>
        </w:rPr>
        <w:t xml:space="preserve"> </w:t>
      </w:r>
    </w:p>
    <w:p w:rsidR="006D5BCC" w:rsidRDefault="003250CE" w:rsidP="007B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Priekšlikumu īstenošanai nav fiskāla ietekme.</w:t>
      </w:r>
    </w:p>
    <w:p w:rsidR="006D5BCC" w:rsidRDefault="006D5BCC"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9F5A19" w:rsidRDefault="009F5A19" w:rsidP="009F5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3250CE">
        <w:rPr>
          <w:rFonts w:ascii="Times New Roman" w:hAnsi="Times New Roman" w:cs="Times New Roman"/>
          <w:sz w:val="28"/>
          <w:szCs w:val="28"/>
        </w:rPr>
        <w:t>ieslietu ministr</w:t>
      </w:r>
      <w:r>
        <w:rPr>
          <w:rFonts w:ascii="Times New Roman" w:hAnsi="Times New Roman" w:cs="Times New Roman"/>
          <w:sz w:val="28"/>
          <w:szCs w:val="28"/>
        </w:rPr>
        <w:t xml:space="preserve">s                                                                         </w:t>
      </w:r>
      <w:proofErr w:type="spellStart"/>
      <w:r w:rsidR="00D632DF">
        <w:rPr>
          <w:rFonts w:ascii="Times New Roman" w:hAnsi="Times New Roman" w:cs="Times New Roman"/>
          <w:sz w:val="28"/>
          <w:szCs w:val="28"/>
        </w:rPr>
        <w:t>A.Štokenbergs</w:t>
      </w:r>
      <w:proofErr w:type="spellEnd"/>
    </w:p>
    <w:p w:rsidR="009F5A19" w:rsidRDefault="009F5A19" w:rsidP="009F5A19">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00628F" w:rsidRDefault="0000628F" w:rsidP="007B0DB3">
      <w:pPr>
        <w:spacing w:after="0" w:line="240" w:lineRule="auto"/>
        <w:jc w:val="both"/>
        <w:rPr>
          <w:rFonts w:ascii="Times New Roman" w:hAnsi="Times New Roman" w:cs="Times New Roman"/>
          <w:sz w:val="28"/>
          <w:szCs w:val="28"/>
        </w:rPr>
      </w:pPr>
    </w:p>
    <w:p w:rsidR="0000628F" w:rsidRDefault="0000628F"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2A07BF" w:rsidRDefault="002A07BF" w:rsidP="007B0DB3">
      <w:pPr>
        <w:spacing w:after="0" w:line="240" w:lineRule="auto"/>
        <w:jc w:val="both"/>
        <w:rPr>
          <w:rFonts w:ascii="Times New Roman" w:hAnsi="Times New Roman" w:cs="Times New Roman"/>
          <w:sz w:val="28"/>
          <w:szCs w:val="28"/>
        </w:rPr>
      </w:pPr>
    </w:p>
    <w:p w:rsidR="00D632DF" w:rsidRDefault="00D632DF" w:rsidP="007B0DB3">
      <w:pPr>
        <w:spacing w:after="0" w:line="240" w:lineRule="auto"/>
        <w:jc w:val="both"/>
        <w:rPr>
          <w:rFonts w:ascii="Times New Roman" w:hAnsi="Times New Roman" w:cs="Times New Roman"/>
          <w:sz w:val="28"/>
          <w:szCs w:val="28"/>
        </w:rPr>
      </w:pPr>
    </w:p>
    <w:p w:rsidR="002A07BF" w:rsidRPr="00E758F1" w:rsidRDefault="00D632DF" w:rsidP="002A07BF">
      <w:pPr>
        <w:pStyle w:val="naisf"/>
        <w:spacing w:before="0" w:beforeAutospacing="0" w:after="0" w:afterAutospacing="0"/>
      </w:pPr>
      <w:r>
        <w:t>03</w:t>
      </w:r>
      <w:r w:rsidR="002A07BF" w:rsidRPr="00E758F1">
        <w:t>.</w:t>
      </w:r>
      <w:r w:rsidR="00CB6548">
        <w:t>1</w:t>
      </w:r>
      <w:r>
        <w:t>1</w:t>
      </w:r>
      <w:r w:rsidR="002A07BF" w:rsidRPr="00E758F1">
        <w:t xml:space="preserve">.2010. </w:t>
      </w:r>
      <w:r w:rsidR="002A07BF">
        <w:t>1</w:t>
      </w:r>
      <w:r>
        <w:t>4</w:t>
      </w:r>
      <w:r w:rsidR="002A07BF" w:rsidRPr="00E758F1">
        <w:t>:</w:t>
      </w:r>
      <w:r>
        <w:t>07</w:t>
      </w:r>
    </w:p>
    <w:p w:rsidR="002A07BF" w:rsidRPr="00E758F1" w:rsidRDefault="002A07BF" w:rsidP="002A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628F">
        <w:rPr>
          <w:rFonts w:ascii="Times New Roman" w:hAnsi="Times New Roman" w:cs="Times New Roman"/>
          <w:sz w:val="24"/>
          <w:szCs w:val="24"/>
        </w:rPr>
        <w:t>2</w:t>
      </w:r>
      <w:r w:rsidR="00D632DF">
        <w:rPr>
          <w:rFonts w:ascii="Times New Roman" w:hAnsi="Times New Roman" w:cs="Times New Roman"/>
          <w:sz w:val="24"/>
          <w:szCs w:val="24"/>
        </w:rPr>
        <w:t>1</w:t>
      </w:r>
    </w:p>
    <w:p w:rsidR="002A07BF" w:rsidRPr="00E758F1" w:rsidRDefault="002A07BF" w:rsidP="002A07BF">
      <w:pPr>
        <w:spacing w:after="0" w:line="240" w:lineRule="auto"/>
        <w:jc w:val="both"/>
        <w:rPr>
          <w:rFonts w:ascii="Times New Roman" w:hAnsi="Times New Roman" w:cs="Times New Roman"/>
          <w:sz w:val="24"/>
          <w:szCs w:val="24"/>
        </w:rPr>
      </w:pPr>
      <w:r w:rsidRPr="00E758F1">
        <w:rPr>
          <w:rFonts w:ascii="Times New Roman" w:hAnsi="Times New Roman" w:cs="Times New Roman"/>
          <w:sz w:val="24"/>
          <w:szCs w:val="24"/>
        </w:rPr>
        <w:t>S.Rāgs</w:t>
      </w:r>
    </w:p>
    <w:p w:rsidR="002A07BF" w:rsidRPr="007B0DB3" w:rsidRDefault="002A07BF" w:rsidP="007B0DB3">
      <w:pPr>
        <w:spacing w:after="0" w:line="240" w:lineRule="auto"/>
        <w:jc w:val="both"/>
        <w:rPr>
          <w:rFonts w:ascii="Times New Roman" w:hAnsi="Times New Roman" w:cs="Times New Roman"/>
          <w:sz w:val="28"/>
          <w:szCs w:val="28"/>
        </w:rPr>
      </w:pPr>
      <w:r w:rsidRPr="00E758F1">
        <w:rPr>
          <w:rFonts w:ascii="Times New Roman" w:hAnsi="Times New Roman" w:cs="Times New Roman"/>
          <w:sz w:val="24"/>
          <w:szCs w:val="24"/>
        </w:rPr>
        <w:t>67036974, Sandris.Rags@tm.gov.lv</w:t>
      </w:r>
      <w:bookmarkStart w:id="0" w:name="bkm827"/>
      <w:bookmarkStart w:id="1" w:name="p2180"/>
      <w:bookmarkEnd w:id="0"/>
      <w:bookmarkEnd w:id="1"/>
    </w:p>
    <w:sectPr w:rsidR="002A07BF" w:rsidRPr="007B0DB3" w:rsidSect="002A07BF">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CB" w:rsidRDefault="00D058CB" w:rsidP="006D5BCC">
      <w:pPr>
        <w:spacing w:after="0" w:line="240" w:lineRule="auto"/>
      </w:pPr>
      <w:r>
        <w:separator/>
      </w:r>
    </w:p>
  </w:endnote>
  <w:endnote w:type="continuationSeparator" w:id="0">
    <w:p w:rsidR="00D058CB" w:rsidRDefault="00D058CB" w:rsidP="006D5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CB" w:rsidRPr="002A07BF" w:rsidRDefault="00D058CB" w:rsidP="002A07BF">
    <w:pPr>
      <w:pStyle w:val="Kjene"/>
      <w:jc w:val="both"/>
      <w:rPr>
        <w:rFonts w:ascii="Times New Roman" w:hAnsi="Times New Roman" w:cs="Times New Roman"/>
        <w:sz w:val="24"/>
        <w:szCs w:val="24"/>
      </w:rPr>
    </w:pPr>
    <w:r w:rsidRPr="002A07BF">
      <w:rPr>
        <w:rFonts w:ascii="Times New Roman" w:hAnsi="Times New Roman" w:cs="Times New Roman"/>
        <w:sz w:val="24"/>
        <w:szCs w:val="24"/>
      </w:rPr>
      <w:t>TMZino_</w:t>
    </w:r>
    <w:r w:rsidR="00D632DF">
      <w:rPr>
        <w:rFonts w:ascii="Times New Roman" w:hAnsi="Times New Roman" w:cs="Times New Roman"/>
        <w:sz w:val="24"/>
        <w:szCs w:val="24"/>
      </w:rPr>
      <w:t>03</w:t>
    </w:r>
    <w:r w:rsidR="00CB6548">
      <w:rPr>
        <w:rFonts w:ascii="Times New Roman" w:hAnsi="Times New Roman" w:cs="Times New Roman"/>
        <w:sz w:val="24"/>
        <w:szCs w:val="24"/>
      </w:rPr>
      <w:t>1</w:t>
    </w:r>
    <w:r w:rsidR="00D632DF">
      <w:rPr>
        <w:rFonts w:ascii="Times New Roman" w:hAnsi="Times New Roman" w:cs="Times New Roman"/>
        <w:sz w:val="24"/>
        <w:szCs w:val="24"/>
      </w:rPr>
      <w:t>1</w:t>
    </w:r>
    <w:r w:rsidRPr="002A07BF">
      <w:rPr>
        <w:rFonts w:ascii="Times New Roman" w:hAnsi="Times New Roman" w:cs="Times New Roman"/>
        <w:sz w:val="24"/>
        <w:szCs w:val="24"/>
      </w:rPr>
      <w:t>10_evekseli; Informatīvais ziņojums „Par priekšlikumiem grozījumiem normatīvajos aktos vekseļu elektroniskas aprites nodrošināšanai”</w:t>
    </w:r>
  </w:p>
  <w:p w:rsidR="00D058CB" w:rsidRDefault="00D058C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CB" w:rsidRPr="002A07BF" w:rsidRDefault="00D058CB" w:rsidP="002A07BF">
    <w:pPr>
      <w:pStyle w:val="Kjene"/>
      <w:jc w:val="both"/>
      <w:rPr>
        <w:rFonts w:ascii="Times New Roman" w:hAnsi="Times New Roman" w:cs="Times New Roman"/>
        <w:sz w:val="24"/>
        <w:szCs w:val="24"/>
      </w:rPr>
    </w:pPr>
    <w:r w:rsidRPr="002A07BF">
      <w:rPr>
        <w:rFonts w:ascii="Times New Roman" w:hAnsi="Times New Roman" w:cs="Times New Roman"/>
        <w:sz w:val="24"/>
        <w:szCs w:val="24"/>
      </w:rPr>
      <w:t>TMZino_</w:t>
    </w:r>
    <w:r w:rsidR="00D632DF">
      <w:rPr>
        <w:rFonts w:ascii="Times New Roman" w:hAnsi="Times New Roman" w:cs="Times New Roman"/>
        <w:sz w:val="24"/>
        <w:szCs w:val="24"/>
      </w:rPr>
      <w:t>03</w:t>
    </w:r>
    <w:r w:rsidR="00CB6548">
      <w:rPr>
        <w:rFonts w:ascii="Times New Roman" w:hAnsi="Times New Roman" w:cs="Times New Roman"/>
        <w:sz w:val="24"/>
        <w:szCs w:val="24"/>
      </w:rPr>
      <w:t>1</w:t>
    </w:r>
    <w:r w:rsidR="00D632DF">
      <w:rPr>
        <w:rFonts w:ascii="Times New Roman" w:hAnsi="Times New Roman" w:cs="Times New Roman"/>
        <w:sz w:val="24"/>
        <w:szCs w:val="24"/>
      </w:rPr>
      <w:t>1</w:t>
    </w:r>
    <w:r w:rsidRPr="002A07BF">
      <w:rPr>
        <w:rFonts w:ascii="Times New Roman" w:hAnsi="Times New Roman" w:cs="Times New Roman"/>
        <w:sz w:val="24"/>
        <w:szCs w:val="24"/>
      </w:rPr>
      <w:t>10_evekseli; Informatīvais ziņojums „Par priekšlikumiem grozījumiem normatīvajos aktos vekseļu elektroniskas aprites nodrošināšanai”</w:t>
    </w:r>
  </w:p>
  <w:p w:rsidR="00D058CB" w:rsidRPr="002A07BF" w:rsidRDefault="00D058CB" w:rsidP="002A07BF">
    <w:pPr>
      <w:pStyle w:val="Kjene"/>
      <w:rPr>
        <w:rFonts w:ascii="Times New Roman" w:hAnsi="Times New Roman" w:cs="Times New Roman"/>
        <w:sz w:val="24"/>
        <w:szCs w:val="24"/>
      </w:rPr>
    </w:pPr>
  </w:p>
  <w:p w:rsidR="00D058CB" w:rsidRPr="002A07BF" w:rsidRDefault="00D058CB">
    <w:pPr>
      <w:pStyle w:val="Kjene"/>
      <w:rPr>
        <w:rFonts w:ascii="Times New Roman" w:hAnsi="Times New Roman" w:cs="Times New Roman"/>
        <w:sz w:val="24"/>
        <w:szCs w:val="24"/>
      </w:rPr>
    </w:pPr>
  </w:p>
  <w:p w:rsidR="00D058CB" w:rsidRDefault="00D058C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CB" w:rsidRDefault="00D058CB" w:rsidP="006D5BCC">
      <w:pPr>
        <w:spacing w:after="0" w:line="240" w:lineRule="auto"/>
      </w:pPr>
      <w:r>
        <w:separator/>
      </w:r>
    </w:p>
  </w:footnote>
  <w:footnote w:type="continuationSeparator" w:id="0">
    <w:p w:rsidR="00D058CB" w:rsidRDefault="00D058CB" w:rsidP="006D5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3346"/>
      <w:docPartObj>
        <w:docPartGallery w:val="Page Numbers (Top of Page)"/>
        <w:docPartUnique/>
      </w:docPartObj>
    </w:sdtPr>
    <w:sdtContent>
      <w:p w:rsidR="00D058CB" w:rsidRDefault="00B82E88">
        <w:pPr>
          <w:pStyle w:val="Galvene"/>
          <w:jc w:val="center"/>
        </w:pPr>
        <w:fldSimple w:instr=" PAGE   \* MERGEFORMAT ">
          <w:r w:rsidR="00D632DF">
            <w:rPr>
              <w:noProof/>
            </w:rPr>
            <w:t>2</w:t>
          </w:r>
        </w:fldSimple>
      </w:p>
    </w:sdtContent>
  </w:sdt>
  <w:p w:rsidR="00D058CB" w:rsidRDefault="00D058C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3DF0"/>
    <w:multiLevelType w:val="hybridMultilevel"/>
    <w:tmpl w:val="78C49C18"/>
    <w:lvl w:ilvl="0" w:tplc="8ABCD3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3550798"/>
    <w:multiLevelType w:val="hybridMultilevel"/>
    <w:tmpl w:val="AC025514"/>
    <w:lvl w:ilvl="0" w:tplc="7E1C9250">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
    <w:nsid w:val="62EF3A0C"/>
    <w:multiLevelType w:val="hybridMultilevel"/>
    <w:tmpl w:val="D4068834"/>
    <w:lvl w:ilvl="0" w:tplc="A30EFA6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B31"/>
    <w:rsid w:val="00004D05"/>
    <w:rsid w:val="0000628F"/>
    <w:rsid w:val="00034B56"/>
    <w:rsid w:val="00070B48"/>
    <w:rsid w:val="001032D0"/>
    <w:rsid w:val="002A07BF"/>
    <w:rsid w:val="003250CE"/>
    <w:rsid w:val="003903D4"/>
    <w:rsid w:val="00414C0C"/>
    <w:rsid w:val="00483CD2"/>
    <w:rsid w:val="004D7E1B"/>
    <w:rsid w:val="00586391"/>
    <w:rsid w:val="00622034"/>
    <w:rsid w:val="006D5BCC"/>
    <w:rsid w:val="007B0DB3"/>
    <w:rsid w:val="008C22EC"/>
    <w:rsid w:val="009170F0"/>
    <w:rsid w:val="00923FA6"/>
    <w:rsid w:val="009F5A19"/>
    <w:rsid w:val="00A603ED"/>
    <w:rsid w:val="00AA65D7"/>
    <w:rsid w:val="00AC5D59"/>
    <w:rsid w:val="00B31B31"/>
    <w:rsid w:val="00B82E88"/>
    <w:rsid w:val="00BB3A55"/>
    <w:rsid w:val="00BE7691"/>
    <w:rsid w:val="00C71E61"/>
    <w:rsid w:val="00CA44A9"/>
    <w:rsid w:val="00CB6548"/>
    <w:rsid w:val="00CF284E"/>
    <w:rsid w:val="00D058CB"/>
    <w:rsid w:val="00D632DF"/>
    <w:rsid w:val="00E1587C"/>
    <w:rsid w:val="00EB5FF7"/>
    <w:rsid w:val="00F1631E"/>
    <w:rsid w:val="00F73B6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158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AA65D7"/>
    <w:pPr>
      <w:ind w:left="720"/>
      <w:contextualSpacing/>
    </w:pPr>
  </w:style>
  <w:style w:type="paragraph" w:styleId="Galvene">
    <w:name w:val="header"/>
    <w:basedOn w:val="Parastais"/>
    <w:link w:val="GalveneRakstz"/>
    <w:uiPriority w:val="99"/>
    <w:unhideWhenUsed/>
    <w:rsid w:val="006D5B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5BCC"/>
  </w:style>
  <w:style w:type="paragraph" w:styleId="Kjene">
    <w:name w:val="footer"/>
    <w:basedOn w:val="Parastais"/>
    <w:link w:val="KjeneRakstz"/>
    <w:uiPriority w:val="99"/>
    <w:unhideWhenUsed/>
    <w:rsid w:val="006D5B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5BCC"/>
  </w:style>
  <w:style w:type="paragraph" w:customStyle="1" w:styleId="naisf">
    <w:name w:val="naisf"/>
    <w:basedOn w:val="Parastais"/>
    <w:rsid w:val="002A07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2A07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0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3805</Characters>
  <Application>Microsoft Office Word</Application>
  <DocSecurity>0</DocSecurity>
  <Lines>86</Lines>
  <Paragraphs>30</Paragraphs>
  <ScaleCrop>false</ScaleCrop>
  <HeadingPairs>
    <vt:vector size="2" baseType="variant">
      <vt:variant>
        <vt:lpstr>Nosaukums</vt:lpstr>
      </vt:variant>
      <vt:variant>
        <vt:i4>1</vt:i4>
      </vt:variant>
    </vt:vector>
  </HeadingPairs>
  <TitlesOfParts>
    <vt:vector size="1" baseType="lpstr">
      <vt:lpstr>Par priekšlikumiem grozījumiem normatīvajos aktos vekseļu elektroniskas aprites nodrošināšanai</vt:lpstr>
    </vt:vector>
  </TitlesOfParts>
  <Company>Tieslietu Ministrija</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priekšlikumiem grozījumiem normatīvajos aktos vekseļu elektroniskas aprites nodrošināšanai</dc:title>
  <dc:subject>Informatīvais ziņojums</dc:subject>
  <dc:creator>Sandris Rāgs</dc:creator>
  <cp:keywords/>
  <dc:description>67036974
sandris.rags@tm.gov.lv</dc:description>
  <cp:lastModifiedBy>Sandris Rāgs</cp:lastModifiedBy>
  <cp:revision>2</cp:revision>
  <cp:lastPrinted>2010-09-23T09:00:00Z</cp:lastPrinted>
  <dcterms:created xsi:type="dcterms:W3CDTF">2010-11-03T12:06:00Z</dcterms:created>
  <dcterms:modified xsi:type="dcterms:W3CDTF">2010-11-03T12:06:00Z</dcterms:modified>
</cp:coreProperties>
</file>