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A5" w:rsidRPr="009866DA" w:rsidRDefault="006A2EA5" w:rsidP="006A2EA5">
      <w:pPr>
        <w:jc w:val="center"/>
        <w:rPr>
          <w:sz w:val="28"/>
          <w:szCs w:val="28"/>
        </w:rPr>
      </w:pPr>
      <w:r w:rsidRPr="009866DA">
        <w:rPr>
          <w:b/>
          <w:sz w:val="28"/>
          <w:szCs w:val="28"/>
        </w:rPr>
        <w:t>Informatīvais ziņojums par Administratīvās rajona tiesas Rīgas tiesu nama un Rīgas pilsētas Ziemeļu rajona tiesas pārvietošanu uz citām telpām</w:t>
      </w:r>
    </w:p>
    <w:p w:rsidR="006A2EA5" w:rsidRPr="009866DA" w:rsidRDefault="006A2EA5" w:rsidP="006A2EA5">
      <w:pPr>
        <w:ind w:firstLine="720"/>
        <w:rPr>
          <w:sz w:val="28"/>
          <w:szCs w:val="28"/>
        </w:rPr>
      </w:pPr>
    </w:p>
    <w:p w:rsidR="006A2EA5" w:rsidRPr="009866DA" w:rsidRDefault="006A2EA5" w:rsidP="006A2EA5">
      <w:pPr>
        <w:ind w:firstLine="720"/>
        <w:jc w:val="both"/>
        <w:rPr>
          <w:sz w:val="28"/>
          <w:szCs w:val="28"/>
        </w:rPr>
      </w:pPr>
      <w:r w:rsidRPr="009866DA">
        <w:rPr>
          <w:sz w:val="28"/>
          <w:szCs w:val="28"/>
        </w:rPr>
        <w:t>Informatīvais ziņojums sagatavots, izpildot Ministru kabineta 2010. gada 14. decembra sēdē Tieslietu ministrijai doto uzdevumu (prot. Nr. 73, 40.§) nodrošināt divas tiesas ar darba telpām un ne vēlāk kā līdz 2012. gada 1. jūlijam atbrīvot nekustamā īpašuma Antonijas ielā 6 (Pumpura ielā 1) daļu (</w:t>
      </w:r>
      <w:proofErr w:type="spellStart"/>
      <w:r w:rsidRPr="009866DA">
        <w:rPr>
          <w:sz w:val="28"/>
          <w:szCs w:val="28"/>
        </w:rPr>
        <w:t>liters</w:t>
      </w:r>
      <w:proofErr w:type="spellEnd"/>
      <w:r w:rsidRPr="009866DA">
        <w:rPr>
          <w:sz w:val="28"/>
          <w:szCs w:val="28"/>
        </w:rPr>
        <w:t xml:space="preserve"> Nr.001 un Nr.003) un minētā uzdevuma izpildei līdz 2011. gada 1. jūnijam noteiktā kārtībā iesniegt izskatīšanai Ministru kabinetā informatīvo ziņojumu par tiesu nodrošinājumu ar darba telpām. </w:t>
      </w:r>
    </w:p>
    <w:p w:rsidR="006A2EA5" w:rsidRPr="009866DA" w:rsidRDefault="006A2EA5" w:rsidP="006A2EA5">
      <w:pPr>
        <w:ind w:firstLine="720"/>
        <w:jc w:val="both"/>
        <w:rPr>
          <w:sz w:val="28"/>
          <w:szCs w:val="28"/>
        </w:rPr>
      </w:pPr>
    </w:p>
    <w:p w:rsidR="006A2EA5" w:rsidRPr="009866DA" w:rsidRDefault="006A2EA5" w:rsidP="006A2EA5">
      <w:pPr>
        <w:jc w:val="center"/>
        <w:rPr>
          <w:b/>
          <w:sz w:val="28"/>
          <w:szCs w:val="28"/>
        </w:rPr>
      </w:pPr>
      <w:r w:rsidRPr="009866DA">
        <w:rPr>
          <w:b/>
          <w:sz w:val="28"/>
          <w:szCs w:val="28"/>
        </w:rPr>
        <w:t xml:space="preserve">Situācijas izklāsts </w:t>
      </w:r>
    </w:p>
    <w:p w:rsidR="006A2EA5" w:rsidRPr="009866DA" w:rsidRDefault="006A2EA5" w:rsidP="006A2EA5">
      <w:pPr>
        <w:ind w:firstLine="720"/>
        <w:jc w:val="both"/>
        <w:rPr>
          <w:sz w:val="28"/>
          <w:szCs w:val="28"/>
        </w:rPr>
      </w:pPr>
    </w:p>
    <w:p w:rsidR="007A265C" w:rsidRPr="009866DA" w:rsidRDefault="007A265C" w:rsidP="007A265C">
      <w:pPr>
        <w:ind w:firstLine="720"/>
        <w:jc w:val="both"/>
        <w:rPr>
          <w:sz w:val="28"/>
          <w:szCs w:val="28"/>
        </w:rPr>
      </w:pPr>
      <w:r w:rsidRPr="009866DA">
        <w:rPr>
          <w:sz w:val="28"/>
          <w:szCs w:val="28"/>
        </w:rPr>
        <w:t>Šobrīd Administratīvās rajona tiesas Rīgas tiesu nams un Rīgas pilsētas Ziemeļu rajona tiesa kopā aizņem 4540,2 m</w:t>
      </w:r>
      <w:r w:rsidRPr="009866DA">
        <w:rPr>
          <w:sz w:val="28"/>
          <w:szCs w:val="28"/>
          <w:vertAlign w:val="superscript"/>
        </w:rPr>
        <w:t>2</w:t>
      </w:r>
      <w:r w:rsidRPr="009866DA">
        <w:rPr>
          <w:sz w:val="28"/>
          <w:szCs w:val="28"/>
        </w:rPr>
        <w:t xml:space="preserve"> lielu platību nekustamajā īpašumā Antonijas ielā 6 (Pumpura ielā 1), to starp Administratīvās rajona tiesas Rīgas tiesu nams – 2919,2 m</w:t>
      </w:r>
      <w:r w:rsidRPr="009866DA">
        <w:rPr>
          <w:sz w:val="28"/>
          <w:szCs w:val="28"/>
          <w:vertAlign w:val="superscript"/>
        </w:rPr>
        <w:t>2</w:t>
      </w:r>
      <w:r w:rsidRPr="009866DA">
        <w:rPr>
          <w:sz w:val="28"/>
          <w:szCs w:val="28"/>
        </w:rPr>
        <w:t>, bet Rīgas pilsētas Ziemeļu rajona tiesa – 1621 m</w:t>
      </w:r>
      <w:r w:rsidRPr="009866DA">
        <w:rPr>
          <w:sz w:val="28"/>
          <w:szCs w:val="28"/>
          <w:vertAlign w:val="superscript"/>
        </w:rPr>
        <w:t>2</w:t>
      </w:r>
      <w:r w:rsidRPr="009866DA">
        <w:rPr>
          <w:sz w:val="28"/>
          <w:szCs w:val="28"/>
        </w:rPr>
        <w:t xml:space="preserve">. </w:t>
      </w:r>
    </w:p>
    <w:p w:rsidR="006A2EA5" w:rsidRPr="009866DA" w:rsidRDefault="006A2EA5" w:rsidP="006A2EA5">
      <w:pPr>
        <w:ind w:firstLine="720"/>
        <w:jc w:val="both"/>
        <w:rPr>
          <w:sz w:val="28"/>
          <w:szCs w:val="28"/>
        </w:rPr>
      </w:pPr>
      <w:r w:rsidRPr="009866DA">
        <w:rPr>
          <w:sz w:val="28"/>
          <w:szCs w:val="28"/>
        </w:rPr>
        <w:t>Ar Ministru kabineta 2010. gada 14. decembra lēmumu atbalstīts Latvijas Republikas valdības un Krievijas Federācijas vienošanās par Latvijas Republikas vēstniecības Krievijas Federācijā un Krievijas Federācijas vēstniecības Latvijas Republikā izvietošanas nosacījumiem projekts. Atbilstoši minētajai vienošanās Krievijas Federācijas vēstniecības Latvijas Republikā izvietošanas vajadzībām Krievijas Federācijas īpašumā tiek nodota ēkas Antonijas ielā 6 (Pumpura ielā 1) daļa ar kopējo platību 3132,1 m</w:t>
      </w:r>
      <w:r w:rsidRPr="009866DA">
        <w:rPr>
          <w:sz w:val="28"/>
          <w:szCs w:val="28"/>
          <w:vertAlign w:val="superscript"/>
        </w:rPr>
        <w:t>2</w:t>
      </w:r>
      <w:r w:rsidRPr="009866DA">
        <w:rPr>
          <w:sz w:val="28"/>
          <w:szCs w:val="28"/>
        </w:rPr>
        <w:t xml:space="preserve">. </w:t>
      </w:r>
      <w:r w:rsidR="007A265C" w:rsidRPr="009866DA">
        <w:rPr>
          <w:sz w:val="28"/>
          <w:szCs w:val="28"/>
        </w:rPr>
        <w:t xml:space="preserve">Atbilstoši Ārlietu ministrijas sniegtajai informācijai minētā vienošanās </w:t>
      </w:r>
      <w:r w:rsidR="00FC1F90" w:rsidRPr="009866DA">
        <w:rPr>
          <w:sz w:val="28"/>
          <w:szCs w:val="28"/>
        </w:rPr>
        <w:t>ir stājusies spēkā šā gada 16. m</w:t>
      </w:r>
      <w:r w:rsidR="007A265C" w:rsidRPr="009866DA">
        <w:rPr>
          <w:sz w:val="28"/>
          <w:szCs w:val="28"/>
        </w:rPr>
        <w:t>aijā un Latvija ir pilnā mērā uzņēmusies saistības atbrīvot ēku Antonijas ielā 6 (Pumpura ielā 1) līdz 2012. gada 1. jūlijam.</w:t>
      </w:r>
    </w:p>
    <w:p w:rsidR="000F0873" w:rsidRPr="009866DA" w:rsidRDefault="006A2EA5" w:rsidP="000F0873">
      <w:pPr>
        <w:ind w:firstLine="720"/>
        <w:jc w:val="both"/>
        <w:rPr>
          <w:sz w:val="28"/>
          <w:szCs w:val="28"/>
        </w:rPr>
      </w:pPr>
      <w:r w:rsidRPr="009866DA">
        <w:rPr>
          <w:sz w:val="28"/>
          <w:szCs w:val="28"/>
        </w:rPr>
        <w:t>Ņemot vērā minētos apstākļus, neatliekami risināms jautājums par Administratīvās rajona tiesas Rīgas tiesu nama un Rīgas pilsētas Ziemeļu rajona tiesas izvietošanu citās telpās.</w:t>
      </w:r>
    </w:p>
    <w:p w:rsidR="002D08EB" w:rsidRPr="009866DA" w:rsidRDefault="002D08EB" w:rsidP="002D08EB">
      <w:pPr>
        <w:ind w:firstLine="720"/>
        <w:jc w:val="both"/>
        <w:rPr>
          <w:b/>
          <w:sz w:val="28"/>
          <w:szCs w:val="28"/>
        </w:rPr>
      </w:pPr>
      <w:r w:rsidRPr="009866DA">
        <w:rPr>
          <w:sz w:val="28"/>
          <w:szCs w:val="28"/>
        </w:rPr>
        <w:t xml:space="preserve">Ēka Antonijas ielā 6 (Pumpura ielā 1) sākotnēji būvēta kā dzīvojamā ēka. Tādējādi tajā izvietotās tiesas šobrīd </w:t>
      </w:r>
      <w:r w:rsidR="00FD03DD" w:rsidRPr="009866DA">
        <w:rPr>
          <w:sz w:val="28"/>
          <w:szCs w:val="28"/>
        </w:rPr>
        <w:t xml:space="preserve">darbu veic </w:t>
      </w:r>
      <w:r w:rsidR="00B1104E" w:rsidRPr="009866DA">
        <w:rPr>
          <w:sz w:val="28"/>
          <w:szCs w:val="28"/>
        </w:rPr>
        <w:t xml:space="preserve">savam darbam un tā specifikai </w:t>
      </w:r>
      <w:r w:rsidR="007A265C" w:rsidRPr="009866DA">
        <w:rPr>
          <w:sz w:val="28"/>
          <w:szCs w:val="28"/>
        </w:rPr>
        <w:t xml:space="preserve">absolūti </w:t>
      </w:r>
      <w:r w:rsidR="00B1104E" w:rsidRPr="009866DA">
        <w:rPr>
          <w:sz w:val="28"/>
          <w:szCs w:val="28"/>
        </w:rPr>
        <w:t>neatbilstošās telpās</w:t>
      </w:r>
      <w:r w:rsidR="00FD03DD" w:rsidRPr="009866DA">
        <w:rPr>
          <w:sz w:val="28"/>
          <w:szCs w:val="28"/>
        </w:rPr>
        <w:t xml:space="preserve"> </w:t>
      </w:r>
      <w:r w:rsidRPr="009866DA">
        <w:rPr>
          <w:sz w:val="28"/>
          <w:szCs w:val="28"/>
        </w:rPr>
        <w:t xml:space="preserve">gan pēc telpu izvietojuma </w:t>
      </w:r>
      <w:r w:rsidR="007A265C" w:rsidRPr="009866DA">
        <w:rPr>
          <w:sz w:val="28"/>
          <w:szCs w:val="28"/>
        </w:rPr>
        <w:t>un to tehniskā stāvokļa (tehniski</w:t>
      </w:r>
      <w:r w:rsidR="00B1104E" w:rsidRPr="009866DA">
        <w:rPr>
          <w:sz w:val="28"/>
          <w:szCs w:val="28"/>
        </w:rPr>
        <w:t xml:space="preserve"> nav iespējams nodrošināt tiesas telpu iekārtošanu</w:t>
      </w:r>
      <w:r w:rsidR="007A265C" w:rsidRPr="009866DA">
        <w:rPr>
          <w:sz w:val="28"/>
          <w:szCs w:val="28"/>
        </w:rPr>
        <w:t>,</w:t>
      </w:r>
      <w:r w:rsidR="00B1104E" w:rsidRPr="009866DA">
        <w:rPr>
          <w:sz w:val="28"/>
          <w:szCs w:val="28"/>
        </w:rPr>
        <w:t xml:space="preserve"> </w:t>
      </w:r>
      <w:r w:rsidR="007A265C" w:rsidRPr="009866DA">
        <w:rPr>
          <w:sz w:val="28"/>
          <w:szCs w:val="28"/>
        </w:rPr>
        <w:t>atsevišķi nodalot</w:t>
      </w:r>
      <w:r w:rsidR="00B1104E" w:rsidRPr="009866DA">
        <w:rPr>
          <w:sz w:val="28"/>
          <w:szCs w:val="28"/>
        </w:rPr>
        <w:t xml:space="preserve"> publisko un apmeklētājiem pieejamo zonu no slēgtās jeb tiesas darbinieku darba zonas, kā arī nodrošināt normatīvajos aktos noteiktajām prasībām atbilstošas tiesas arhīva telpas)</w:t>
      </w:r>
      <w:r w:rsidRPr="009866DA">
        <w:rPr>
          <w:sz w:val="28"/>
          <w:szCs w:val="28"/>
        </w:rPr>
        <w:t xml:space="preserve">, gan arī pēc platības. </w:t>
      </w:r>
      <w:r w:rsidR="00FE34C4" w:rsidRPr="009866DA">
        <w:rPr>
          <w:sz w:val="28"/>
          <w:szCs w:val="28"/>
        </w:rPr>
        <w:t xml:space="preserve">Lai nodrošinātu kvalitatīva tiesas procesa norisi, </w:t>
      </w:r>
      <w:r w:rsidR="000A1BF0" w:rsidRPr="009866DA">
        <w:rPr>
          <w:sz w:val="28"/>
          <w:szCs w:val="28"/>
        </w:rPr>
        <w:t>Tiesu administrācijas 2009. gada 24. augusta kārtīb</w:t>
      </w:r>
      <w:r w:rsidR="00FE34C4" w:rsidRPr="009866DA">
        <w:rPr>
          <w:sz w:val="28"/>
          <w:szCs w:val="28"/>
        </w:rPr>
        <w:t>a</w:t>
      </w:r>
      <w:r w:rsidR="000A1BF0" w:rsidRPr="009866DA">
        <w:rPr>
          <w:sz w:val="28"/>
          <w:szCs w:val="28"/>
        </w:rPr>
        <w:t xml:space="preserve"> Nr. 1-3/53 „Rajonu (pilsētu) tiesu un apgabaltiesu ēku un telpu aprīkojuma prasības un to piemērošanas kārtība” </w:t>
      </w:r>
      <w:r w:rsidR="00FE34C4" w:rsidRPr="009866DA">
        <w:rPr>
          <w:sz w:val="28"/>
          <w:szCs w:val="28"/>
        </w:rPr>
        <w:t xml:space="preserve">nosaka prasības rajona (pilsētas) tiesu ēkām un telpām. </w:t>
      </w:r>
      <w:r w:rsidR="00B1104E" w:rsidRPr="009866DA">
        <w:rPr>
          <w:sz w:val="28"/>
          <w:szCs w:val="28"/>
        </w:rPr>
        <w:t>M</w:t>
      </w:r>
      <w:r w:rsidR="00BA69A1" w:rsidRPr="009866DA">
        <w:rPr>
          <w:sz w:val="28"/>
          <w:szCs w:val="28"/>
        </w:rPr>
        <w:t xml:space="preserve">inētā kārtība nosaka </w:t>
      </w:r>
      <w:r w:rsidR="00B1104E" w:rsidRPr="009866DA">
        <w:rPr>
          <w:sz w:val="28"/>
          <w:szCs w:val="28"/>
        </w:rPr>
        <w:t xml:space="preserve">konkrētu </w:t>
      </w:r>
      <w:r w:rsidR="00BA69A1" w:rsidRPr="009866DA">
        <w:rPr>
          <w:sz w:val="28"/>
          <w:szCs w:val="28"/>
        </w:rPr>
        <w:t>optimālo platību dažādu funkciju telpām</w:t>
      </w:r>
      <w:r w:rsidR="007A265C" w:rsidRPr="009866DA">
        <w:rPr>
          <w:sz w:val="28"/>
          <w:szCs w:val="28"/>
        </w:rPr>
        <w:t xml:space="preserve"> (tiesneša, tiesneša palīga un</w:t>
      </w:r>
      <w:r w:rsidR="00BA69A1" w:rsidRPr="009866DA">
        <w:rPr>
          <w:sz w:val="28"/>
          <w:szCs w:val="28"/>
        </w:rPr>
        <w:t xml:space="preserve"> tiesas sēžu sekretāra kabinetiem, tiesas zālēm, tiesas </w:t>
      </w:r>
      <w:r w:rsidR="00BA69A1" w:rsidRPr="009866DA">
        <w:rPr>
          <w:sz w:val="28"/>
          <w:szCs w:val="28"/>
        </w:rPr>
        <w:lastRenderedPageBreak/>
        <w:t>apspriežu telpām, tiesas kancelejas darba un arhīva telpām</w:t>
      </w:r>
      <w:r w:rsidR="00B1104E" w:rsidRPr="009866DA">
        <w:rPr>
          <w:sz w:val="28"/>
          <w:szCs w:val="28"/>
        </w:rPr>
        <w:t>, konvoja dienesta darbinieku telpām</w:t>
      </w:r>
      <w:r w:rsidR="00BA69A1" w:rsidRPr="009866DA">
        <w:rPr>
          <w:sz w:val="28"/>
          <w:szCs w:val="28"/>
        </w:rPr>
        <w:t xml:space="preserve"> u.c.).</w:t>
      </w:r>
      <w:r w:rsidR="00BA69A1" w:rsidRPr="009866DA">
        <w:rPr>
          <w:color w:val="FF0000"/>
          <w:sz w:val="28"/>
          <w:szCs w:val="28"/>
        </w:rPr>
        <w:t xml:space="preserve"> </w:t>
      </w:r>
      <w:r w:rsidR="00FE34C4" w:rsidRPr="009866DA">
        <w:rPr>
          <w:sz w:val="28"/>
          <w:szCs w:val="28"/>
        </w:rPr>
        <w:t xml:space="preserve">Ņemot vērā minēto, kā </w:t>
      </w:r>
      <w:r w:rsidR="007A265C" w:rsidRPr="009866DA">
        <w:rPr>
          <w:sz w:val="28"/>
          <w:szCs w:val="28"/>
        </w:rPr>
        <w:t>arī tiesās apstiprināto tiesnešu</w:t>
      </w:r>
      <w:r w:rsidR="00FE34C4" w:rsidRPr="009866DA">
        <w:rPr>
          <w:sz w:val="28"/>
          <w:szCs w:val="28"/>
        </w:rPr>
        <w:t xml:space="preserve"> </w:t>
      </w:r>
      <w:r w:rsidR="007A265C" w:rsidRPr="009866DA">
        <w:rPr>
          <w:sz w:val="28"/>
          <w:szCs w:val="28"/>
        </w:rPr>
        <w:t>a</w:t>
      </w:r>
      <w:r w:rsidR="00FE34C4" w:rsidRPr="009866DA">
        <w:rPr>
          <w:sz w:val="28"/>
          <w:szCs w:val="28"/>
        </w:rPr>
        <w:t>mata vietu skaitu, n</w:t>
      </w:r>
      <w:r w:rsidR="000A1BF0" w:rsidRPr="009866DA">
        <w:rPr>
          <w:sz w:val="28"/>
          <w:szCs w:val="28"/>
        </w:rPr>
        <w:t>ormāla tiesas darba nodrošināšanai nepieciešamā telpu platība attiecībā uz Administratīvās rajona tiesas Rīgas tiesu namu veido aptuveni 3500 m</w:t>
      </w:r>
      <w:r w:rsidR="000A1BF0" w:rsidRPr="009866DA">
        <w:rPr>
          <w:sz w:val="28"/>
          <w:szCs w:val="28"/>
          <w:vertAlign w:val="superscript"/>
        </w:rPr>
        <w:t>2</w:t>
      </w:r>
      <w:r w:rsidR="000A1BF0" w:rsidRPr="009866DA">
        <w:rPr>
          <w:sz w:val="28"/>
          <w:szCs w:val="28"/>
        </w:rPr>
        <w:t>, bet attiecībā uz Rīgas pilsētas Ziemeļu rajona tiesu aptuveni 2000 m</w:t>
      </w:r>
      <w:r w:rsidR="000A1BF0" w:rsidRPr="009866DA">
        <w:rPr>
          <w:sz w:val="28"/>
          <w:szCs w:val="28"/>
          <w:vertAlign w:val="superscript"/>
        </w:rPr>
        <w:t>2</w:t>
      </w:r>
      <w:r w:rsidR="000A1BF0" w:rsidRPr="009866DA">
        <w:rPr>
          <w:sz w:val="28"/>
          <w:szCs w:val="28"/>
        </w:rPr>
        <w:t xml:space="preserve">. </w:t>
      </w:r>
    </w:p>
    <w:p w:rsidR="006A2EA5" w:rsidRPr="009866DA" w:rsidRDefault="006A2EA5" w:rsidP="006A2EA5">
      <w:pPr>
        <w:ind w:firstLine="720"/>
        <w:jc w:val="both"/>
        <w:rPr>
          <w:sz w:val="28"/>
          <w:szCs w:val="28"/>
        </w:rPr>
      </w:pPr>
      <w:r w:rsidRPr="009866DA">
        <w:rPr>
          <w:sz w:val="28"/>
          <w:szCs w:val="28"/>
        </w:rPr>
        <w:t>Darba gaitā tika izvērtēti vairāki iespējamie risinājumi Administratīvās rajona tiesas Rīgas tiesu nama un Rīgas pilsētas Ziemeļu rajona tiesas izvietošanai citās telpās. Finanšu ministrija sadarbībā ar VAS „Valsts nekustamie īpašumi”, izskatot iespējas pārvietot Administratīvās rajona tiesas Rīgas tiesu namu no ēkas Antonijas ielā 6, Rīgā un Rīgas pilsētas Ziemeļu rajona tiesu no ēkas Pumpura ielā 1, Rīgā, apzināja vairākus VAS „Valsts nekustamie īpašumi” apsaimniekošanā jau esošus īpašumus, kuros varētu tikt izvietotas minētās tiesas. Proti, minētās tiesas piedāvāts pārvietot uz šādām Rīgas pilsētā esošām ēkām:</w:t>
      </w:r>
    </w:p>
    <w:p w:rsidR="006A2EA5" w:rsidRPr="009866DA" w:rsidRDefault="006A2EA5" w:rsidP="006A2EA5">
      <w:pPr>
        <w:ind w:firstLine="720"/>
        <w:jc w:val="both"/>
        <w:rPr>
          <w:sz w:val="28"/>
          <w:szCs w:val="28"/>
        </w:rPr>
      </w:pPr>
      <w:r w:rsidRPr="009866DA">
        <w:rPr>
          <w:sz w:val="28"/>
          <w:szCs w:val="28"/>
        </w:rPr>
        <w:t>1) Abrenes ielā 2;</w:t>
      </w:r>
    </w:p>
    <w:p w:rsidR="006A2EA5" w:rsidRPr="009866DA" w:rsidRDefault="006A2EA5" w:rsidP="006A2EA5">
      <w:pPr>
        <w:ind w:firstLine="720"/>
        <w:jc w:val="both"/>
        <w:rPr>
          <w:sz w:val="28"/>
          <w:szCs w:val="28"/>
        </w:rPr>
      </w:pPr>
      <w:r w:rsidRPr="009866DA">
        <w:rPr>
          <w:sz w:val="28"/>
          <w:szCs w:val="28"/>
        </w:rPr>
        <w:t>2) Brīvības bulvārī 32;</w:t>
      </w:r>
    </w:p>
    <w:p w:rsidR="006A2EA5" w:rsidRPr="009866DA" w:rsidRDefault="006A2EA5" w:rsidP="006A2EA5">
      <w:pPr>
        <w:ind w:firstLine="720"/>
        <w:jc w:val="both"/>
        <w:rPr>
          <w:sz w:val="28"/>
          <w:szCs w:val="28"/>
        </w:rPr>
      </w:pPr>
      <w:r w:rsidRPr="009866DA">
        <w:rPr>
          <w:sz w:val="28"/>
          <w:szCs w:val="28"/>
        </w:rPr>
        <w:t>3) </w:t>
      </w:r>
      <w:proofErr w:type="spellStart"/>
      <w:r w:rsidRPr="009866DA">
        <w:rPr>
          <w:sz w:val="28"/>
          <w:szCs w:val="28"/>
        </w:rPr>
        <w:t>Kronvalda</w:t>
      </w:r>
      <w:proofErr w:type="spellEnd"/>
      <w:r w:rsidRPr="009866DA">
        <w:rPr>
          <w:sz w:val="28"/>
          <w:szCs w:val="28"/>
        </w:rPr>
        <w:t xml:space="preserve"> bulvārī 6;</w:t>
      </w:r>
    </w:p>
    <w:p w:rsidR="006A2EA5" w:rsidRPr="009866DA" w:rsidRDefault="006A2EA5" w:rsidP="006A2EA5">
      <w:pPr>
        <w:ind w:firstLine="720"/>
        <w:jc w:val="both"/>
        <w:rPr>
          <w:sz w:val="28"/>
          <w:szCs w:val="28"/>
        </w:rPr>
      </w:pPr>
      <w:r w:rsidRPr="009866DA">
        <w:rPr>
          <w:sz w:val="28"/>
          <w:szCs w:val="28"/>
        </w:rPr>
        <w:t>4) Tallinas ielā 86.</w:t>
      </w:r>
    </w:p>
    <w:p w:rsidR="006A2EA5" w:rsidRPr="009866DA" w:rsidRDefault="000223BE" w:rsidP="006A2EA5">
      <w:pPr>
        <w:ind w:firstLine="720"/>
        <w:jc w:val="both"/>
        <w:rPr>
          <w:sz w:val="28"/>
          <w:szCs w:val="28"/>
        </w:rPr>
      </w:pPr>
      <w:r w:rsidRPr="009866DA">
        <w:rPr>
          <w:sz w:val="28"/>
          <w:szCs w:val="28"/>
        </w:rPr>
        <w:t xml:space="preserve">Izvērtējot piedāvātās telpas, kā galvenie pamatnosacījumi bija ēkas atrašanās vieta, tās tehniskais stāvoklis, iespēja piekļūt ar sabiedrisko transportu, tās tuvumā novietot auto, kā arī pietiekama telpu platība. </w:t>
      </w:r>
      <w:r w:rsidR="006A2EA5" w:rsidRPr="009866DA">
        <w:rPr>
          <w:sz w:val="28"/>
          <w:szCs w:val="28"/>
        </w:rPr>
        <w:t xml:space="preserve">Izvērtējot minētos piedāvājumus, tika secināts, ka neviens no VAS „Valsts nekustamie īpašumi” piedāvātajiem variantiem abu tiesu izvietošanai nepieciešamo telpu kopējās nepietiekamās platības dēļ neļauj abas tiesas vienlaikus pārcelt uz vienu ēku. </w:t>
      </w:r>
    </w:p>
    <w:p w:rsidR="00655C61" w:rsidRPr="009866DA" w:rsidRDefault="00655C61" w:rsidP="00655C61">
      <w:pPr>
        <w:ind w:firstLine="720"/>
        <w:jc w:val="both"/>
        <w:rPr>
          <w:bCs/>
          <w:color w:val="000000"/>
          <w:sz w:val="28"/>
          <w:szCs w:val="28"/>
        </w:rPr>
      </w:pPr>
      <w:r w:rsidRPr="009866DA">
        <w:rPr>
          <w:bCs/>
          <w:color w:val="000000"/>
          <w:sz w:val="28"/>
          <w:szCs w:val="28"/>
        </w:rPr>
        <w:t>Tā kā neviena no piedāvātajām ēkām nav celta tiesas vajadzībām, kā būtiskākais trūkums tika konstatēts apstāklis, ka telpu izkārto</w:t>
      </w:r>
      <w:r w:rsidR="000223BE" w:rsidRPr="009866DA">
        <w:rPr>
          <w:bCs/>
          <w:color w:val="000000"/>
          <w:sz w:val="28"/>
          <w:szCs w:val="28"/>
        </w:rPr>
        <w:t>jums nav piemērots tiesas darba specifikai</w:t>
      </w:r>
      <w:r w:rsidRPr="009866DA">
        <w:rPr>
          <w:bCs/>
          <w:color w:val="000000"/>
          <w:sz w:val="28"/>
          <w:szCs w:val="28"/>
        </w:rPr>
        <w:t xml:space="preserve">. Ēkās esošo telpu izvietojums ir pretrunā prasībām, kas izvirzītas tiesu ēku plānojumam. Tiesu ēkās nepieciešamas atsevišķas ieejas un darba telpas tiesnešiem un tiesu darbiniekiem, kā arī nošķirtas, atsevišķas apmeklētāju telpas un speciālas telpas apsūdzētajiem. </w:t>
      </w:r>
    </w:p>
    <w:p w:rsidR="00655C61" w:rsidRPr="009866DA" w:rsidRDefault="00655C61" w:rsidP="00655C61">
      <w:pPr>
        <w:ind w:firstLine="720"/>
        <w:jc w:val="both"/>
        <w:rPr>
          <w:color w:val="000000"/>
          <w:sz w:val="28"/>
          <w:szCs w:val="28"/>
        </w:rPr>
      </w:pPr>
      <w:r w:rsidRPr="009866DA">
        <w:rPr>
          <w:bCs/>
          <w:color w:val="000000"/>
          <w:sz w:val="28"/>
          <w:szCs w:val="28"/>
        </w:rPr>
        <w:t xml:space="preserve">Turklāt, ņemot vērā apstākli, ka Rīgas pilsētas Ziemeļu rajona tiesa kā vispārējās jurisdikcijas tiesa skata arī krimināllietas, izvērtējot jautājumu par tiesas nodrošināšanu ar darba telpām, ir būtiski, lai telpu plānojums risinātu krimināllietu izskatīšanā izmantojamo tiesas zāļu funkcionālu sasaisti ar konvoja dienesta darbinieku uzturēšanās telpām. Tikai šādā veidā ir iespējams nodrošināt telpu atbilstību tiesu nama specifikai saistītai ar apmeklētāju, tiesas lietu dalībnieku un tiesas darbinieku neaizskaramības un fiziskās drošības garantijām. VAS „Tiesu namu aģentūra” piedāvāto telpu </w:t>
      </w:r>
      <w:r w:rsidR="000223BE" w:rsidRPr="009866DA">
        <w:rPr>
          <w:bCs/>
          <w:color w:val="000000"/>
          <w:sz w:val="28"/>
          <w:szCs w:val="28"/>
        </w:rPr>
        <w:t xml:space="preserve">Brīvības bulvārī 32, </w:t>
      </w:r>
      <w:proofErr w:type="spellStart"/>
      <w:r w:rsidR="000223BE" w:rsidRPr="009866DA">
        <w:rPr>
          <w:bCs/>
          <w:color w:val="000000"/>
          <w:sz w:val="28"/>
          <w:szCs w:val="28"/>
        </w:rPr>
        <w:t>Kronvalda</w:t>
      </w:r>
      <w:proofErr w:type="spellEnd"/>
      <w:r w:rsidR="000223BE" w:rsidRPr="009866DA">
        <w:rPr>
          <w:bCs/>
          <w:color w:val="000000"/>
          <w:sz w:val="28"/>
          <w:szCs w:val="28"/>
        </w:rPr>
        <w:t xml:space="preserve"> bulvārī 6 un Tallinas ielā 86 </w:t>
      </w:r>
      <w:r w:rsidRPr="009866DA">
        <w:rPr>
          <w:bCs/>
          <w:color w:val="000000"/>
          <w:sz w:val="28"/>
          <w:szCs w:val="28"/>
        </w:rPr>
        <w:t xml:space="preserve">būtisku trūkumu dēļ, to pielāgošana tiesas darba vajadzībām nav iespējama. </w:t>
      </w:r>
    </w:p>
    <w:p w:rsidR="006A2EA5" w:rsidRPr="009866DA" w:rsidRDefault="006A2EA5" w:rsidP="006A2EA5">
      <w:pPr>
        <w:ind w:firstLine="720"/>
        <w:jc w:val="both"/>
        <w:rPr>
          <w:sz w:val="28"/>
          <w:szCs w:val="28"/>
        </w:rPr>
      </w:pPr>
      <w:r w:rsidRPr="009866DA">
        <w:rPr>
          <w:sz w:val="28"/>
          <w:szCs w:val="28"/>
        </w:rPr>
        <w:lastRenderedPageBreak/>
        <w:t xml:space="preserve">Balstoties gan uz visu norādīto ēku atrašanās vietu un pieejamību, gan arī vienlaikus apzinot piedāvāto telpu platību un salīdzinot to ar platību, kāda nepieciešama vienas tiesas darba optimālai nodrošināšanai, par vienīgo iespējamo variantu vienas tiesas izvietošanai tika atzīta ēka, kas atrodas Abrenes ielā 2. Taču Tiesu administrācijai veicot ēkas apsekošanu klātienē, tika atzīts, ka minētajā ēkā esošo telpu šā brīža izvietojums un tehniskais stāvoklis neļauj nodrošināt tūlītēju tiesas pārcelšanu. Tiesas izvietošana minētajās telpās būtu iespējama, veicot tajās kosmētisko remontu un tīklu nomaiņu, taču normāla tiesu darba nodrošināšanai un kaut daļējai telpu pielāgošanai tiesas ēku un telpu aprīkojuma prasībām nepieciešams veikt pilnīgu ēkas rekonstrukciju. Pretējā gadījumā netiktu ņemtas vērā pamatprasības, kas ievērojamas, apmeklējot un uzturoties tiesas telpās un kuru mērķis ir nodrošināt drošību un kārtību tiesā. Saskaņā ar VAS „Valsts nekustamie īpašumi” veikto provizorisko nomas maksas aprēķinu, veicot ēkas Abrenes ielā 2 rekonstrukciju un pielāgošanu tiesas darba vajadzībām, projekta ietekme uz valsts budžetu veidotu 444 557 Ls gadā. </w:t>
      </w:r>
    </w:p>
    <w:p w:rsidR="006A2EA5" w:rsidRPr="009866DA" w:rsidRDefault="006A2EA5" w:rsidP="006A2EA5">
      <w:pPr>
        <w:ind w:firstLine="720"/>
        <w:jc w:val="both"/>
        <w:rPr>
          <w:sz w:val="28"/>
          <w:szCs w:val="28"/>
        </w:rPr>
      </w:pPr>
      <w:r w:rsidRPr="009866DA">
        <w:rPr>
          <w:sz w:val="28"/>
          <w:szCs w:val="28"/>
        </w:rPr>
        <w:t xml:space="preserve">Tāpat atbilstoši VAS „Valsts nekustamie īpašumi” sniegtajai informācijai nepieciešamos ēkas rekonstrukcijas darbus būtu iespējams īstenot trīs gadu laikā. Tādējādi, pieņemot, ka nepieciešamo darbu veikšana tiktu uzsākta šā gada laikā, tiesas izvietošanu ēkā Abrenes ielā 2, Rīgā būtu iespējams īstenot tikai 2014. gadā. </w:t>
      </w:r>
    </w:p>
    <w:p w:rsidR="006A2EA5" w:rsidRPr="009866DA" w:rsidRDefault="006A2EA5" w:rsidP="006A2EA5">
      <w:pPr>
        <w:ind w:firstLine="720"/>
        <w:jc w:val="both"/>
        <w:rPr>
          <w:sz w:val="28"/>
          <w:szCs w:val="28"/>
        </w:rPr>
      </w:pPr>
      <w:r w:rsidRPr="009866DA">
        <w:rPr>
          <w:sz w:val="28"/>
          <w:szCs w:val="28"/>
        </w:rPr>
        <w:t xml:space="preserve">Turklāt ņemams vērā apstāklis, ka ēkas Abrenes ielā 2, Rīgā pielāgošana tiesas darba vajadzībām </w:t>
      </w:r>
      <w:r w:rsidR="000223BE" w:rsidRPr="009866DA">
        <w:rPr>
          <w:sz w:val="28"/>
          <w:szCs w:val="28"/>
        </w:rPr>
        <w:t xml:space="preserve">jebkurā gadījumā </w:t>
      </w:r>
      <w:r w:rsidRPr="009866DA">
        <w:rPr>
          <w:sz w:val="28"/>
          <w:szCs w:val="28"/>
        </w:rPr>
        <w:t xml:space="preserve">risinātu jautājumu tikai attiecībā uz vienas tiesas nodrošināšanu ar jaunām telpām. Tā kā otras tiesas izvietošanai piemērotas ēka Rīgā nav, vismaz vienas ēkas darba nodrošināšanai būtu būvējama jauna tiesas ēka. </w:t>
      </w:r>
    </w:p>
    <w:p w:rsidR="006A2EA5" w:rsidRPr="009866DA" w:rsidRDefault="006A2EA5" w:rsidP="006A2EA5">
      <w:pPr>
        <w:ind w:firstLine="720"/>
        <w:jc w:val="both"/>
        <w:rPr>
          <w:sz w:val="28"/>
          <w:szCs w:val="28"/>
        </w:rPr>
      </w:pPr>
      <w:r w:rsidRPr="009866DA">
        <w:rPr>
          <w:sz w:val="28"/>
          <w:szCs w:val="28"/>
        </w:rPr>
        <w:t xml:space="preserve">Veicot esošas ēkas rekonstrukciju un pielāgošanu vienas tiesas vajadzībām un otras tiesas vajadzībām būvējot jaunu ēku kopējā projekta ietekme uz valsts budžetu nomas maksā veidotu 824 357 Ls gadā (esošās ēkas Abrenes ielā 2 rekonstrukcijas un pielāgošanas ietekme uz valsts budžetu nomas maksas segšanai 444 557 Ls gadā un jaunas ēkas būvniecības ietekme uz valsts budžetu nomas maksas segšanai 379 800 Ls gadā, kas sastāda </w:t>
      </w:r>
      <w:r w:rsidR="000223BE" w:rsidRPr="009866DA">
        <w:rPr>
          <w:sz w:val="28"/>
          <w:szCs w:val="28"/>
        </w:rPr>
        <w:t>pusi</w:t>
      </w:r>
      <w:r w:rsidRPr="009866DA">
        <w:rPr>
          <w:sz w:val="28"/>
          <w:szCs w:val="28"/>
        </w:rPr>
        <w:t xml:space="preserve"> no divu tiesu vajadzī</w:t>
      </w:r>
      <w:r w:rsidR="0091002F">
        <w:rPr>
          <w:sz w:val="28"/>
          <w:szCs w:val="28"/>
        </w:rPr>
        <w:t>bām būvētas ēkas izmaksu ietekmes</w:t>
      </w:r>
      <w:r w:rsidRPr="009866DA">
        <w:rPr>
          <w:sz w:val="28"/>
          <w:szCs w:val="28"/>
        </w:rPr>
        <w:t xml:space="preserve"> uz valsts budžetu nomas maksas segšanai). Izvietojot katru tiesu savā ēkā, kopējā ietekme uz valsts budžetu nomas maksas segšanai tikai pieaug</w:t>
      </w:r>
      <w:r w:rsidR="000223BE" w:rsidRPr="009866DA">
        <w:rPr>
          <w:sz w:val="28"/>
          <w:szCs w:val="28"/>
        </w:rPr>
        <w:t>tu</w:t>
      </w:r>
      <w:r w:rsidRPr="009866DA">
        <w:rPr>
          <w:sz w:val="28"/>
          <w:szCs w:val="28"/>
        </w:rPr>
        <w:t xml:space="preserve"> proporcionāli nepieciešamībai katrā ēkā izbūvēt atsevišķas telpas konvoja vajadzībām, telpas tiesu darbinieku plūsmas nodrošināšanai un telpas apmeklētāju vajadzībām. </w:t>
      </w:r>
    </w:p>
    <w:p w:rsidR="006A2EA5" w:rsidRPr="009866DA" w:rsidRDefault="006A2EA5" w:rsidP="006A2EA5">
      <w:pPr>
        <w:ind w:firstLine="720"/>
        <w:jc w:val="both"/>
        <w:rPr>
          <w:sz w:val="28"/>
          <w:szCs w:val="28"/>
        </w:rPr>
      </w:pPr>
      <w:r w:rsidRPr="009866DA">
        <w:rPr>
          <w:sz w:val="28"/>
          <w:szCs w:val="28"/>
        </w:rPr>
        <w:t xml:space="preserve">Tādējādi vienas tiesas izvietošana VAS „Valsts nekustamie īpašumi” apsaimniekošanā esošajā ēkā Abrenes ielā 2, ņemot vērā nepieciešamos kapitālieguldījumus, lai nodrošinātu minētā ēkas pielāgošanu tiesas ēkām noteiktajām specifiskajām prasībām, nenodrošinātu kopējā projekta (vienas tiesas izvietošana jau esošā VAS „Valsts nekustamie īpašumi” apsaimniekošanā esošā ēkā un otras tiesas izvietošana VAS „Tiesu namu aģentūra” no jauna uzbūvētā tiesas ēkā) realizācijas izmaksu samazināšanu. </w:t>
      </w:r>
    </w:p>
    <w:p w:rsidR="006A2EA5" w:rsidRPr="009866DA" w:rsidRDefault="006A2EA5" w:rsidP="006A2EA5">
      <w:pPr>
        <w:ind w:firstLine="720"/>
        <w:jc w:val="both"/>
        <w:rPr>
          <w:sz w:val="28"/>
          <w:szCs w:val="28"/>
        </w:rPr>
      </w:pPr>
      <w:r w:rsidRPr="009866DA">
        <w:rPr>
          <w:sz w:val="28"/>
          <w:szCs w:val="28"/>
        </w:rPr>
        <w:t xml:space="preserve">Ņemot vērā iepriekš minēto atzīts, ka tiesu izvietošana kādā no VAS „Valsts nekustamie īpašumi” apsaimniekošanā esošām ēkām, nav piemērotākais konkrētās situācijas risinājuma variants. </w:t>
      </w:r>
    </w:p>
    <w:p w:rsidR="006A2EA5" w:rsidRPr="009866DA" w:rsidRDefault="006A2EA5" w:rsidP="006A2EA5">
      <w:pPr>
        <w:jc w:val="both"/>
        <w:rPr>
          <w:sz w:val="28"/>
          <w:szCs w:val="28"/>
        </w:rPr>
      </w:pPr>
    </w:p>
    <w:p w:rsidR="006A2EA5" w:rsidRPr="009866DA" w:rsidRDefault="006A2EA5" w:rsidP="006A2EA5">
      <w:pPr>
        <w:ind w:firstLine="720"/>
        <w:jc w:val="center"/>
        <w:rPr>
          <w:b/>
          <w:sz w:val="28"/>
          <w:szCs w:val="28"/>
        </w:rPr>
      </w:pPr>
      <w:r w:rsidRPr="009866DA">
        <w:rPr>
          <w:b/>
          <w:sz w:val="28"/>
          <w:szCs w:val="28"/>
        </w:rPr>
        <w:t>Piedāvātais risinājums Administratīvās rajona tiesas Rīgas tiesu nama un Rīgas pilsētas Ziemeļu rajona tiesas izvietošanai citās telpās</w:t>
      </w:r>
    </w:p>
    <w:p w:rsidR="006A2EA5" w:rsidRPr="009866DA" w:rsidRDefault="006A2EA5" w:rsidP="006A2EA5">
      <w:pPr>
        <w:ind w:firstLine="720"/>
        <w:jc w:val="both"/>
        <w:rPr>
          <w:sz w:val="28"/>
          <w:szCs w:val="28"/>
        </w:rPr>
      </w:pPr>
    </w:p>
    <w:p w:rsidR="006A2EA5" w:rsidRPr="009866DA" w:rsidRDefault="006A2EA5" w:rsidP="006A2EA5">
      <w:pPr>
        <w:ind w:firstLine="720"/>
        <w:jc w:val="both"/>
        <w:rPr>
          <w:sz w:val="28"/>
          <w:szCs w:val="28"/>
        </w:rPr>
      </w:pPr>
      <w:r w:rsidRPr="009866DA">
        <w:rPr>
          <w:sz w:val="28"/>
          <w:szCs w:val="28"/>
        </w:rPr>
        <w:t xml:space="preserve">Lai rastu risinājumu Administratīvās rajona tiesas Rīgas tiesu nama un Rīgas pilsētas Ziemeļu rajona tiesas nodrošināšanai ar atbilstošām darba telpām, Rīgas pilsētas Ziemeļu rajona tiesa izvietojama Administratīvās apgabaltiesas ēkā, kas atrodas Rīgā, </w:t>
      </w:r>
      <w:proofErr w:type="spellStart"/>
      <w:r w:rsidRPr="009866DA">
        <w:rPr>
          <w:sz w:val="28"/>
          <w:szCs w:val="28"/>
        </w:rPr>
        <w:t>Jēzusbaznīcas</w:t>
      </w:r>
      <w:proofErr w:type="spellEnd"/>
      <w:r w:rsidRPr="009866DA">
        <w:rPr>
          <w:sz w:val="28"/>
          <w:szCs w:val="28"/>
        </w:rPr>
        <w:t xml:space="preserve"> ielā 6, savukārt Administratīvās rajona tiesas Rīgas tiesu nama un Administratīvās apgabaltiesas vajadzībām būvējama jauna ēka. Līdz minēto pasākumu īstenošanai abas tiesas turpinātu darbu esošajās telpās.</w:t>
      </w:r>
    </w:p>
    <w:p w:rsidR="006A2EA5" w:rsidRPr="009866DA" w:rsidRDefault="006A2EA5" w:rsidP="006A2EA5">
      <w:pPr>
        <w:ind w:firstLine="720"/>
        <w:jc w:val="both"/>
        <w:rPr>
          <w:sz w:val="28"/>
          <w:szCs w:val="28"/>
        </w:rPr>
      </w:pPr>
      <w:r w:rsidRPr="009866DA">
        <w:rPr>
          <w:sz w:val="28"/>
          <w:szCs w:val="28"/>
        </w:rPr>
        <w:t>Piedāvātais risinājuma variants paredz Administratīvās rajona tiesas Rīgas tiesu nama un Administratīvās apgabaltiesas vajadzībām būvēt jaunu ēku uz VAS „Tiesu namu aģentūra” piederošās zemes, kas atrodas Rīgā, Baldones ielā 1/Slokas ielā 37a. Saskaņā ar VAS „Tiesu namu aģentūra” veikto pirmsprojekta novērtējumu uz augstāk minētā zemes gabala ir iespējams uzbūvēt ēku 6000 m</w:t>
      </w:r>
      <w:r w:rsidRPr="009866DA">
        <w:rPr>
          <w:sz w:val="28"/>
          <w:szCs w:val="28"/>
          <w:vertAlign w:val="superscript"/>
        </w:rPr>
        <w:t>2</w:t>
      </w:r>
      <w:r w:rsidRPr="009866DA">
        <w:rPr>
          <w:sz w:val="28"/>
          <w:szCs w:val="28"/>
        </w:rPr>
        <w:t xml:space="preserve"> platībā ar maksimālo apbūves augstumu – 4 stāvi, un izveidot autostāvvietu tiesas darbinieku un apmeklētāju vajadzībām. </w:t>
      </w:r>
    </w:p>
    <w:p w:rsidR="006A2EA5" w:rsidRPr="009866DA" w:rsidRDefault="006A2EA5" w:rsidP="006A2EA5">
      <w:pPr>
        <w:ind w:firstLine="720"/>
        <w:jc w:val="both"/>
        <w:rPr>
          <w:sz w:val="28"/>
          <w:szCs w:val="28"/>
        </w:rPr>
      </w:pPr>
      <w:r w:rsidRPr="009866DA">
        <w:rPr>
          <w:sz w:val="28"/>
          <w:szCs w:val="28"/>
        </w:rPr>
        <w:t xml:space="preserve">Savukārt Rīgas pilsētas Ziemeļu rajona tiesa pārceļama uz 2007. gadā speciāli tiesas vajadzībām būvētu VAS „Tiesu namu aģentūra” apsaimniekošanā esošu ēku Rīgā, </w:t>
      </w:r>
      <w:proofErr w:type="spellStart"/>
      <w:r w:rsidRPr="009866DA">
        <w:rPr>
          <w:sz w:val="28"/>
          <w:szCs w:val="28"/>
        </w:rPr>
        <w:t>Jēzusbaznīcas</w:t>
      </w:r>
      <w:proofErr w:type="spellEnd"/>
      <w:r w:rsidRPr="009866DA">
        <w:rPr>
          <w:sz w:val="28"/>
          <w:szCs w:val="28"/>
        </w:rPr>
        <w:t xml:space="preserve"> ielā 6, kurā šobrīd izvietota Administratīvā apgabaltiesa. Ēkas Rīgā, </w:t>
      </w:r>
      <w:proofErr w:type="spellStart"/>
      <w:r w:rsidRPr="009866DA">
        <w:rPr>
          <w:sz w:val="28"/>
          <w:szCs w:val="28"/>
        </w:rPr>
        <w:t>Jēzusbaznīcas</w:t>
      </w:r>
      <w:proofErr w:type="spellEnd"/>
      <w:r w:rsidRPr="009866DA">
        <w:rPr>
          <w:sz w:val="28"/>
          <w:szCs w:val="28"/>
        </w:rPr>
        <w:t xml:space="preserve"> ielā 6 kopējā platība ir 2300 m</w:t>
      </w:r>
      <w:r w:rsidRPr="009866DA">
        <w:rPr>
          <w:sz w:val="28"/>
          <w:szCs w:val="28"/>
          <w:vertAlign w:val="superscript"/>
        </w:rPr>
        <w:t>2</w:t>
      </w:r>
      <w:r w:rsidRPr="009866DA">
        <w:rPr>
          <w:sz w:val="28"/>
          <w:szCs w:val="28"/>
        </w:rPr>
        <w:t xml:space="preserve">, tādējādi tajā būtu iespējams pilnībā nodrošināt Rīgas pilsētas Ziemeļu rajona tiesas izvietošanu, turklāt pēc iespējas saglabājot Rīgas pilsētas Ziemeļu rajona tiesas atrašanos atbilstoši tai noteiktajai teritoriālajai piekritībai. </w:t>
      </w:r>
    </w:p>
    <w:p w:rsidR="003C544E" w:rsidRPr="009866DA" w:rsidRDefault="00655C61" w:rsidP="003C544E">
      <w:pPr>
        <w:jc w:val="both"/>
        <w:rPr>
          <w:sz w:val="28"/>
          <w:szCs w:val="28"/>
        </w:rPr>
      </w:pPr>
      <w:r w:rsidRPr="009866DA">
        <w:rPr>
          <w:sz w:val="28"/>
          <w:szCs w:val="28"/>
        </w:rPr>
        <w:tab/>
      </w:r>
      <w:r w:rsidR="003C544E" w:rsidRPr="009866DA">
        <w:rPr>
          <w:bCs/>
          <w:sz w:val="28"/>
          <w:szCs w:val="28"/>
        </w:rPr>
        <w:t>Paredzot šādu risinājumu, Rīgas pilsētas Ziemeļu rajona tiesa tiktu izvietota telpās, kas nedaudz pārsniedz tai šobrīd nepieciešamo platību atbilstoši normatīvajos aktos noteiktajām tiesu ēku un telpu aprīkojuma prasībām</w:t>
      </w:r>
      <w:r w:rsidR="000223BE" w:rsidRPr="009866DA">
        <w:rPr>
          <w:bCs/>
          <w:sz w:val="28"/>
          <w:szCs w:val="28"/>
        </w:rPr>
        <w:t xml:space="preserve"> (</w:t>
      </w:r>
      <w:r w:rsidRPr="009866DA">
        <w:rPr>
          <w:bCs/>
          <w:sz w:val="28"/>
          <w:szCs w:val="28"/>
        </w:rPr>
        <w:t xml:space="preserve">Rīgas pilsētas Ziemeļu rajona tiesā </w:t>
      </w:r>
      <w:r w:rsidR="00AA5BD7" w:rsidRPr="009866DA">
        <w:rPr>
          <w:bCs/>
          <w:sz w:val="28"/>
          <w:szCs w:val="28"/>
        </w:rPr>
        <w:t xml:space="preserve">patlaban </w:t>
      </w:r>
      <w:r w:rsidRPr="009866DA">
        <w:rPr>
          <w:bCs/>
          <w:sz w:val="28"/>
          <w:szCs w:val="28"/>
        </w:rPr>
        <w:t>ir apstipr</w:t>
      </w:r>
      <w:r w:rsidR="003C544E" w:rsidRPr="009866DA">
        <w:rPr>
          <w:bCs/>
          <w:sz w:val="28"/>
          <w:szCs w:val="28"/>
        </w:rPr>
        <w:t>inātas 12 tiesnešu amata vietas</w:t>
      </w:r>
      <w:r w:rsidR="000223BE" w:rsidRPr="009866DA">
        <w:rPr>
          <w:bCs/>
          <w:sz w:val="28"/>
          <w:szCs w:val="28"/>
        </w:rPr>
        <w:t>)</w:t>
      </w:r>
      <w:r w:rsidR="003C544E" w:rsidRPr="009866DA">
        <w:rPr>
          <w:bCs/>
          <w:sz w:val="28"/>
          <w:szCs w:val="28"/>
        </w:rPr>
        <w:t>.</w:t>
      </w:r>
      <w:r w:rsidRPr="009866DA">
        <w:rPr>
          <w:bCs/>
          <w:sz w:val="28"/>
          <w:szCs w:val="28"/>
        </w:rPr>
        <w:t xml:space="preserve"> </w:t>
      </w:r>
      <w:r w:rsidR="00AA5BD7" w:rsidRPr="009866DA">
        <w:rPr>
          <w:bCs/>
          <w:sz w:val="28"/>
          <w:szCs w:val="28"/>
        </w:rPr>
        <w:t>Taču, ņ</w:t>
      </w:r>
      <w:r w:rsidRPr="009866DA">
        <w:rPr>
          <w:bCs/>
          <w:sz w:val="28"/>
          <w:szCs w:val="28"/>
        </w:rPr>
        <w:t xml:space="preserve">emot vērā apstākli, ka šobrīd tiek īstenoti vairāki </w:t>
      </w:r>
      <w:r w:rsidR="00AA5BD7" w:rsidRPr="009866DA">
        <w:rPr>
          <w:bCs/>
          <w:sz w:val="28"/>
          <w:szCs w:val="28"/>
        </w:rPr>
        <w:t>tiesību politikas projekti, kas neatraujami saistīti ar pirmās instances vispārējās jurisdikcijas tiesu tiesnešu darba noslogotības palielināšanu, jau esošās a</w:t>
      </w:r>
      <w:r w:rsidR="00AA5BD7" w:rsidRPr="009866DA">
        <w:rPr>
          <w:sz w:val="28"/>
          <w:szCs w:val="28"/>
        </w:rPr>
        <w:t xml:space="preserve">ugstās tiesu noslodzes dēļ </w:t>
      </w:r>
      <w:r w:rsidR="00AA5BD7" w:rsidRPr="009866DA">
        <w:rPr>
          <w:bCs/>
          <w:sz w:val="28"/>
          <w:szCs w:val="28"/>
        </w:rPr>
        <w:t xml:space="preserve">tuvākajā laikā būs nepieciešamība risināt jautājumu par esošo tiesnešu amata vietu skaita palielināšanu. Tā piemēram, </w:t>
      </w:r>
      <w:r w:rsidR="00AA5BD7" w:rsidRPr="009866DA">
        <w:rPr>
          <w:sz w:val="28"/>
          <w:szCs w:val="28"/>
        </w:rPr>
        <w:t xml:space="preserve">no 2012. gada saskaņā ar Administratīvā pārkāpuma kodeksā noteikto vispārējās jurisdikcijas tiesām izskatīšanai tiks nodotas administratīvo pārkāpumu lietas. </w:t>
      </w:r>
      <w:r w:rsidR="00531E7F" w:rsidRPr="009866DA">
        <w:rPr>
          <w:sz w:val="28"/>
          <w:szCs w:val="28"/>
        </w:rPr>
        <w:t xml:space="preserve">Tāpat šobrīd </w:t>
      </w:r>
      <w:r w:rsidR="002F4AED" w:rsidRPr="009866DA">
        <w:rPr>
          <w:sz w:val="28"/>
          <w:szCs w:val="28"/>
        </w:rPr>
        <w:t xml:space="preserve">Tieslietu ministrijā </w:t>
      </w:r>
      <w:r w:rsidR="00531E7F" w:rsidRPr="009866DA">
        <w:rPr>
          <w:sz w:val="28"/>
          <w:szCs w:val="28"/>
        </w:rPr>
        <w:t>tiek veikts darbs pie „Sabiedriskās drošības piespiedu līdzekļu koncepcijas” projekta</w:t>
      </w:r>
      <w:r w:rsidR="00937C03" w:rsidRPr="009866DA">
        <w:rPr>
          <w:sz w:val="28"/>
          <w:szCs w:val="28"/>
        </w:rPr>
        <w:t xml:space="preserve"> izstrādes. Tajā ietvertie pasākumi paredz paplašināt</w:t>
      </w:r>
      <w:r w:rsidR="00531E7F" w:rsidRPr="009866DA">
        <w:rPr>
          <w:sz w:val="28"/>
          <w:szCs w:val="28"/>
        </w:rPr>
        <w:t xml:space="preserve"> </w:t>
      </w:r>
      <w:r w:rsidR="00937C03" w:rsidRPr="009866DA">
        <w:rPr>
          <w:sz w:val="28"/>
          <w:szCs w:val="28"/>
        </w:rPr>
        <w:t>vispārējās jurisdikcijas rajona tiesu kompetenci ar jaunu lietu kategoriju – pieteikumu par pašvaldību institūciju piemēro</w:t>
      </w:r>
      <w:r w:rsidR="00605F8B" w:rsidRPr="009866DA">
        <w:rPr>
          <w:sz w:val="28"/>
          <w:szCs w:val="28"/>
        </w:rPr>
        <w:t>to</w:t>
      </w:r>
      <w:r w:rsidR="00937C03" w:rsidRPr="009866DA">
        <w:rPr>
          <w:sz w:val="28"/>
          <w:szCs w:val="28"/>
        </w:rPr>
        <w:t xml:space="preserve"> sabiedriskās drošības piespiedu līdzekļu pārsūdzēšanu. </w:t>
      </w:r>
    </w:p>
    <w:p w:rsidR="00655C61" w:rsidRPr="009866DA" w:rsidRDefault="00531E7F" w:rsidP="002F4AED">
      <w:pPr>
        <w:ind w:firstLine="720"/>
        <w:jc w:val="both"/>
        <w:rPr>
          <w:sz w:val="28"/>
          <w:szCs w:val="28"/>
        </w:rPr>
      </w:pPr>
      <w:r w:rsidRPr="009866DA">
        <w:rPr>
          <w:sz w:val="28"/>
          <w:szCs w:val="28"/>
        </w:rPr>
        <w:t xml:space="preserve">Ņemot vērā apstākli, ka </w:t>
      </w:r>
      <w:r w:rsidR="003C544E" w:rsidRPr="009866DA">
        <w:rPr>
          <w:sz w:val="28"/>
          <w:szCs w:val="28"/>
        </w:rPr>
        <w:t>pirmās instances vispārējās jurisdikcijas tiesu</w:t>
      </w:r>
      <w:r w:rsidRPr="009866DA">
        <w:rPr>
          <w:sz w:val="28"/>
          <w:szCs w:val="28"/>
        </w:rPr>
        <w:t xml:space="preserve"> tiesneši pašlaik ir pārslog</w:t>
      </w:r>
      <w:r w:rsidR="003C544E" w:rsidRPr="009866DA">
        <w:rPr>
          <w:sz w:val="28"/>
          <w:szCs w:val="28"/>
        </w:rPr>
        <w:t xml:space="preserve">oti un Rīgas apgabalā, tai skaitā Rīgas pilsētas Ziemeļu rajona tiesā, </w:t>
      </w:r>
      <w:r w:rsidRPr="009866DA">
        <w:rPr>
          <w:sz w:val="28"/>
          <w:szCs w:val="28"/>
        </w:rPr>
        <w:t xml:space="preserve">jau šobrīd ir nepieciešamas papildus tiesnešu amata vietas, lai operatīvi un efektīvi tiktu veikti normatīvajos aktos nostiprinātie </w:t>
      </w:r>
      <w:r w:rsidR="003C544E" w:rsidRPr="009866DA">
        <w:rPr>
          <w:sz w:val="28"/>
          <w:szCs w:val="28"/>
        </w:rPr>
        <w:t>tiesas</w:t>
      </w:r>
      <w:r w:rsidRPr="009866DA">
        <w:rPr>
          <w:sz w:val="28"/>
          <w:szCs w:val="28"/>
        </w:rPr>
        <w:t xml:space="preserve"> pienākumi, jebkura iniciatīva par papildus amata pienākumu noteikšanu </w:t>
      </w:r>
      <w:r w:rsidR="003C544E" w:rsidRPr="009866DA">
        <w:rPr>
          <w:sz w:val="28"/>
          <w:szCs w:val="28"/>
        </w:rPr>
        <w:t xml:space="preserve">tiesām </w:t>
      </w:r>
      <w:r w:rsidRPr="009866DA">
        <w:rPr>
          <w:sz w:val="28"/>
          <w:szCs w:val="28"/>
        </w:rPr>
        <w:t>virzāma vienlaicīgi ar jaunu amata vietu izveidi.</w:t>
      </w:r>
      <w:r w:rsidR="003C544E" w:rsidRPr="009866DA">
        <w:rPr>
          <w:sz w:val="28"/>
          <w:szCs w:val="28"/>
        </w:rPr>
        <w:t xml:space="preserve"> Tā piemēram, Sabiedriskās drošības piespiedu līdzekļu koncepcijas projektā iekļauto pasākumu īstenošanai ir nepieciešamas vismaz pa vienai papildus izmeklēšanas tiesneša amata vietai katrā tiesu apgabalā (tiesai ar vislielāko noslodzi), savukārt Rīgas tiesu apgabalā - nepieciešamas vismaz trīs jaunas izmeklēšanas tiesneša amata vietas.</w:t>
      </w:r>
      <w:r w:rsidR="002F4AED" w:rsidRPr="009866DA">
        <w:rPr>
          <w:sz w:val="28"/>
          <w:szCs w:val="28"/>
        </w:rPr>
        <w:t xml:space="preserve"> </w:t>
      </w:r>
      <w:r w:rsidR="003C544E" w:rsidRPr="009866DA">
        <w:rPr>
          <w:bCs/>
          <w:sz w:val="28"/>
          <w:szCs w:val="28"/>
        </w:rPr>
        <w:t xml:space="preserve">Līdz ar to, </w:t>
      </w:r>
      <w:r w:rsidR="003031A9" w:rsidRPr="009866DA">
        <w:rPr>
          <w:bCs/>
          <w:sz w:val="28"/>
          <w:szCs w:val="28"/>
        </w:rPr>
        <w:t xml:space="preserve">Rīgas pilsētas Ziemeļu rajona tiesas izvietošana </w:t>
      </w:r>
      <w:r w:rsidR="003031A9" w:rsidRPr="009866DA">
        <w:rPr>
          <w:sz w:val="28"/>
          <w:szCs w:val="28"/>
        </w:rPr>
        <w:t>ēkā</w:t>
      </w:r>
      <w:r w:rsidR="003C544E" w:rsidRPr="009866DA">
        <w:rPr>
          <w:sz w:val="28"/>
          <w:szCs w:val="28"/>
        </w:rPr>
        <w:t xml:space="preserve"> Rīgā, </w:t>
      </w:r>
      <w:proofErr w:type="spellStart"/>
      <w:r w:rsidR="003C544E" w:rsidRPr="009866DA">
        <w:rPr>
          <w:sz w:val="28"/>
          <w:szCs w:val="28"/>
        </w:rPr>
        <w:t>Jēzusbaznīcas</w:t>
      </w:r>
      <w:proofErr w:type="spellEnd"/>
      <w:r w:rsidR="003C544E" w:rsidRPr="009866DA">
        <w:rPr>
          <w:sz w:val="28"/>
          <w:szCs w:val="28"/>
        </w:rPr>
        <w:t xml:space="preserve"> ielā 6 </w:t>
      </w:r>
      <w:r w:rsidR="003031A9" w:rsidRPr="009866DA">
        <w:rPr>
          <w:sz w:val="28"/>
          <w:szCs w:val="28"/>
        </w:rPr>
        <w:t xml:space="preserve">nodrošinātu </w:t>
      </w:r>
      <w:r w:rsidR="00655C61" w:rsidRPr="009866DA">
        <w:rPr>
          <w:bCs/>
          <w:sz w:val="28"/>
          <w:szCs w:val="28"/>
        </w:rPr>
        <w:t xml:space="preserve">iespēju </w:t>
      </w:r>
      <w:r w:rsidR="003031A9" w:rsidRPr="009866DA">
        <w:rPr>
          <w:bCs/>
          <w:sz w:val="28"/>
          <w:szCs w:val="28"/>
        </w:rPr>
        <w:t>elastīgāk risināt tiesas sastāvu skaita jautājumu</w:t>
      </w:r>
      <w:r w:rsidR="00655C61" w:rsidRPr="009866DA">
        <w:rPr>
          <w:bCs/>
          <w:sz w:val="28"/>
          <w:szCs w:val="28"/>
        </w:rPr>
        <w:t>.</w:t>
      </w:r>
      <w:r w:rsidR="002F4AED" w:rsidRPr="009866DA">
        <w:rPr>
          <w:bCs/>
          <w:sz w:val="28"/>
          <w:szCs w:val="28"/>
        </w:rPr>
        <w:t xml:space="preserve"> </w:t>
      </w:r>
    </w:p>
    <w:p w:rsidR="006A2EA5" w:rsidRPr="009866DA" w:rsidRDefault="006A2EA5" w:rsidP="006A2EA5">
      <w:pPr>
        <w:ind w:firstLine="720"/>
        <w:jc w:val="both"/>
        <w:rPr>
          <w:sz w:val="28"/>
          <w:szCs w:val="28"/>
        </w:rPr>
      </w:pPr>
      <w:r w:rsidRPr="009866DA">
        <w:rPr>
          <w:sz w:val="28"/>
          <w:szCs w:val="28"/>
        </w:rPr>
        <w:t xml:space="preserve">Ņemot vērā apstākli, ka Rīgas pilsētā nav iespējas nodrošināt divu tiesu izvietošanu citās piemērotās telpās, līdz augstāk minēto pasākumu īstenošanai Administratīvās rajona tiesas Rīgas tiesu nama un Rīgas pilsētas Ziemeļu rajona tiesas izvietojums saglabājams esošajās telpās Antonijas ielā 6 (Pumpura ielā 1). </w:t>
      </w:r>
    </w:p>
    <w:p w:rsidR="006A2EA5" w:rsidRPr="009866DA" w:rsidRDefault="006A2EA5" w:rsidP="006A2EA5">
      <w:pPr>
        <w:ind w:firstLine="720"/>
        <w:jc w:val="both"/>
        <w:rPr>
          <w:sz w:val="28"/>
          <w:szCs w:val="28"/>
        </w:rPr>
      </w:pPr>
      <w:r w:rsidRPr="009866DA">
        <w:rPr>
          <w:sz w:val="28"/>
          <w:szCs w:val="28"/>
        </w:rPr>
        <w:t xml:space="preserve">VAS „Tiesu namu aģentūra” līdzšinējā darbība līdzīgos projektos (2007. gadā ir realizējusi jauna tiesu nama būvniecības projektu </w:t>
      </w:r>
      <w:proofErr w:type="spellStart"/>
      <w:r w:rsidRPr="009866DA">
        <w:rPr>
          <w:sz w:val="28"/>
          <w:szCs w:val="28"/>
        </w:rPr>
        <w:t>Jēzusbaznīcas</w:t>
      </w:r>
      <w:proofErr w:type="spellEnd"/>
      <w:r w:rsidRPr="009866DA">
        <w:rPr>
          <w:sz w:val="28"/>
          <w:szCs w:val="28"/>
        </w:rPr>
        <w:t xml:space="preserve"> ielā 6, Rīgā, ar ēkas kopējo platība 2300 m</w:t>
      </w:r>
      <w:r w:rsidRPr="009866DA">
        <w:rPr>
          <w:sz w:val="28"/>
          <w:szCs w:val="28"/>
          <w:vertAlign w:val="superscript"/>
        </w:rPr>
        <w:t>2</w:t>
      </w:r>
      <w:r w:rsidRPr="009866DA">
        <w:rPr>
          <w:sz w:val="28"/>
          <w:szCs w:val="28"/>
        </w:rPr>
        <w:t xml:space="preserve"> un 2009. gadā - jauna tiesu nama būvniecības projektu Z. </w:t>
      </w:r>
      <w:proofErr w:type="spellStart"/>
      <w:r w:rsidRPr="009866DA">
        <w:rPr>
          <w:sz w:val="28"/>
          <w:szCs w:val="28"/>
        </w:rPr>
        <w:t>Meierovica</w:t>
      </w:r>
      <w:proofErr w:type="spellEnd"/>
      <w:r w:rsidRPr="009866DA">
        <w:rPr>
          <w:sz w:val="28"/>
          <w:szCs w:val="28"/>
        </w:rPr>
        <w:t xml:space="preserve"> prospektā 1a, Jūrmalā, ar ēkas kopējo platību 3000 m</w:t>
      </w:r>
      <w:r w:rsidRPr="009866DA">
        <w:rPr>
          <w:sz w:val="28"/>
          <w:szCs w:val="28"/>
          <w:vertAlign w:val="superscript"/>
        </w:rPr>
        <w:t>2</w:t>
      </w:r>
      <w:r w:rsidRPr="009866DA">
        <w:rPr>
          <w:sz w:val="28"/>
          <w:szCs w:val="28"/>
        </w:rPr>
        <w:t xml:space="preserve">) apliecina, ka VAS „Tiesu namu aģentūra” šobrīd ir </w:t>
      </w:r>
      <w:proofErr w:type="spellStart"/>
      <w:r w:rsidRPr="009866DA">
        <w:rPr>
          <w:sz w:val="28"/>
          <w:szCs w:val="28"/>
        </w:rPr>
        <w:t>pieredzējušākais</w:t>
      </w:r>
      <w:proofErr w:type="spellEnd"/>
      <w:r w:rsidRPr="009866DA">
        <w:rPr>
          <w:sz w:val="28"/>
          <w:szCs w:val="28"/>
        </w:rPr>
        <w:t xml:space="preserve"> tiesu ēku būvniecības projektu realizētājs valstī un nerada šaubas par aģentūras iekšējās kapacitātes pietiekamību, lai realizētu konkrēto tiesu ēku būvniecības projektu. </w:t>
      </w:r>
    </w:p>
    <w:p w:rsidR="006A2EA5" w:rsidRPr="009866DA" w:rsidRDefault="006A2EA5" w:rsidP="006A2EA5">
      <w:pPr>
        <w:ind w:firstLine="720"/>
        <w:jc w:val="both"/>
        <w:rPr>
          <w:sz w:val="28"/>
          <w:szCs w:val="28"/>
        </w:rPr>
      </w:pPr>
      <w:r w:rsidRPr="009866DA">
        <w:rPr>
          <w:sz w:val="28"/>
          <w:szCs w:val="28"/>
        </w:rPr>
        <w:t xml:space="preserve">Turklāt tādā veidā, pieņemot, ka jaunbūvētais tiesu nams atradīsies VAS „Tiesu namu aģentūra” īpašumā, tiktu nodrošināts, ka valsts Tieslietu ministrijas personā iegūtu pastarpinātu kontroli pār abu ēku tālāku izmantošanu tieslietu sistēmas vajadzībām. </w:t>
      </w:r>
    </w:p>
    <w:p w:rsidR="006A2EA5" w:rsidRPr="009866DA" w:rsidRDefault="006A2EA5" w:rsidP="006A2EA5">
      <w:pPr>
        <w:ind w:firstLine="720"/>
        <w:jc w:val="both"/>
        <w:rPr>
          <w:sz w:val="28"/>
          <w:szCs w:val="28"/>
        </w:rPr>
      </w:pPr>
      <w:r w:rsidRPr="009866DA">
        <w:rPr>
          <w:sz w:val="28"/>
          <w:szCs w:val="28"/>
        </w:rPr>
        <w:t>Tiesas telpām un tiesas aprīkojumam jānodrošina tiesas pamatfunkcijas – tiesas spriešanas, realizācija. Lai nodrošinātu kvalitatīva tiesas procesa norisi, telpām ir jābūt pielāgotām tiesas darba vajadzībām, vienlaikus pēc iespējas ņemot vērā gan starptautisko tiesību aktu prasības, gan nacionālajos tiesību aktos noteiktos tiesu varas realizācijas pamatprincipus, jo īpaši valsts pienākumu nodrošināt tiesu varas pārstāvju neatkarību un drošību, aizsargājot no neatļautas iejaukšanās, ietekmēšanas vai draudiem. Lai to īstenotu, ir nepieciešams nodrošināt tiesas telpu sadalījumu publiskajā jeb apmeklētāju zonā, slēgtajā zonā un konvoja zonā, kā arī attiecīgi nodrošināt trīs (apmeklētāju, tiesnešu un tiesas darbinieku, konvoja) neatkarīgu plūsmu kustību tiesā. Piedāvātais risinājuma variants vienīgais no darba gaitā apzinātajiem nodrošinātu iespēju gan Administratīvās rajona tiesas Rīgas tiesu namu, gan Rīgas pilsētas Ziemeļu rajona tiesu izvietot tiesas vajadzībām pilnīgi pielāgotās telpās.</w:t>
      </w:r>
    </w:p>
    <w:p w:rsidR="006A2EA5" w:rsidRPr="009866DA" w:rsidRDefault="006A2EA5" w:rsidP="006A2EA5">
      <w:pPr>
        <w:ind w:firstLine="720"/>
        <w:jc w:val="both"/>
        <w:rPr>
          <w:sz w:val="28"/>
          <w:szCs w:val="28"/>
        </w:rPr>
      </w:pPr>
      <w:r w:rsidRPr="009866DA">
        <w:rPr>
          <w:sz w:val="28"/>
          <w:szCs w:val="28"/>
        </w:rPr>
        <w:t>Papildus minētajam norādāms, ka tiesvedības procesa efektivizācija administratīvajā procesā ir viena no Tieslietu ministrijas darba prioritātēm tiesu noslodzes samazināšanas un lietu izskatīšanas paātrināšanas jomā, meklējot risinājumus administratīvā procesa pilnveidošanai gan normatīvo aktu grozījumu veidā, gan institucionālās un administratīvās kapacitātes paaugstināšanai. Tā kontekstā T</w:t>
      </w:r>
      <w:r w:rsidRPr="009866DA">
        <w:rPr>
          <w:rStyle w:val="PageNumber"/>
          <w:sz w:val="28"/>
          <w:szCs w:val="28"/>
        </w:rPr>
        <w:t xml:space="preserve">ieslietu ministrija ir atzinusi par nepieciešamu aizsākt diskusijas </w:t>
      </w:r>
      <w:r w:rsidRPr="009866DA">
        <w:rPr>
          <w:sz w:val="28"/>
          <w:szCs w:val="28"/>
        </w:rPr>
        <w:t>par iespēju pāriet no trīs uz divu instanču tiesu modeli administratīvajā procesā. Minētā jautājuma risināšana saistīta ne vien ar</w:t>
      </w:r>
      <w:r w:rsidRPr="009866DA">
        <w:rPr>
          <w:rStyle w:val="PageNumber"/>
          <w:sz w:val="28"/>
          <w:szCs w:val="28"/>
        </w:rPr>
        <w:t xml:space="preserve"> jaunu risinājumu meklēšanu administratīvā procesa pilnveidošanai normatīvo aktu grozījumu veidā, bet arī institucionālās un administratīvās kapacitātes paaugstināšanas kontekstā. </w:t>
      </w:r>
      <w:r w:rsidRPr="009866DA">
        <w:rPr>
          <w:sz w:val="28"/>
          <w:szCs w:val="28"/>
        </w:rPr>
        <w:t xml:space="preserve">Tādējādi, lai gan iespējamās reformas ietvaros risināmie jautājumi nav tieši saistīti ar administratīvo tiesu nodrošināšu ar telpām, atzīstams, ka Administratīvās rajona tiesas Rīgas tiesu nama un Administratīvās apgabaltiesas izvietošana vienā ēkā, proti, no jauna uzbūvētajā ēkā Rīgā, Baldones ielā 1 ne vien nodrošinātu abu tiesu klientiem ērtāku un operatīvāku tiesas pakalpojumu saņemšanu un ļautu samazināt tiesu administratīvos izdevumus un optimizētu abu tiesu darbu jau šobrīd, bet arī ļautu nākotnē nepieciešamības gadījumā vieglāk risināt dažādus ar iespējamo administratīvo tiesu reformu saistītus jautājumus. </w:t>
      </w:r>
    </w:p>
    <w:p w:rsidR="006A2EA5" w:rsidRPr="009866DA" w:rsidRDefault="006A2EA5" w:rsidP="006A2EA5">
      <w:pPr>
        <w:ind w:firstLine="720"/>
        <w:jc w:val="both"/>
        <w:rPr>
          <w:sz w:val="28"/>
          <w:szCs w:val="28"/>
        </w:rPr>
      </w:pPr>
    </w:p>
    <w:p w:rsidR="006A2EA5" w:rsidRPr="009866DA" w:rsidRDefault="006A2EA5" w:rsidP="006A2EA5">
      <w:pPr>
        <w:ind w:firstLine="720"/>
        <w:jc w:val="center"/>
        <w:rPr>
          <w:b/>
          <w:sz w:val="28"/>
          <w:szCs w:val="28"/>
        </w:rPr>
      </w:pPr>
      <w:r w:rsidRPr="009866DA">
        <w:rPr>
          <w:b/>
          <w:sz w:val="28"/>
          <w:szCs w:val="28"/>
        </w:rPr>
        <w:t>Priekšlikums turpmākās rīcības plānojumam, termiņi un atbildīgās institūcijas paredzēto uzdevumu veikšanai</w:t>
      </w:r>
    </w:p>
    <w:p w:rsidR="006A2EA5" w:rsidRPr="009866DA" w:rsidRDefault="006A2EA5" w:rsidP="006A2EA5">
      <w:pPr>
        <w:ind w:firstLine="720"/>
        <w:jc w:val="both"/>
        <w:rPr>
          <w:sz w:val="28"/>
          <w:szCs w:val="28"/>
        </w:rPr>
      </w:pPr>
    </w:p>
    <w:p w:rsidR="006A2EA5" w:rsidRPr="009866DA" w:rsidRDefault="006A2EA5" w:rsidP="006A2EA5">
      <w:pPr>
        <w:ind w:firstLine="720"/>
        <w:jc w:val="both"/>
        <w:rPr>
          <w:sz w:val="28"/>
          <w:szCs w:val="28"/>
        </w:rPr>
      </w:pPr>
      <w:r w:rsidRPr="009866DA">
        <w:rPr>
          <w:sz w:val="28"/>
          <w:szCs w:val="28"/>
        </w:rPr>
        <w:t xml:space="preserve">Piedāvātā risinājuma Administratīvās rajona tiesas Rīgas tiesu nama un Rīgas pilsētas Ziemeļu rajona tiesas izvietošanai citās telpās īstenošana uzdodama VAS „Tiesu namu aģentūra”. </w:t>
      </w:r>
    </w:p>
    <w:p w:rsidR="006A2EA5" w:rsidRPr="009866DA" w:rsidRDefault="006A2EA5" w:rsidP="006A2EA5">
      <w:pPr>
        <w:ind w:firstLine="720"/>
        <w:jc w:val="both"/>
        <w:rPr>
          <w:sz w:val="28"/>
          <w:szCs w:val="28"/>
        </w:rPr>
      </w:pPr>
      <w:r w:rsidRPr="009866DA">
        <w:rPr>
          <w:sz w:val="28"/>
          <w:szCs w:val="28"/>
        </w:rPr>
        <w:t xml:space="preserve">Ņemot vērā VAS „Tiesu namu aģentūra” pieredzi jau līdzīgos projektos (piemēram, Jūrmalas pilsētas tiesas celtniecība), par pamatu ņemot jau iepriekš aģentūras realizētos jaunu tiesu ēku būvniecības projektus, pēc nepieciešamo sagatavošanās darbu pabeigšanas tiesu nama būvniecības darbi varētu tikt uzsākti 2011. gada </w:t>
      </w:r>
      <w:r w:rsidR="0091002F">
        <w:rPr>
          <w:sz w:val="28"/>
          <w:szCs w:val="28"/>
        </w:rPr>
        <w:t>trešajā</w:t>
      </w:r>
      <w:r w:rsidRPr="009866DA">
        <w:rPr>
          <w:sz w:val="28"/>
          <w:szCs w:val="28"/>
        </w:rPr>
        <w:t xml:space="preserve"> ceturksnī un pabeigti gada laikā. </w:t>
      </w:r>
    </w:p>
    <w:p w:rsidR="006A2EA5" w:rsidRPr="009866DA" w:rsidRDefault="006A2EA5" w:rsidP="006A2EA5">
      <w:pPr>
        <w:ind w:firstLine="720"/>
        <w:jc w:val="both"/>
        <w:rPr>
          <w:sz w:val="28"/>
          <w:szCs w:val="28"/>
        </w:rPr>
      </w:pPr>
      <w:r w:rsidRPr="009866DA">
        <w:rPr>
          <w:sz w:val="28"/>
          <w:szCs w:val="28"/>
        </w:rPr>
        <w:t>Ņemot vērā Ministru kabineta 2010. gada 14. decembra sēdē (prot. Nr. 73, 40.§) Tieslietu ministrijai doto uzdevumu nodrošināt divas tiesas ar darba telpām un ne vēlāk kā līdz 2012. gada 1. jūlijam atbrīvot nekustamo īpašumu Rīgā, Antonijas ielā 6, kā arī ievērojot šāda būvniecības projekta realizācijas darbietilpību sagatavošanas stadijā, VAS „Tiesu namu aģentūra” ar 2011. gada 15. aprīļa valdes lēmumu ir izveidojusi iepirkuma komisiju, kurai ir uzdots izstrādāt iepirkuma „Administratīvās ēkas „Administratīvās rajona tiesas Rīgas tiesu nama un Administratīvās apgabaltiesas tiesu nama” projektēšana, būvniecība un apsaimniekošana Rīgā, Baldones ielā 1/Slokas ielā 37a” nolikumu līdz 2011. gada 1. jūnijam.</w:t>
      </w:r>
    </w:p>
    <w:p w:rsidR="006A2EA5" w:rsidRPr="009866DA" w:rsidRDefault="006A2EA5" w:rsidP="006A2EA5">
      <w:pPr>
        <w:ind w:firstLine="720"/>
        <w:jc w:val="both"/>
        <w:rPr>
          <w:sz w:val="28"/>
          <w:szCs w:val="28"/>
        </w:rPr>
      </w:pPr>
      <w:r w:rsidRPr="009866DA">
        <w:rPr>
          <w:sz w:val="28"/>
          <w:szCs w:val="28"/>
        </w:rPr>
        <w:t>Ievērojot minēto, atbilstoši VAS „Tiesu namu aģentūra” sniegtajai informācijai būvniecības projektu iecerēts īstenot šādos termiņos:</w:t>
      </w:r>
    </w:p>
    <w:p w:rsidR="006A2EA5" w:rsidRPr="009866DA" w:rsidRDefault="006A2EA5" w:rsidP="006A2EA5">
      <w:pPr>
        <w:rPr>
          <w:sz w:val="28"/>
          <w:szCs w:val="28"/>
        </w:rPr>
      </w:pPr>
    </w:p>
    <w:tbl>
      <w:tblPr>
        <w:tblStyle w:val="TableGrid"/>
        <w:tblW w:w="0" w:type="auto"/>
        <w:tblInd w:w="360" w:type="dxa"/>
        <w:tblLook w:val="04A0"/>
      </w:tblPr>
      <w:tblGrid>
        <w:gridCol w:w="5927"/>
        <w:gridCol w:w="3000"/>
      </w:tblGrid>
      <w:tr w:rsidR="006A2EA5" w:rsidRPr="009866DA" w:rsidTr="00655C61">
        <w:trPr>
          <w:trHeight w:val="1134"/>
        </w:trPr>
        <w:tc>
          <w:tcPr>
            <w:tcW w:w="6694" w:type="dxa"/>
            <w:vAlign w:val="center"/>
          </w:tcPr>
          <w:p w:rsidR="006A2EA5" w:rsidRPr="009866DA" w:rsidRDefault="006A2EA5" w:rsidP="00655C61">
            <w:pPr>
              <w:jc w:val="center"/>
              <w:rPr>
                <w:b/>
                <w:sz w:val="28"/>
                <w:szCs w:val="28"/>
                <w:lang w:val="lv-LV"/>
              </w:rPr>
            </w:pPr>
            <w:r w:rsidRPr="009866DA">
              <w:rPr>
                <w:b/>
                <w:sz w:val="28"/>
                <w:szCs w:val="28"/>
                <w:lang w:val="lv-LV"/>
              </w:rPr>
              <w:t>Būvniecības projekta īstenošanā plānotās darbības</w:t>
            </w:r>
          </w:p>
        </w:tc>
        <w:tc>
          <w:tcPr>
            <w:tcW w:w="3260" w:type="dxa"/>
            <w:vAlign w:val="center"/>
          </w:tcPr>
          <w:p w:rsidR="006A2EA5" w:rsidRPr="009866DA" w:rsidRDefault="006A2EA5" w:rsidP="00655C61">
            <w:pPr>
              <w:jc w:val="center"/>
              <w:rPr>
                <w:b/>
                <w:sz w:val="28"/>
                <w:szCs w:val="28"/>
                <w:lang w:val="lv-LV"/>
              </w:rPr>
            </w:pPr>
            <w:r w:rsidRPr="009866DA">
              <w:rPr>
                <w:b/>
                <w:sz w:val="28"/>
                <w:szCs w:val="28"/>
                <w:lang w:val="lv-LV"/>
              </w:rPr>
              <w:t>Izpildes termiņš</w:t>
            </w:r>
          </w:p>
        </w:tc>
      </w:tr>
      <w:tr w:rsidR="006A2EA5" w:rsidRPr="009866DA" w:rsidTr="00655C61">
        <w:trPr>
          <w:trHeight w:val="1134"/>
        </w:trPr>
        <w:tc>
          <w:tcPr>
            <w:tcW w:w="6694" w:type="dxa"/>
            <w:vAlign w:val="center"/>
          </w:tcPr>
          <w:p w:rsidR="006A2EA5" w:rsidRPr="009866DA" w:rsidRDefault="006A2EA5" w:rsidP="00655C61">
            <w:pPr>
              <w:pStyle w:val="ListParagraph"/>
              <w:numPr>
                <w:ilvl w:val="0"/>
                <w:numId w:val="1"/>
              </w:numPr>
              <w:ind w:left="0" w:firstLine="0"/>
              <w:jc w:val="both"/>
              <w:rPr>
                <w:sz w:val="28"/>
                <w:szCs w:val="28"/>
                <w:lang w:val="lv-LV"/>
              </w:rPr>
            </w:pPr>
            <w:r w:rsidRPr="009866DA">
              <w:rPr>
                <w:sz w:val="28"/>
                <w:szCs w:val="28"/>
                <w:lang w:val="lv-LV"/>
              </w:rPr>
              <w:t xml:space="preserve">Būvniecības projekta realizācijas iepirkuma </w:t>
            </w:r>
            <w:r w:rsidRPr="009866DA">
              <w:rPr>
                <w:b/>
                <w:sz w:val="28"/>
                <w:szCs w:val="28"/>
                <w:lang w:val="lv-LV"/>
              </w:rPr>
              <w:t>dokumentācijas izstrāde:</w:t>
            </w:r>
          </w:p>
          <w:p w:rsidR="006A2EA5" w:rsidRPr="009866DA" w:rsidRDefault="006A2EA5" w:rsidP="00655C61">
            <w:pPr>
              <w:pStyle w:val="ListParagraph"/>
              <w:ind w:left="774" w:hanging="567"/>
              <w:jc w:val="both"/>
              <w:rPr>
                <w:sz w:val="28"/>
                <w:szCs w:val="28"/>
                <w:lang w:val="lv-LV"/>
              </w:rPr>
            </w:pPr>
            <w:r w:rsidRPr="009866DA">
              <w:rPr>
                <w:sz w:val="28"/>
                <w:szCs w:val="28"/>
                <w:lang w:val="lv-LV"/>
              </w:rPr>
              <w:t>- ēku tehnisko prasību izstrāde;</w:t>
            </w:r>
          </w:p>
          <w:p w:rsidR="006A2EA5" w:rsidRPr="009866DA" w:rsidRDefault="006A2EA5" w:rsidP="00655C61">
            <w:pPr>
              <w:pStyle w:val="ListParagraph"/>
              <w:ind w:left="774" w:hanging="567"/>
              <w:jc w:val="both"/>
              <w:rPr>
                <w:sz w:val="28"/>
                <w:szCs w:val="28"/>
                <w:lang w:val="lv-LV"/>
              </w:rPr>
            </w:pPr>
            <w:r w:rsidRPr="009866DA">
              <w:rPr>
                <w:sz w:val="28"/>
                <w:szCs w:val="28"/>
                <w:lang w:val="lv-LV"/>
              </w:rPr>
              <w:t>- atklāta konkursa nolikuma izstrāde un apstiprināšana.</w:t>
            </w:r>
          </w:p>
        </w:tc>
        <w:tc>
          <w:tcPr>
            <w:tcW w:w="3260" w:type="dxa"/>
            <w:vAlign w:val="center"/>
          </w:tcPr>
          <w:p w:rsidR="006A2EA5" w:rsidRPr="009866DA" w:rsidRDefault="006A2EA5" w:rsidP="00655C61">
            <w:pPr>
              <w:rPr>
                <w:sz w:val="28"/>
                <w:szCs w:val="28"/>
                <w:lang w:val="lv-LV"/>
              </w:rPr>
            </w:pPr>
            <w:r w:rsidRPr="009866DA">
              <w:rPr>
                <w:sz w:val="28"/>
                <w:szCs w:val="28"/>
                <w:lang w:val="lv-LV"/>
              </w:rPr>
              <w:t>No 2011. gada 15. aprīļa</w:t>
            </w:r>
          </w:p>
          <w:p w:rsidR="006A2EA5" w:rsidRPr="009866DA" w:rsidRDefault="006A2EA5" w:rsidP="00655C61">
            <w:pPr>
              <w:rPr>
                <w:sz w:val="28"/>
                <w:szCs w:val="28"/>
                <w:lang w:val="lv-LV"/>
              </w:rPr>
            </w:pPr>
            <w:r w:rsidRPr="009866DA">
              <w:rPr>
                <w:sz w:val="28"/>
                <w:szCs w:val="28"/>
                <w:lang w:val="lv-LV"/>
              </w:rPr>
              <w:t xml:space="preserve">līdz 2011. gada 1. jūnijam. </w:t>
            </w:r>
          </w:p>
        </w:tc>
      </w:tr>
      <w:tr w:rsidR="006A2EA5" w:rsidRPr="009866DA" w:rsidTr="00655C61">
        <w:trPr>
          <w:trHeight w:val="1134"/>
        </w:trPr>
        <w:tc>
          <w:tcPr>
            <w:tcW w:w="6694" w:type="dxa"/>
            <w:vAlign w:val="center"/>
          </w:tcPr>
          <w:p w:rsidR="006A2EA5" w:rsidRPr="009866DA" w:rsidRDefault="006A2EA5" w:rsidP="00655C61">
            <w:pPr>
              <w:pStyle w:val="ListParagraph"/>
              <w:numPr>
                <w:ilvl w:val="0"/>
                <w:numId w:val="1"/>
              </w:numPr>
              <w:ind w:left="66" w:hanging="66"/>
              <w:jc w:val="both"/>
              <w:rPr>
                <w:sz w:val="28"/>
                <w:szCs w:val="28"/>
                <w:lang w:val="lv-LV"/>
              </w:rPr>
            </w:pPr>
            <w:r w:rsidRPr="009866DA">
              <w:rPr>
                <w:sz w:val="28"/>
                <w:szCs w:val="28"/>
                <w:lang w:val="lv-LV"/>
              </w:rPr>
              <w:t xml:space="preserve">Būvniecības projekta realizācijas </w:t>
            </w:r>
            <w:r w:rsidRPr="009866DA">
              <w:rPr>
                <w:b/>
                <w:sz w:val="28"/>
                <w:szCs w:val="28"/>
                <w:lang w:val="lv-LV"/>
              </w:rPr>
              <w:t>iepirkuma veikšana</w:t>
            </w:r>
            <w:r w:rsidRPr="009866DA">
              <w:rPr>
                <w:sz w:val="28"/>
                <w:szCs w:val="28"/>
                <w:lang w:val="lv-LV"/>
              </w:rPr>
              <w:t>:</w:t>
            </w:r>
          </w:p>
          <w:p w:rsidR="006A2EA5" w:rsidRPr="009866DA" w:rsidRDefault="006A2EA5" w:rsidP="00655C61">
            <w:pPr>
              <w:pStyle w:val="ListParagraph"/>
              <w:ind w:left="491" w:hanging="284"/>
              <w:jc w:val="both"/>
              <w:rPr>
                <w:sz w:val="28"/>
                <w:szCs w:val="28"/>
                <w:lang w:val="lv-LV"/>
              </w:rPr>
            </w:pPr>
            <w:r w:rsidRPr="009866DA">
              <w:rPr>
                <w:sz w:val="28"/>
                <w:szCs w:val="28"/>
                <w:lang w:val="lv-LV"/>
              </w:rPr>
              <w:t>- minimālais piedāvājumu iesniegšanas termiņš 52 dienas;</w:t>
            </w:r>
          </w:p>
          <w:p w:rsidR="006A2EA5" w:rsidRPr="009866DA" w:rsidRDefault="006A2EA5" w:rsidP="00655C61">
            <w:pPr>
              <w:pStyle w:val="ListParagraph"/>
              <w:ind w:left="491" w:hanging="284"/>
              <w:jc w:val="both"/>
              <w:rPr>
                <w:sz w:val="28"/>
                <w:szCs w:val="28"/>
                <w:lang w:val="lv-LV"/>
              </w:rPr>
            </w:pPr>
            <w:r w:rsidRPr="009866DA">
              <w:rPr>
                <w:sz w:val="28"/>
                <w:szCs w:val="28"/>
                <w:lang w:val="lv-LV"/>
              </w:rPr>
              <w:t>- iesniegto piedāvājumu vērtēšana bez termiņa ierobežojuma;</w:t>
            </w:r>
          </w:p>
          <w:p w:rsidR="006A2EA5" w:rsidRPr="009866DA" w:rsidRDefault="006A2EA5" w:rsidP="00655C61">
            <w:pPr>
              <w:pStyle w:val="ListParagraph"/>
              <w:ind w:left="491" w:hanging="284"/>
              <w:jc w:val="both"/>
              <w:rPr>
                <w:sz w:val="28"/>
                <w:szCs w:val="28"/>
                <w:lang w:val="lv-LV"/>
              </w:rPr>
            </w:pPr>
            <w:r w:rsidRPr="009866DA">
              <w:rPr>
                <w:sz w:val="28"/>
                <w:szCs w:val="28"/>
                <w:lang w:val="lv-LV"/>
              </w:rPr>
              <w:t>- minimālais iepirkuma līguma slēgšanas nogaidīšanas termiņš 10 dienas.</w:t>
            </w:r>
          </w:p>
        </w:tc>
        <w:tc>
          <w:tcPr>
            <w:tcW w:w="3260" w:type="dxa"/>
            <w:vAlign w:val="center"/>
          </w:tcPr>
          <w:p w:rsidR="006A2EA5" w:rsidRPr="009866DA" w:rsidRDefault="006A2EA5" w:rsidP="00655C61">
            <w:pPr>
              <w:rPr>
                <w:sz w:val="28"/>
                <w:szCs w:val="28"/>
                <w:lang w:val="lv-LV"/>
              </w:rPr>
            </w:pPr>
            <w:r w:rsidRPr="009866DA">
              <w:rPr>
                <w:sz w:val="28"/>
                <w:szCs w:val="28"/>
                <w:lang w:val="lv-LV"/>
              </w:rPr>
              <w:t xml:space="preserve">No 2011. gada 1. jūnija </w:t>
            </w:r>
          </w:p>
          <w:p w:rsidR="006A2EA5" w:rsidRPr="009866DA" w:rsidRDefault="006A2EA5" w:rsidP="00655C61">
            <w:pPr>
              <w:rPr>
                <w:sz w:val="28"/>
                <w:szCs w:val="28"/>
                <w:lang w:val="lv-LV"/>
              </w:rPr>
            </w:pPr>
            <w:r w:rsidRPr="009866DA">
              <w:rPr>
                <w:sz w:val="28"/>
                <w:szCs w:val="28"/>
                <w:lang w:val="lv-LV"/>
              </w:rPr>
              <w:t>līdz 2011. gada 15. augustam.</w:t>
            </w:r>
          </w:p>
        </w:tc>
      </w:tr>
      <w:tr w:rsidR="006A2EA5" w:rsidRPr="009866DA" w:rsidTr="00655C61">
        <w:trPr>
          <w:trHeight w:val="1134"/>
        </w:trPr>
        <w:tc>
          <w:tcPr>
            <w:tcW w:w="6694" w:type="dxa"/>
            <w:vAlign w:val="center"/>
          </w:tcPr>
          <w:p w:rsidR="006A2EA5" w:rsidRPr="009866DA" w:rsidRDefault="006A2EA5" w:rsidP="00655C61">
            <w:pPr>
              <w:pStyle w:val="ListParagraph"/>
              <w:numPr>
                <w:ilvl w:val="0"/>
                <w:numId w:val="1"/>
              </w:numPr>
              <w:rPr>
                <w:sz w:val="28"/>
                <w:szCs w:val="28"/>
                <w:lang w:val="lv-LV"/>
              </w:rPr>
            </w:pPr>
            <w:r w:rsidRPr="009866DA">
              <w:rPr>
                <w:sz w:val="28"/>
                <w:szCs w:val="28"/>
                <w:lang w:val="lv-LV"/>
              </w:rPr>
              <w:t xml:space="preserve">Būvniecības projekta realizācijas </w:t>
            </w:r>
            <w:r w:rsidRPr="009866DA">
              <w:rPr>
                <w:b/>
                <w:sz w:val="28"/>
                <w:szCs w:val="28"/>
                <w:lang w:val="lv-LV"/>
              </w:rPr>
              <w:t>tehniskā projekta izstrāde</w:t>
            </w:r>
          </w:p>
        </w:tc>
        <w:tc>
          <w:tcPr>
            <w:tcW w:w="3260" w:type="dxa"/>
            <w:vAlign w:val="center"/>
          </w:tcPr>
          <w:p w:rsidR="006A2EA5" w:rsidRPr="009866DA" w:rsidRDefault="006A2EA5" w:rsidP="00655C61">
            <w:pPr>
              <w:jc w:val="both"/>
              <w:rPr>
                <w:sz w:val="28"/>
                <w:szCs w:val="28"/>
                <w:lang w:val="lv-LV"/>
              </w:rPr>
            </w:pPr>
            <w:r w:rsidRPr="009866DA">
              <w:rPr>
                <w:sz w:val="28"/>
                <w:szCs w:val="28"/>
                <w:lang w:val="lv-LV"/>
              </w:rPr>
              <w:t xml:space="preserve">Aptuveni </w:t>
            </w:r>
          </w:p>
          <w:p w:rsidR="006A2EA5" w:rsidRPr="009866DA" w:rsidRDefault="006A2EA5" w:rsidP="00655C61">
            <w:pPr>
              <w:jc w:val="both"/>
              <w:rPr>
                <w:sz w:val="28"/>
                <w:szCs w:val="28"/>
                <w:lang w:val="lv-LV"/>
              </w:rPr>
            </w:pPr>
            <w:r w:rsidRPr="009866DA">
              <w:rPr>
                <w:sz w:val="28"/>
                <w:szCs w:val="28"/>
                <w:lang w:val="lv-LV"/>
              </w:rPr>
              <w:t>no 3 līdz 6 mēnešiem.</w:t>
            </w:r>
          </w:p>
        </w:tc>
      </w:tr>
      <w:tr w:rsidR="006A2EA5" w:rsidRPr="009866DA" w:rsidTr="00655C61">
        <w:trPr>
          <w:trHeight w:val="1134"/>
        </w:trPr>
        <w:tc>
          <w:tcPr>
            <w:tcW w:w="6694" w:type="dxa"/>
            <w:vAlign w:val="center"/>
          </w:tcPr>
          <w:p w:rsidR="006A2EA5" w:rsidRPr="009866DA" w:rsidRDefault="006A2EA5" w:rsidP="00655C61">
            <w:pPr>
              <w:pStyle w:val="ListParagraph"/>
              <w:numPr>
                <w:ilvl w:val="0"/>
                <w:numId w:val="1"/>
              </w:numPr>
              <w:rPr>
                <w:sz w:val="28"/>
                <w:szCs w:val="28"/>
                <w:lang w:val="lv-LV"/>
              </w:rPr>
            </w:pPr>
            <w:r w:rsidRPr="009866DA">
              <w:rPr>
                <w:sz w:val="28"/>
                <w:szCs w:val="28"/>
                <w:lang w:val="lv-LV"/>
              </w:rPr>
              <w:t xml:space="preserve">Būvniecības projekta realizācijas </w:t>
            </w:r>
            <w:r w:rsidRPr="009866DA">
              <w:rPr>
                <w:b/>
                <w:sz w:val="28"/>
                <w:szCs w:val="28"/>
                <w:lang w:val="lv-LV"/>
              </w:rPr>
              <w:t>būvniecības darbu veikšana</w:t>
            </w:r>
          </w:p>
        </w:tc>
        <w:tc>
          <w:tcPr>
            <w:tcW w:w="3260" w:type="dxa"/>
            <w:vAlign w:val="center"/>
          </w:tcPr>
          <w:p w:rsidR="006A2EA5" w:rsidRPr="009866DA" w:rsidRDefault="006A2EA5" w:rsidP="00655C61">
            <w:pPr>
              <w:jc w:val="both"/>
              <w:rPr>
                <w:sz w:val="28"/>
                <w:szCs w:val="28"/>
                <w:lang w:val="lv-LV"/>
              </w:rPr>
            </w:pPr>
            <w:r w:rsidRPr="009866DA">
              <w:rPr>
                <w:sz w:val="28"/>
                <w:szCs w:val="28"/>
                <w:lang w:val="lv-LV"/>
              </w:rPr>
              <w:t>Aptuveni</w:t>
            </w:r>
          </w:p>
          <w:p w:rsidR="006A2EA5" w:rsidRPr="009866DA" w:rsidRDefault="006A2EA5" w:rsidP="00655C61">
            <w:pPr>
              <w:jc w:val="both"/>
              <w:rPr>
                <w:sz w:val="28"/>
                <w:szCs w:val="28"/>
                <w:lang w:val="lv-LV"/>
              </w:rPr>
            </w:pPr>
            <w:r w:rsidRPr="009866DA">
              <w:rPr>
                <w:sz w:val="28"/>
                <w:szCs w:val="28"/>
                <w:lang w:val="lv-LV"/>
              </w:rPr>
              <w:t>no 7 līdz 10 mēnešiem.</w:t>
            </w:r>
          </w:p>
        </w:tc>
      </w:tr>
    </w:tbl>
    <w:p w:rsidR="006A2EA5" w:rsidRPr="009866DA" w:rsidRDefault="006A2EA5" w:rsidP="006A2EA5">
      <w:pPr>
        <w:ind w:left="360"/>
        <w:rPr>
          <w:sz w:val="28"/>
          <w:szCs w:val="28"/>
        </w:rPr>
      </w:pPr>
    </w:p>
    <w:p w:rsidR="006A2EA5" w:rsidRPr="009866DA" w:rsidRDefault="006A2EA5" w:rsidP="006A2EA5">
      <w:pPr>
        <w:ind w:firstLine="720"/>
        <w:jc w:val="both"/>
        <w:rPr>
          <w:sz w:val="28"/>
          <w:szCs w:val="28"/>
        </w:rPr>
      </w:pPr>
      <w:r w:rsidRPr="009866DA">
        <w:rPr>
          <w:sz w:val="28"/>
          <w:szCs w:val="28"/>
        </w:rPr>
        <w:t>Ņemot vērā, ka būvniecības projekta realizācijas gala termiņš ir paredzēts 2012. gada 1. jūlijā, VAS „Tiesu namu aģentūra”, balstoties uz iepriekš realizēto būvniecības projektu praksi, ir norādījusi uz iespēju nepieciešamības gadījumā kā vienu no projekta realizācijas termiņu samazināšanas pasākumiem veikt dažādu projektēšanas un būvniecības darbu stadiju realizāciju vienlaicīgi.</w:t>
      </w:r>
    </w:p>
    <w:p w:rsidR="006A2EA5" w:rsidRPr="009866DA" w:rsidRDefault="006A2EA5" w:rsidP="006A2EA5">
      <w:pPr>
        <w:ind w:firstLine="720"/>
        <w:jc w:val="both"/>
        <w:rPr>
          <w:sz w:val="28"/>
          <w:szCs w:val="28"/>
        </w:rPr>
      </w:pPr>
      <w:r w:rsidRPr="009866DA">
        <w:rPr>
          <w:sz w:val="28"/>
          <w:szCs w:val="28"/>
        </w:rPr>
        <w:t xml:space="preserve">Līdz ar to tiesu ēkas nodošana ekspluatācijā varētu tikt veikta 2012. gada otrajā vai trešajā ceturksnī, tādējādi nodrošinot projekta pilnīgu īstenošanu līdz Ministru kabineta 2010. gada 14. decembra sēdē (prot. Nr. 73, 40.§) noteiktajam termiņam. </w:t>
      </w:r>
    </w:p>
    <w:p w:rsidR="006A2EA5" w:rsidRDefault="006A2EA5" w:rsidP="006A2EA5">
      <w:pPr>
        <w:jc w:val="both"/>
        <w:rPr>
          <w:sz w:val="28"/>
          <w:szCs w:val="28"/>
        </w:rPr>
      </w:pPr>
    </w:p>
    <w:p w:rsidR="009866DA" w:rsidRPr="009866DA" w:rsidRDefault="009866DA" w:rsidP="006A2EA5">
      <w:pPr>
        <w:jc w:val="both"/>
        <w:rPr>
          <w:sz w:val="28"/>
          <w:szCs w:val="28"/>
        </w:rPr>
      </w:pPr>
    </w:p>
    <w:p w:rsidR="006A2EA5" w:rsidRPr="009866DA" w:rsidRDefault="006A2EA5" w:rsidP="006A2EA5">
      <w:pPr>
        <w:jc w:val="center"/>
        <w:rPr>
          <w:b/>
          <w:sz w:val="28"/>
          <w:szCs w:val="28"/>
        </w:rPr>
      </w:pPr>
      <w:r w:rsidRPr="009866DA">
        <w:rPr>
          <w:b/>
          <w:sz w:val="28"/>
          <w:szCs w:val="28"/>
        </w:rPr>
        <w:t>Nepieciešamais finansējums piedāvātā risinājuma īstenošanai</w:t>
      </w:r>
    </w:p>
    <w:p w:rsidR="006A2EA5" w:rsidRPr="009866DA" w:rsidRDefault="006A2EA5" w:rsidP="006A2EA5">
      <w:pPr>
        <w:jc w:val="both"/>
        <w:rPr>
          <w:sz w:val="28"/>
          <w:szCs w:val="28"/>
        </w:rPr>
      </w:pPr>
    </w:p>
    <w:p w:rsidR="006A2EA5" w:rsidRPr="009866DA" w:rsidRDefault="006A2EA5" w:rsidP="006A2EA5">
      <w:pPr>
        <w:spacing w:before="60" w:after="60"/>
        <w:ind w:firstLine="720"/>
        <w:jc w:val="both"/>
        <w:rPr>
          <w:sz w:val="28"/>
          <w:szCs w:val="28"/>
        </w:rPr>
      </w:pPr>
      <w:r w:rsidRPr="009866DA">
        <w:rPr>
          <w:sz w:val="28"/>
          <w:szCs w:val="28"/>
        </w:rPr>
        <w:t>Piedāvātā risinājuma īstenošanai nepieciešams papildus finansējums.</w:t>
      </w:r>
    </w:p>
    <w:tbl>
      <w:tblPr>
        <w:tblW w:w="9214" w:type="dxa"/>
        <w:tblCellSpacing w:w="0" w:type="dxa"/>
        <w:tblInd w:w="-1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37"/>
        <w:gridCol w:w="1417"/>
        <w:gridCol w:w="1559"/>
        <w:gridCol w:w="1701"/>
      </w:tblGrid>
      <w:tr w:rsidR="006A2EA5" w:rsidRPr="009866DA" w:rsidTr="00655C61">
        <w:trPr>
          <w:tblCellSpacing w:w="0" w:type="dxa"/>
        </w:trPr>
        <w:tc>
          <w:tcPr>
            <w:tcW w:w="4537" w:type="dxa"/>
            <w:vMerge w:val="restart"/>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sz w:val="28"/>
                <w:szCs w:val="28"/>
              </w:rPr>
            </w:pPr>
            <w:r w:rsidRPr="009866DA">
              <w:rPr>
                <w:sz w:val="28"/>
                <w:szCs w:val="28"/>
              </w:rPr>
              <w:t> </w:t>
            </w:r>
          </w:p>
        </w:tc>
        <w:tc>
          <w:tcPr>
            <w:tcW w:w="4677" w:type="dxa"/>
            <w:gridSpan w:val="3"/>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sz w:val="28"/>
                <w:szCs w:val="28"/>
              </w:rPr>
            </w:pPr>
            <w:r w:rsidRPr="009866DA">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9866DA">
                <w:rPr>
                  <w:sz w:val="28"/>
                  <w:szCs w:val="28"/>
                </w:rPr>
                <w:t>. latu</w:t>
              </w:r>
            </w:smartTag>
            <w:r w:rsidRPr="009866DA">
              <w:rPr>
                <w:sz w:val="28"/>
                <w:szCs w:val="28"/>
              </w:rPr>
              <w:t>)</w:t>
            </w:r>
          </w:p>
        </w:tc>
      </w:tr>
      <w:tr w:rsidR="006A2EA5" w:rsidRPr="009866DA" w:rsidTr="00655C61">
        <w:trPr>
          <w:tblCellSpacing w:w="0" w:type="dxa"/>
        </w:trPr>
        <w:tc>
          <w:tcPr>
            <w:tcW w:w="4537" w:type="dxa"/>
            <w:vMerge/>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sz w:val="28"/>
                <w:szCs w:val="28"/>
              </w:rPr>
            </w:pP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2011</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2012</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2013</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b/>
                <w:sz w:val="28"/>
                <w:szCs w:val="28"/>
              </w:rPr>
            </w:pPr>
            <w:r w:rsidRPr="009866DA">
              <w:rPr>
                <w:b/>
                <w:sz w:val="28"/>
                <w:szCs w:val="28"/>
              </w:rPr>
              <w:t>Kopējās izmaiņas budžeta ieņēmumos t.sk.:</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274"/>
              <w:rPr>
                <w:sz w:val="28"/>
                <w:szCs w:val="28"/>
              </w:rPr>
            </w:pPr>
            <w:r w:rsidRPr="009866DA">
              <w:rPr>
                <w:sz w:val="28"/>
                <w:szCs w:val="28"/>
              </w:rPr>
              <w:t>Izmaiņas valsts budžeta ieņēmumos</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274"/>
              <w:rPr>
                <w:sz w:val="28"/>
                <w:szCs w:val="28"/>
              </w:rPr>
            </w:pPr>
            <w:r w:rsidRPr="009866DA">
              <w:rPr>
                <w:sz w:val="28"/>
                <w:szCs w:val="28"/>
              </w:rPr>
              <w:t>Izmaiņas pašvaldību budžeta ieņēmumos</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b/>
                <w:sz w:val="28"/>
                <w:szCs w:val="28"/>
              </w:rPr>
            </w:pPr>
            <w:r w:rsidRPr="009866DA">
              <w:rPr>
                <w:b/>
                <w:sz w:val="28"/>
                <w:szCs w:val="28"/>
              </w:rPr>
              <w:t>Kopējās izmaiņas budžeta izdevumos t.sk.:</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380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760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274"/>
              <w:rPr>
                <w:sz w:val="28"/>
                <w:szCs w:val="28"/>
              </w:rPr>
            </w:pPr>
            <w:r w:rsidRPr="009866DA">
              <w:rPr>
                <w:sz w:val="28"/>
                <w:szCs w:val="28"/>
              </w:rPr>
              <w:t>Izmaiņas valsts budžeta izdevumos</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380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760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274"/>
              <w:rPr>
                <w:sz w:val="28"/>
                <w:szCs w:val="28"/>
              </w:rPr>
            </w:pPr>
            <w:r w:rsidRPr="009866DA">
              <w:rPr>
                <w:sz w:val="28"/>
                <w:szCs w:val="28"/>
              </w:rPr>
              <w:t>Izmaiņas pašvaldību budžeta izdevumos</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b/>
                <w:sz w:val="28"/>
                <w:szCs w:val="28"/>
              </w:rPr>
            </w:pPr>
            <w:r w:rsidRPr="009866DA">
              <w:rPr>
                <w:b/>
                <w:sz w:val="28"/>
                <w:szCs w:val="28"/>
              </w:rPr>
              <w:t>Kopējā finansiālā ietekme:</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-380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b/>
                <w:sz w:val="28"/>
                <w:szCs w:val="28"/>
              </w:rPr>
            </w:pPr>
            <w:r w:rsidRPr="009866DA">
              <w:rPr>
                <w:b/>
                <w:sz w:val="28"/>
                <w:szCs w:val="28"/>
              </w:rPr>
              <w:t>-760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274"/>
              <w:rPr>
                <w:sz w:val="28"/>
                <w:szCs w:val="28"/>
              </w:rPr>
            </w:pPr>
            <w:r w:rsidRPr="009866DA">
              <w:rPr>
                <w:sz w:val="28"/>
                <w:szCs w:val="28"/>
              </w:rPr>
              <w:t>Finansiālā ietekme uz valsts budžetu</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-380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-760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274"/>
              <w:rPr>
                <w:sz w:val="28"/>
                <w:szCs w:val="28"/>
              </w:rPr>
            </w:pPr>
            <w:r w:rsidRPr="009866DA">
              <w:rPr>
                <w:sz w:val="28"/>
                <w:szCs w:val="28"/>
              </w:rPr>
              <w:t>Finansiālā ietekme uz pašvaldību budžetu</w:t>
            </w:r>
          </w:p>
        </w:tc>
        <w:tc>
          <w:tcPr>
            <w:tcW w:w="141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559"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c>
          <w:tcPr>
            <w:tcW w:w="1701"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jc w:val="center"/>
              <w:rPr>
                <w:sz w:val="28"/>
                <w:szCs w:val="28"/>
              </w:rPr>
            </w:pPr>
            <w:r w:rsidRPr="009866DA">
              <w:rPr>
                <w:sz w:val="28"/>
                <w:szCs w:val="28"/>
              </w:rPr>
              <w:t>0</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sz w:val="28"/>
                <w:szCs w:val="28"/>
              </w:rPr>
            </w:pPr>
            <w:r w:rsidRPr="009866DA">
              <w:rPr>
                <w:sz w:val="28"/>
                <w:szCs w:val="28"/>
              </w:rPr>
              <w:t>Detalizēts ieņēmumu un izdevumu aprēķins</w:t>
            </w:r>
          </w:p>
          <w:p w:rsidR="006A2EA5" w:rsidRPr="009866DA" w:rsidRDefault="006A2EA5" w:rsidP="00655C61">
            <w:pPr>
              <w:jc w:val="both"/>
              <w:rPr>
                <w:sz w:val="28"/>
                <w:szCs w:val="28"/>
              </w:rPr>
            </w:pPr>
            <w:r w:rsidRPr="009866DA">
              <w:rPr>
                <w:sz w:val="28"/>
                <w:szCs w:val="28"/>
              </w:rPr>
              <w:t>(ja nepieciešams, detalizētu ieņēmumu un izdevumu aprēķinu pievieno politikas plānošanas dokumenta pielikumā. Ietekmi uz valsts un pašvaldību budžetiem norāda atsevišķi valsts un pašvaldību budžetam)</w:t>
            </w:r>
          </w:p>
        </w:tc>
        <w:tc>
          <w:tcPr>
            <w:tcW w:w="4677" w:type="dxa"/>
            <w:gridSpan w:val="3"/>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273"/>
              <w:jc w:val="both"/>
              <w:rPr>
                <w:sz w:val="28"/>
                <w:szCs w:val="28"/>
              </w:rPr>
            </w:pPr>
            <w:r w:rsidRPr="009866DA">
              <w:rPr>
                <w:sz w:val="28"/>
                <w:szCs w:val="28"/>
              </w:rPr>
              <w:t>Detalizēts izdevumu aprēķins atspoguļots ziņojuma pielikumā.</w:t>
            </w:r>
          </w:p>
          <w:p w:rsidR="006A2EA5" w:rsidRPr="009866DA" w:rsidRDefault="006A2EA5" w:rsidP="00655C61">
            <w:pPr>
              <w:jc w:val="both"/>
              <w:rPr>
                <w:sz w:val="28"/>
                <w:szCs w:val="28"/>
              </w:rPr>
            </w:pP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sz w:val="28"/>
                <w:szCs w:val="28"/>
              </w:rPr>
            </w:pPr>
            <w:r w:rsidRPr="009866DA">
              <w:rPr>
                <w:sz w:val="28"/>
                <w:szCs w:val="28"/>
              </w:rPr>
              <w:t>Cita informācija</w:t>
            </w:r>
          </w:p>
        </w:tc>
        <w:tc>
          <w:tcPr>
            <w:tcW w:w="4677" w:type="dxa"/>
            <w:gridSpan w:val="3"/>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415"/>
              <w:jc w:val="both"/>
              <w:rPr>
                <w:sz w:val="28"/>
                <w:szCs w:val="28"/>
              </w:rPr>
            </w:pPr>
            <w:r w:rsidRPr="009866DA">
              <w:rPr>
                <w:sz w:val="28"/>
                <w:szCs w:val="28"/>
              </w:rPr>
              <w:t>Attiecībā uz valsts kapitālsabiedrību īpašumā esošo nekustamo īpašumu iznomāšanu nav noteikta vienota nomas maksas aprēķināšanas metodika. Veicot provizoriskus aprēķinus saskaņā ar Ministru kabineta 2010. gada 8. jūnija noteikumos Nr. 515 „</w:t>
            </w:r>
            <w:r w:rsidRPr="009866DA">
              <w:rPr>
                <w:bCs/>
                <w:sz w:val="28"/>
                <w:szCs w:val="28"/>
              </w:rPr>
              <w:t>Noteikumi par valsts un pašvaldību mantas iznomāšanas kārtību, nomas maksas noteikšanas metodiku un nomas līguma tipveida nosacījumiem” norādītajām formulām, kas izmantojamas nomas maksas aprēķināšanai nomas objektos, kuros iznomātājs ir veicis kapitālieguldījumus,</w:t>
            </w:r>
            <w:r w:rsidRPr="009866DA">
              <w:rPr>
                <w:sz w:val="28"/>
                <w:szCs w:val="28"/>
              </w:rPr>
              <w:t xml:space="preserve"> nomas maksa turpmākos 20 gadus pēc nomas līguma noslēgšanas būtu 10,55 Ls par vienu kvadrātmetru, ieskaitot pievienotās vērtības nodokli. </w:t>
            </w:r>
          </w:p>
          <w:p w:rsidR="006A2EA5" w:rsidRPr="009866DA" w:rsidRDefault="006A2EA5" w:rsidP="00655C61">
            <w:pPr>
              <w:ind w:firstLine="415"/>
              <w:jc w:val="both"/>
              <w:rPr>
                <w:sz w:val="28"/>
                <w:szCs w:val="28"/>
              </w:rPr>
            </w:pPr>
            <w:r w:rsidRPr="009866DA">
              <w:rPr>
                <w:b/>
                <w:sz w:val="28"/>
                <w:szCs w:val="28"/>
              </w:rPr>
              <w:t>Tādējādi atbilstoši provizoriskajiem aprēķiniem kopējā ietekme uz valsts budžetu, nomas maksu segšanai veidotu 759 600 Ls gadā</w:t>
            </w:r>
            <w:r w:rsidRPr="009866DA">
              <w:rPr>
                <w:sz w:val="28"/>
                <w:szCs w:val="28"/>
              </w:rPr>
              <w:t xml:space="preserve">. Nomas maksa ir aprēķināta, iekļaujot tajā paredzamos kapitālieguldījumus, piesaistītā kapitāla izmaksas (resursu cena) attiecībā pret kapitālieguldījumiem, nekustamā īpašuma ekspluatācijas laikā piemērotās apsaimniekošanas maksas, nekustamā īpašuma nodokli par zemi un ēkām, nekustamā īpašuma apdrošināšanu. </w:t>
            </w:r>
          </w:p>
          <w:p w:rsidR="006A2EA5" w:rsidRPr="009866DA" w:rsidRDefault="0091002F" w:rsidP="00655C61">
            <w:pPr>
              <w:ind w:firstLine="415"/>
              <w:jc w:val="both"/>
              <w:rPr>
                <w:sz w:val="28"/>
                <w:szCs w:val="28"/>
              </w:rPr>
            </w:pPr>
            <w:r>
              <w:rPr>
                <w:sz w:val="28"/>
                <w:szCs w:val="28"/>
              </w:rPr>
              <w:t>Valsts budžeta līdzekļi</w:t>
            </w:r>
            <w:r w:rsidR="006A2EA5" w:rsidRPr="009866DA">
              <w:rPr>
                <w:sz w:val="28"/>
                <w:szCs w:val="28"/>
              </w:rPr>
              <w:t xml:space="preserve"> nomas maksas segšanai būtu nepieciešami tikai pēc projekta pilnīgas realizācijas un ēkas nodošanas ekspluatācijā. Ēkas būvniecības darbu īstenošanai papildus finansējums no valsts budžeta nav nepieciešams. </w:t>
            </w:r>
          </w:p>
          <w:p w:rsidR="006A2EA5" w:rsidRPr="009866DA" w:rsidRDefault="006A2EA5" w:rsidP="00655C61">
            <w:pPr>
              <w:ind w:firstLine="415"/>
              <w:jc w:val="both"/>
              <w:rPr>
                <w:sz w:val="28"/>
                <w:szCs w:val="28"/>
              </w:rPr>
            </w:pPr>
            <w:r w:rsidRPr="009866DA">
              <w:rPr>
                <w:sz w:val="28"/>
                <w:szCs w:val="28"/>
              </w:rPr>
              <w:t xml:space="preserve">Lai īstenotu jaunas tiesu ēkas būvniecību VAS „Tiesu namu aģentūra” būtu nepieciešams piesaistīt kredīta līdzekļus. Viens no būtiskākajiem rādītājiem, lai tiktu piesaistīti papildus finanšu līdzekļi, ir uzņēmuma saistību attiecība pret uzņēmuma paša kapitālu, kas raksturo uzņēmuma finansiālo neatkarību. VAS „Tiesu namu aģentūra” šobrīd aizņemtā kapitāla summa ir vairākas reizes mazāka par uzņēmuma paša kapitālu, kas dod pamatu pārliecībai, ka VAS „Tiesu namu aģentūra” šobrīd ir pietiekami finansiāli neatkarīga un spēj piesaistīt aizņemto kapitālu, lai realizētu jaunus būvniecības projektus. </w:t>
            </w:r>
          </w:p>
          <w:p w:rsidR="006A2EA5" w:rsidRPr="009866DA" w:rsidRDefault="006A2EA5" w:rsidP="00655C61">
            <w:pPr>
              <w:ind w:firstLine="415"/>
              <w:jc w:val="both"/>
              <w:rPr>
                <w:sz w:val="28"/>
                <w:szCs w:val="28"/>
              </w:rPr>
            </w:pPr>
            <w:r w:rsidRPr="009866DA">
              <w:rPr>
                <w:sz w:val="28"/>
                <w:szCs w:val="28"/>
              </w:rPr>
              <w:t>Izvērtējot iespējamo tiesu nama būvniecības finansēšanas modeļu variantus (valsts kases aizdevums, komercbankas aizdevums, kā nodrošinājumu izmantojot valsts galvojumu, komercbankas aizdevums, kā nodrošinājumu izmantojot hipotēku uz nekustamo īpašumu vai privātā partnera piesaistes iespējas), par visatbilstošāko atzīstams komercbankas aizdevums, kā nodrošinājumu izmantojot hipotēku uz nekustamo īpašumu. Šāds finansēšanas modelis līdz šim VAS „Tiesu namu aģentūra” praksē sekmīgi izmantots tiesu namu būvniecības finansēšanai.</w:t>
            </w:r>
          </w:p>
          <w:p w:rsidR="006A2EA5" w:rsidRPr="009866DA" w:rsidRDefault="006A2EA5" w:rsidP="00655C61">
            <w:pPr>
              <w:ind w:firstLine="415"/>
              <w:jc w:val="both"/>
              <w:rPr>
                <w:sz w:val="28"/>
                <w:szCs w:val="28"/>
              </w:rPr>
            </w:pPr>
            <w:r w:rsidRPr="009866DA">
              <w:rPr>
                <w:sz w:val="28"/>
                <w:szCs w:val="28"/>
              </w:rPr>
              <w:t>Ņemot vērā ar Starptautisko valūtas fondu panākto vienošanos, kas atrunāta Latvijas Republikas 2009. gada 27. jūlija nodomu pr</w:t>
            </w:r>
            <w:r w:rsidR="0091002F">
              <w:rPr>
                <w:sz w:val="28"/>
                <w:szCs w:val="28"/>
              </w:rPr>
              <w:t>otokolā, Valsts kases aizdevums</w:t>
            </w:r>
            <w:r w:rsidRPr="009866DA">
              <w:rPr>
                <w:sz w:val="28"/>
                <w:szCs w:val="28"/>
              </w:rPr>
              <w:t xml:space="preserve"> kā projekta finansēšanas modelis šobrīd nav atbalstāms.</w:t>
            </w:r>
          </w:p>
          <w:p w:rsidR="006A2EA5" w:rsidRPr="009866DA" w:rsidRDefault="006A2EA5" w:rsidP="00655C61">
            <w:pPr>
              <w:ind w:firstLine="415"/>
              <w:jc w:val="both"/>
              <w:rPr>
                <w:sz w:val="28"/>
                <w:szCs w:val="28"/>
              </w:rPr>
            </w:pPr>
            <w:r w:rsidRPr="009866DA">
              <w:rPr>
                <w:sz w:val="28"/>
                <w:szCs w:val="28"/>
              </w:rPr>
              <w:t>Tāpat šobrīd nav iespējams prognozēt komercbanku piedāvātās procentu likmes, ja aizņēmuma nodrošinājums ir valsts galvojums. Kā arī nav zināms, vai un kādā apmērā konkrētā projekta ietvaros valsts piešķirtam galvojumam tiktu noteikta galvojuma riska procentu likme (saskaņā ar Ministru kabineta 2010. gada 1. jūlija noteikumiem Nr. 501 „</w:t>
            </w:r>
            <w:r w:rsidRPr="009866DA">
              <w:rPr>
                <w:bCs/>
                <w:sz w:val="28"/>
                <w:szCs w:val="28"/>
              </w:rPr>
              <w:t>Kārtība, kādā gadskārtējā valsts budžeta likumprojektā iekļauj pieprasījumus valsts vārdā sniedzamajiem galvojumiem, un galvojumu sniegšanas un uzraudzības kārtība</w:t>
            </w:r>
            <w:r w:rsidRPr="009866DA">
              <w:rPr>
                <w:sz w:val="28"/>
                <w:szCs w:val="28"/>
              </w:rPr>
              <w:t>). Līdz ar to ievērojami zemāka procentu likme var būt komercbankas aizdevumam, kuram par nodrošinājumu tiek izmantota hipotēka uz nekustamo īpašumu.</w:t>
            </w:r>
          </w:p>
        </w:tc>
      </w:tr>
      <w:tr w:rsidR="006A2EA5" w:rsidRPr="009866DA" w:rsidTr="00655C61">
        <w:trPr>
          <w:tblCellSpacing w:w="0" w:type="dxa"/>
        </w:trPr>
        <w:tc>
          <w:tcPr>
            <w:tcW w:w="4537" w:type="dxa"/>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rPr>
                <w:sz w:val="28"/>
                <w:szCs w:val="28"/>
              </w:rPr>
            </w:pPr>
            <w:r w:rsidRPr="009866DA">
              <w:rPr>
                <w:sz w:val="28"/>
                <w:szCs w:val="28"/>
              </w:rPr>
              <w:t>Izmaiņas budžeta izdevumos no N+4 līdz N+7 gadiem</w:t>
            </w:r>
          </w:p>
        </w:tc>
        <w:tc>
          <w:tcPr>
            <w:tcW w:w="4677" w:type="dxa"/>
            <w:gridSpan w:val="3"/>
            <w:tcBorders>
              <w:top w:val="single" w:sz="4" w:space="0" w:color="808080"/>
              <w:left w:val="single" w:sz="4" w:space="0" w:color="808080"/>
              <w:bottom w:val="single" w:sz="4" w:space="0" w:color="808080"/>
              <w:right w:val="single" w:sz="4" w:space="0" w:color="808080"/>
            </w:tcBorders>
            <w:vAlign w:val="center"/>
          </w:tcPr>
          <w:p w:rsidR="006A2EA5" w:rsidRPr="009866DA" w:rsidRDefault="006A2EA5" w:rsidP="00655C61">
            <w:pPr>
              <w:ind w:firstLine="415"/>
              <w:jc w:val="both"/>
              <w:rPr>
                <w:sz w:val="28"/>
                <w:szCs w:val="28"/>
              </w:rPr>
            </w:pPr>
            <w:r w:rsidRPr="009866DA">
              <w:rPr>
                <w:sz w:val="28"/>
                <w:szCs w:val="28"/>
              </w:rPr>
              <w:t xml:space="preserve">Projekta īstenošanai 2012.gadā papildus būs nepieciešami 379 800 lati, 2013.gadā un turpmāk 759 600 lati gadā. </w:t>
            </w:r>
          </w:p>
        </w:tc>
      </w:tr>
    </w:tbl>
    <w:p w:rsidR="006A2EA5" w:rsidRPr="009866DA" w:rsidRDefault="006A2EA5" w:rsidP="006A2EA5">
      <w:pPr>
        <w:jc w:val="both"/>
        <w:rPr>
          <w:sz w:val="28"/>
          <w:szCs w:val="28"/>
        </w:rPr>
      </w:pPr>
    </w:p>
    <w:p w:rsidR="006A2EA5" w:rsidRPr="009866DA" w:rsidRDefault="006A2EA5" w:rsidP="006A2EA5">
      <w:pPr>
        <w:jc w:val="both"/>
        <w:rPr>
          <w:sz w:val="28"/>
          <w:szCs w:val="28"/>
        </w:rPr>
      </w:pPr>
    </w:p>
    <w:p w:rsidR="006A2EA5" w:rsidRPr="009866DA" w:rsidRDefault="009866DA" w:rsidP="006A2EA5">
      <w:pPr>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A2EA5" w:rsidRPr="009866DA">
        <w:rPr>
          <w:sz w:val="28"/>
          <w:szCs w:val="28"/>
        </w:rPr>
        <w:t>A. </w:t>
      </w:r>
      <w:proofErr w:type="spellStart"/>
      <w:r w:rsidR="006A2EA5" w:rsidRPr="009866DA">
        <w:rPr>
          <w:sz w:val="28"/>
          <w:szCs w:val="28"/>
        </w:rPr>
        <w:t>Štokenbergs</w:t>
      </w:r>
      <w:proofErr w:type="spellEnd"/>
    </w:p>
    <w:p w:rsidR="006A2EA5" w:rsidRPr="00574C4E" w:rsidRDefault="006A2EA5" w:rsidP="006A2EA5"/>
    <w:p w:rsidR="006A2EA5" w:rsidRPr="00574C4E" w:rsidRDefault="006A2EA5" w:rsidP="006A2EA5"/>
    <w:p w:rsidR="006A2EA5" w:rsidRPr="00574C4E" w:rsidRDefault="006A2EA5"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Default="006A2EA5"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Default="009866DA" w:rsidP="006A2EA5">
      <w:pPr>
        <w:tabs>
          <w:tab w:val="left" w:pos="360"/>
        </w:tabs>
        <w:jc w:val="both"/>
        <w:rPr>
          <w:bCs/>
          <w:sz w:val="16"/>
          <w:szCs w:val="16"/>
        </w:rPr>
      </w:pPr>
    </w:p>
    <w:p w:rsidR="009866DA" w:rsidRPr="00574C4E" w:rsidRDefault="009866DA" w:rsidP="006A2EA5">
      <w:pPr>
        <w:tabs>
          <w:tab w:val="left" w:pos="360"/>
        </w:tabs>
        <w:jc w:val="both"/>
        <w:rPr>
          <w:bCs/>
          <w:sz w:val="16"/>
          <w:szCs w:val="16"/>
        </w:rPr>
      </w:pPr>
    </w:p>
    <w:p w:rsidR="006A2EA5" w:rsidRPr="00574C4E" w:rsidRDefault="006A2EA5" w:rsidP="006A2EA5">
      <w:pPr>
        <w:tabs>
          <w:tab w:val="left" w:pos="360"/>
        </w:tabs>
        <w:jc w:val="both"/>
        <w:rPr>
          <w:bCs/>
          <w:sz w:val="16"/>
          <w:szCs w:val="16"/>
        </w:rPr>
      </w:pPr>
    </w:p>
    <w:p w:rsidR="006A2EA5" w:rsidRPr="00574C4E" w:rsidRDefault="00605F8B" w:rsidP="006A2EA5">
      <w:pPr>
        <w:pStyle w:val="Title"/>
        <w:jc w:val="both"/>
        <w:rPr>
          <w:b w:val="0"/>
          <w:sz w:val="20"/>
        </w:rPr>
      </w:pPr>
      <w:r>
        <w:rPr>
          <w:b w:val="0"/>
          <w:sz w:val="20"/>
        </w:rPr>
        <w:t>1</w:t>
      </w:r>
      <w:r w:rsidR="009866DA">
        <w:rPr>
          <w:b w:val="0"/>
          <w:sz w:val="20"/>
        </w:rPr>
        <w:t>2</w:t>
      </w:r>
      <w:r>
        <w:rPr>
          <w:b w:val="0"/>
          <w:sz w:val="20"/>
        </w:rPr>
        <w:t>.07.2011. 1</w:t>
      </w:r>
      <w:r w:rsidR="002A60B5">
        <w:rPr>
          <w:b w:val="0"/>
          <w:sz w:val="20"/>
        </w:rPr>
        <w:t>3</w:t>
      </w:r>
      <w:r w:rsidR="006A2EA5" w:rsidRPr="00574C4E">
        <w:rPr>
          <w:b w:val="0"/>
          <w:sz w:val="20"/>
        </w:rPr>
        <w:t>:</w:t>
      </w:r>
      <w:r w:rsidR="002A60B5">
        <w:rPr>
          <w:b w:val="0"/>
          <w:sz w:val="20"/>
        </w:rPr>
        <w:t>00</w:t>
      </w:r>
    </w:p>
    <w:p w:rsidR="006A2EA5" w:rsidRPr="00574C4E" w:rsidRDefault="00CC5825" w:rsidP="006A2EA5">
      <w:pPr>
        <w:pStyle w:val="Title"/>
        <w:tabs>
          <w:tab w:val="left" w:pos="780"/>
        </w:tabs>
        <w:jc w:val="both"/>
        <w:rPr>
          <w:b w:val="0"/>
          <w:sz w:val="20"/>
        </w:rPr>
      </w:pPr>
      <w:r>
        <w:rPr>
          <w:b w:val="0"/>
          <w:sz w:val="20"/>
        </w:rPr>
        <w:t>30</w:t>
      </w:r>
      <w:r w:rsidR="00605F8B">
        <w:rPr>
          <w:b w:val="0"/>
          <w:sz w:val="20"/>
        </w:rPr>
        <w:t>44</w:t>
      </w:r>
    </w:p>
    <w:p w:rsidR="006A2EA5" w:rsidRPr="00574C4E" w:rsidRDefault="006A2EA5" w:rsidP="006A2EA5">
      <w:pPr>
        <w:rPr>
          <w:sz w:val="20"/>
          <w:szCs w:val="20"/>
        </w:rPr>
      </w:pPr>
      <w:r w:rsidRPr="00574C4E">
        <w:rPr>
          <w:sz w:val="20"/>
          <w:szCs w:val="20"/>
        </w:rPr>
        <w:t>E. Timpare</w:t>
      </w:r>
    </w:p>
    <w:p w:rsidR="006A2EA5" w:rsidRPr="00574C4E" w:rsidRDefault="006A2EA5" w:rsidP="006A2EA5">
      <w:pPr>
        <w:pStyle w:val="Title"/>
        <w:tabs>
          <w:tab w:val="left" w:pos="780"/>
        </w:tabs>
        <w:jc w:val="both"/>
        <w:rPr>
          <w:b w:val="0"/>
          <w:sz w:val="20"/>
        </w:rPr>
      </w:pPr>
      <w:r w:rsidRPr="00574C4E">
        <w:rPr>
          <w:b w:val="0"/>
          <w:sz w:val="20"/>
        </w:rPr>
        <w:t xml:space="preserve">67036829, </w:t>
      </w:r>
      <w:hyperlink r:id="rId7" w:history="1">
        <w:r w:rsidRPr="00574C4E">
          <w:rPr>
            <w:rStyle w:val="Hyperlink"/>
            <w:b w:val="0"/>
            <w:color w:val="auto"/>
            <w:sz w:val="20"/>
          </w:rPr>
          <w:t>evija.timpare@tm.gov.lv</w:t>
        </w:r>
      </w:hyperlink>
    </w:p>
    <w:p w:rsidR="00F236FB" w:rsidRDefault="00F236FB"/>
    <w:sectPr w:rsidR="00F236FB" w:rsidSect="009866DA">
      <w:headerReference w:type="default" r:id="rId8"/>
      <w:footerReference w:type="default" r:id="rId9"/>
      <w:footerReference w:type="first" r:id="rId10"/>
      <w:pgSz w:w="11906" w:h="16838" w:code="9"/>
      <w:pgMar w:top="1418" w:right="1134"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A5" w:rsidRDefault="00996AA5" w:rsidP="00605F8B">
      <w:r>
        <w:separator/>
      </w:r>
    </w:p>
  </w:endnote>
  <w:endnote w:type="continuationSeparator" w:id="0">
    <w:p w:rsidR="00996AA5" w:rsidRDefault="00996AA5" w:rsidP="00605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A5" w:rsidRPr="0060465D" w:rsidRDefault="00C924D0" w:rsidP="00655C61">
    <w:pPr>
      <w:jc w:val="both"/>
      <w:rPr>
        <w:sz w:val="20"/>
        <w:szCs w:val="20"/>
      </w:rPr>
    </w:pPr>
    <w:r w:rsidRPr="00DA4332">
      <w:rPr>
        <w:sz w:val="20"/>
        <w:szCs w:val="20"/>
      </w:rPr>
      <w:fldChar w:fldCharType="begin"/>
    </w:r>
    <w:r w:rsidR="00996AA5" w:rsidRPr="00DA4332">
      <w:rPr>
        <w:sz w:val="20"/>
        <w:szCs w:val="20"/>
      </w:rPr>
      <w:instrText xml:space="preserve"> FILENAME </w:instrText>
    </w:r>
    <w:r w:rsidRPr="00DA4332">
      <w:rPr>
        <w:sz w:val="20"/>
        <w:szCs w:val="20"/>
      </w:rPr>
      <w:fldChar w:fldCharType="separate"/>
    </w:r>
    <w:r w:rsidR="00D56FA3">
      <w:rPr>
        <w:noProof/>
        <w:sz w:val="20"/>
        <w:szCs w:val="20"/>
      </w:rPr>
      <w:t>TMZino_120711_parcelsana</w:t>
    </w:r>
    <w:r w:rsidRPr="00DA4332">
      <w:rPr>
        <w:sz w:val="20"/>
        <w:szCs w:val="20"/>
      </w:rPr>
      <w:fldChar w:fldCharType="end"/>
    </w:r>
    <w:r w:rsidR="00996AA5">
      <w:rPr>
        <w:sz w:val="20"/>
        <w:szCs w:val="20"/>
      </w:rPr>
      <w:t xml:space="preserve">; </w:t>
    </w:r>
    <w:r w:rsidR="00996AA5" w:rsidRPr="0060454D">
      <w:rPr>
        <w:sz w:val="20"/>
        <w:szCs w:val="20"/>
      </w:rPr>
      <w:t xml:space="preserve">Informatīvais ziņojums par </w:t>
    </w:r>
    <w:r w:rsidR="00996AA5" w:rsidRPr="0060465D">
      <w:rPr>
        <w:sz w:val="20"/>
        <w:szCs w:val="20"/>
      </w:rPr>
      <w:t>Administratīvās rajona tiesas Rīgas tiesu nama un Rīgas pilsētas Ziemeļu rajona tiesas pārvietošanu uz citām telpām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A5" w:rsidRDefault="00996AA5" w:rsidP="00655C61">
    <w:pPr>
      <w:jc w:val="both"/>
      <w:rPr>
        <w:sz w:val="20"/>
        <w:szCs w:val="20"/>
      </w:rPr>
    </w:pPr>
  </w:p>
  <w:p w:rsidR="00996AA5" w:rsidRDefault="00C924D0" w:rsidP="00655C61">
    <w:pPr>
      <w:jc w:val="both"/>
    </w:pPr>
    <w:r w:rsidRPr="00DA4332">
      <w:rPr>
        <w:sz w:val="20"/>
        <w:szCs w:val="20"/>
      </w:rPr>
      <w:fldChar w:fldCharType="begin"/>
    </w:r>
    <w:r w:rsidR="00996AA5" w:rsidRPr="00DA4332">
      <w:rPr>
        <w:sz w:val="20"/>
        <w:szCs w:val="20"/>
      </w:rPr>
      <w:instrText xml:space="preserve"> FILENAME </w:instrText>
    </w:r>
    <w:r w:rsidRPr="00DA4332">
      <w:rPr>
        <w:sz w:val="20"/>
        <w:szCs w:val="20"/>
      </w:rPr>
      <w:fldChar w:fldCharType="separate"/>
    </w:r>
    <w:r w:rsidR="00D56FA3">
      <w:rPr>
        <w:noProof/>
        <w:sz w:val="20"/>
        <w:szCs w:val="20"/>
      </w:rPr>
      <w:t>TMZino_120711_parcelsana</w:t>
    </w:r>
    <w:r w:rsidRPr="00DA4332">
      <w:rPr>
        <w:sz w:val="20"/>
        <w:szCs w:val="20"/>
      </w:rPr>
      <w:fldChar w:fldCharType="end"/>
    </w:r>
    <w:r w:rsidR="00996AA5">
      <w:rPr>
        <w:sz w:val="20"/>
        <w:szCs w:val="20"/>
      </w:rPr>
      <w:t xml:space="preserve">; </w:t>
    </w:r>
    <w:r w:rsidR="00996AA5" w:rsidRPr="0060454D">
      <w:rPr>
        <w:sz w:val="20"/>
        <w:szCs w:val="20"/>
      </w:rPr>
      <w:t xml:space="preserve">Informatīvais ziņojums par </w:t>
    </w:r>
    <w:r w:rsidR="00996AA5" w:rsidRPr="0060465D">
      <w:rPr>
        <w:sz w:val="20"/>
        <w:szCs w:val="20"/>
      </w:rPr>
      <w:t>Administratīvās rajona tiesas Rīgas tiesu nama un Rīgas pilsētas Ziemeļu rajona tiesas pārvietošanu uz citām telpām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A5" w:rsidRDefault="00996AA5" w:rsidP="00605F8B">
      <w:r>
        <w:separator/>
      </w:r>
    </w:p>
  </w:footnote>
  <w:footnote w:type="continuationSeparator" w:id="0">
    <w:p w:rsidR="00996AA5" w:rsidRDefault="00996AA5" w:rsidP="00605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A5" w:rsidRDefault="00C924D0">
    <w:pPr>
      <w:pStyle w:val="Header"/>
      <w:jc w:val="center"/>
    </w:pPr>
    <w:fldSimple w:instr=" PAGE   \* MERGEFORMAT ">
      <w:r w:rsidR="00D56FA3">
        <w:rPr>
          <w:noProof/>
        </w:rPr>
        <w:t>11</w:t>
      </w:r>
    </w:fldSimple>
  </w:p>
  <w:p w:rsidR="00996AA5" w:rsidRPr="00277DC9" w:rsidRDefault="0099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1991"/>
    <w:multiLevelType w:val="hybridMultilevel"/>
    <w:tmpl w:val="C4CC5CC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2EA5"/>
    <w:rsid w:val="0002073E"/>
    <w:rsid w:val="000223BE"/>
    <w:rsid w:val="0006363F"/>
    <w:rsid w:val="000A1BF0"/>
    <w:rsid w:val="000B0B81"/>
    <w:rsid w:val="000C46C4"/>
    <w:rsid w:val="000E59A6"/>
    <w:rsid w:val="000F0873"/>
    <w:rsid w:val="00110AF7"/>
    <w:rsid w:val="00121F76"/>
    <w:rsid w:val="001255FF"/>
    <w:rsid w:val="00163D30"/>
    <w:rsid w:val="00180B9D"/>
    <w:rsid w:val="00183BFC"/>
    <w:rsid w:val="00197180"/>
    <w:rsid w:val="001F17A0"/>
    <w:rsid w:val="0021717E"/>
    <w:rsid w:val="002173AE"/>
    <w:rsid w:val="00225D74"/>
    <w:rsid w:val="002374ED"/>
    <w:rsid w:val="00255CA5"/>
    <w:rsid w:val="002563B5"/>
    <w:rsid w:val="00266F77"/>
    <w:rsid w:val="00286447"/>
    <w:rsid w:val="002A36E5"/>
    <w:rsid w:val="002A60B5"/>
    <w:rsid w:val="002D08EB"/>
    <w:rsid w:val="002E146E"/>
    <w:rsid w:val="002F0221"/>
    <w:rsid w:val="002F4AED"/>
    <w:rsid w:val="003031A9"/>
    <w:rsid w:val="00305B62"/>
    <w:rsid w:val="00307E0E"/>
    <w:rsid w:val="003178F5"/>
    <w:rsid w:val="00332F56"/>
    <w:rsid w:val="00353596"/>
    <w:rsid w:val="00371A4B"/>
    <w:rsid w:val="00375D16"/>
    <w:rsid w:val="003840FD"/>
    <w:rsid w:val="003B1E97"/>
    <w:rsid w:val="003B259C"/>
    <w:rsid w:val="003B3B44"/>
    <w:rsid w:val="003C544E"/>
    <w:rsid w:val="003C5E0D"/>
    <w:rsid w:val="003E37BD"/>
    <w:rsid w:val="00434044"/>
    <w:rsid w:val="0046300E"/>
    <w:rsid w:val="00485BC7"/>
    <w:rsid w:val="004B5F21"/>
    <w:rsid w:val="004C2B0B"/>
    <w:rsid w:val="004C2CF3"/>
    <w:rsid w:val="004C4B8A"/>
    <w:rsid w:val="005069AC"/>
    <w:rsid w:val="0051283B"/>
    <w:rsid w:val="00527B31"/>
    <w:rsid w:val="00531E7F"/>
    <w:rsid w:val="00574243"/>
    <w:rsid w:val="005757F8"/>
    <w:rsid w:val="005A1610"/>
    <w:rsid w:val="005A63FB"/>
    <w:rsid w:val="005B6EB6"/>
    <w:rsid w:val="005E73AB"/>
    <w:rsid w:val="00605F8B"/>
    <w:rsid w:val="00614473"/>
    <w:rsid w:val="00620F5B"/>
    <w:rsid w:val="00631C7A"/>
    <w:rsid w:val="006506F4"/>
    <w:rsid w:val="006550AC"/>
    <w:rsid w:val="00655C61"/>
    <w:rsid w:val="00666FCF"/>
    <w:rsid w:val="00672839"/>
    <w:rsid w:val="00673C8B"/>
    <w:rsid w:val="006A2EA5"/>
    <w:rsid w:val="006E1335"/>
    <w:rsid w:val="006F48DF"/>
    <w:rsid w:val="00722CC2"/>
    <w:rsid w:val="0073039A"/>
    <w:rsid w:val="00743974"/>
    <w:rsid w:val="0075742C"/>
    <w:rsid w:val="00770C79"/>
    <w:rsid w:val="00794816"/>
    <w:rsid w:val="007A0223"/>
    <w:rsid w:val="007A261C"/>
    <w:rsid w:val="007A265C"/>
    <w:rsid w:val="007A54CF"/>
    <w:rsid w:val="007B35AD"/>
    <w:rsid w:val="007D786D"/>
    <w:rsid w:val="007F45E0"/>
    <w:rsid w:val="00815992"/>
    <w:rsid w:val="00825B63"/>
    <w:rsid w:val="00840156"/>
    <w:rsid w:val="00852C8E"/>
    <w:rsid w:val="008B2B47"/>
    <w:rsid w:val="008B4D66"/>
    <w:rsid w:val="008C5D77"/>
    <w:rsid w:val="00902EEF"/>
    <w:rsid w:val="0091002F"/>
    <w:rsid w:val="009137A2"/>
    <w:rsid w:val="009158BD"/>
    <w:rsid w:val="009249CC"/>
    <w:rsid w:val="00933D38"/>
    <w:rsid w:val="009351AA"/>
    <w:rsid w:val="00937C03"/>
    <w:rsid w:val="0095052D"/>
    <w:rsid w:val="009556D8"/>
    <w:rsid w:val="00977BD7"/>
    <w:rsid w:val="009866DA"/>
    <w:rsid w:val="00996AA5"/>
    <w:rsid w:val="009A1C13"/>
    <w:rsid w:val="009A774D"/>
    <w:rsid w:val="009B0258"/>
    <w:rsid w:val="009D5D45"/>
    <w:rsid w:val="009E0A87"/>
    <w:rsid w:val="009F02F0"/>
    <w:rsid w:val="009F07EA"/>
    <w:rsid w:val="009F709D"/>
    <w:rsid w:val="00A3529A"/>
    <w:rsid w:val="00A46DED"/>
    <w:rsid w:val="00A51C39"/>
    <w:rsid w:val="00A53040"/>
    <w:rsid w:val="00A55D77"/>
    <w:rsid w:val="00A55E91"/>
    <w:rsid w:val="00A86D5E"/>
    <w:rsid w:val="00A9168B"/>
    <w:rsid w:val="00AA5BD7"/>
    <w:rsid w:val="00AB3C08"/>
    <w:rsid w:val="00AC27C9"/>
    <w:rsid w:val="00AD60C7"/>
    <w:rsid w:val="00AF622A"/>
    <w:rsid w:val="00B07887"/>
    <w:rsid w:val="00B1104E"/>
    <w:rsid w:val="00B26876"/>
    <w:rsid w:val="00B63952"/>
    <w:rsid w:val="00BA69A1"/>
    <w:rsid w:val="00BA738B"/>
    <w:rsid w:val="00BA7E38"/>
    <w:rsid w:val="00BB3D77"/>
    <w:rsid w:val="00BC3204"/>
    <w:rsid w:val="00BD1B47"/>
    <w:rsid w:val="00BF110F"/>
    <w:rsid w:val="00C23A6B"/>
    <w:rsid w:val="00C27732"/>
    <w:rsid w:val="00C3551D"/>
    <w:rsid w:val="00C90E14"/>
    <w:rsid w:val="00C924D0"/>
    <w:rsid w:val="00CA5F4A"/>
    <w:rsid w:val="00CB1780"/>
    <w:rsid w:val="00CC094E"/>
    <w:rsid w:val="00CC3006"/>
    <w:rsid w:val="00CC4DE1"/>
    <w:rsid w:val="00CC5825"/>
    <w:rsid w:val="00CD0AC5"/>
    <w:rsid w:val="00CD7D04"/>
    <w:rsid w:val="00CE33A0"/>
    <w:rsid w:val="00CF0DC4"/>
    <w:rsid w:val="00D16476"/>
    <w:rsid w:val="00D22BE7"/>
    <w:rsid w:val="00D313A8"/>
    <w:rsid w:val="00D50338"/>
    <w:rsid w:val="00D54ADF"/>
    <w:rsid w:val="00D56FA3"/>
    <w:rsid w:val="00D651B3"/>
    <w:rsid w:val="00D72247"/>
    <w:rsid w:val="00D82450"/>
    <w:rsid w:val="00D94138"/>
    <w:rsid w:val="00DC684E"/>
    <w:rsid w:val="00DC6E28"/>
    <w:rsid w:val="00DE4427"/>
    <w:rsid w:val="00E55826"/>
    <w:rsid w:val="00E76AD7"/>
    <w:rsid w:val="00EA07CB"/>
    <w:rsid w:val="00EA577F"/>
    <w:rsid w:val="00EB198E"/>
    <w:rsid w:val="00EB77B3"/>
    <w:rsid w:val="00EF75CA"/>
    <w:rsid w:val="00F04904"/>
    <w:rsid w:val="00F227B0"/>
    <w:rsid w:val="00F236FB"/>
    <w:rsid w:val="00F35B4F"/>
    <w:rsid w:val="00F5091F"/>
    <w:rsid w:val="00F5181E"/>
    <w:rsid w:val="00F5443E"/>
    <w:rsid w:val="00F546AB"/>
    <w:rsid w:val="00F611BF"/>
    <w:rsid w:val="00F77280"/>
    <w:rsid w:val="00FC1F90"/>
    <w:rsid w:val="00FC4064"/>
    <w:rsid w:val="00FC6D7B"/>
    <w:rsid w:val="00FD03DD"/>
    <w:rsid w:val="00FE34C4"/>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A5"/>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EA5"/>
    <w:rPr>
      <w:color w:val="0000FF"/>
      <w:u w:val="single"/>
    </w:rPr>
  </w:style>
  <w:style w:type="paragraph" w:styleId="Header">
    <w:name w:val="header"/>
    <w:basedOn w:val="Normal"/>
    <w:link w:val="HeaderChar"/>
    <w:uiPriority w:val="99"/>
    <w:unhideWhenUsed/>
    <w:rsid w:val="006A2EA5"/>
    <w:pPr>
      <w:tabs>
        <w:tab w:val="center" w:pos="4153"/>
        <w:tab w:val="right" w:pos="8306"/>
      </w:tabs>
    </w:pPr>
  </w:style>
  <w:style w:type="character" w:customStyle="1" w:styleId="HeaderChar">
    <w:name w:val="Header Char"/>
    <w:basedOn w:val="DefaultParagraphFont"/>
    <w:link w:val="Header"/>
    <w:uiPriority w:val="99"/>
    <w:rsid w:val="006A2EA5"/>
    <w:rPr>
      <w:rFonts w:eastAsia="Times New Roman"/>
      <w:szCs w:val="24"/>
      <w:lang w:eastAsia="lv-LV"/>
    </w:rPr>
  </w:style>
  <w:style w:type="paragraph" w:styleId="Title">
    <w:name w:val="Title"/>
    <w:basedOn w:val="Normal"/>
    <w:link w:val="TitleChar"/>
    <w:qFormat/>
    <w:rsid w:val="006A2EA5"/>
    <w:pPr>
      <w:jc w:val="center"/>
    </w:pPr>
    <w:rPr>
      <w:b/>
      <w:szCs w:val="20"/>
    </w:rPr>
  </w:style>
  <w:style w:type="character" w:customStyle="1" w:styleId="TitleChar">
    <w:name w:val="Title Char"/>
    <w:basedOn w:val="DefaultParagraphFont"/>
    <w:link w:val="Title"/>
    <w:rsid w:val="006A2EA5"/>
    <w:rPr>
      <w:rFonts w:eastAsia="Times New Roman"/>
      <w:b/>
      <w:szCs w:val="20"/>
      <w:lang w:eastAsia="lv-LV"/>
    </w:rPr>
  </w:style>
  <w:style w:type="character" w:styleId="PageNumber">
    <w:name w:val="page number"/>
    <w:basedOn w:val="DefaultParagraphFont"/>
    <w:rsid w:val="006A2EA5"/>
  </w:style>
  <w:style w:type="paragraph" w:styleId="ListParagraph">
    <w:name w:val="List Paragraph"/>
    <w:basedOn w:val="Normal"/>
    <w:uiPriority w:val="34"/>
    <w:qFormat/>
    <w:rsid w:val="006A2EA5"/>
    <w:pPr>
      <w:ind w:left="720"/>
      <w:contextualSpacing/>
    </w:pPr>
    <w:rPr>
      <w:lang w:eastAsia="en-US"/>
    </w:rPr>
  </w:style>
  <w:style w:type="table" w:styleId="TableGrid">
    <w:name w:val="Table Grid"/>
    <w:basedOn w:val="TableNormal"/>
    <w:uiPriority w:val="59"/>
    <w:rsid w:val="006A2EA5"/>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05F8B"/>
    <w:pPr>
      <w:tabs>
        <w:tab w:val="center" w:pos="4153"/>
        <w:tab w:val="right" w:pos="8306"/>
      </w:tabs>
    </w:pPr>
  </w:style>
  <w:style w:type="character" w:customStyle="1" w:styleId="FooterChar">
    <w:name w:val="Footer Char"/>
    <w:basedOn w:val="DefaultParagraphFont"/>
    <w:link w:val="Footer"/>
    <w:uiPriority w:val="99"/>
    <w:semiHidden/>
    <w:rsid w:val="00605F8B"/>
    <w:rPr>
      <w:rFonts w:eastAsia="Times New Roman"/>
      <w:szCs w:val="24"/>
      <w:lang w:eastAsia="lv-LV"/>
    </w:rPr>
  </w:style>
  <w:style w:type="paragraph" w:styleId="BalloonText">
    <w:name w:val="Balloon Text"/>
    <w:basedOn w:val="Normal"/>
    <w:link w:val="BalloonTextChar"/>
    <w:uiPriority w:val="99"/>
    <w:semiHidden/>
    <w:unhideWhenUsed/>
    <w:rsid w:val="00996AA5"/>
    <w:rPr>
      <w:rFonts w:ascii="Tahoma" w:hAnsi="Tahoma" w:cs="Tahoma"/>
      <w:sz w:val="16"/>
      <w:szCs w:val="16"/>
    </w:rPr>
  </w:style>
  <w:style w:type="character" w:customStyle="1" w:styleId="BalloonTextChar">
    <w:name w:val="Balloon Text Char"/>
    <w:basedOn w:val="DefaultParagraphFont"/>
    <w:link w:val="BalloonText"/>
    <w:uiPriority w:val="99"/>
    <w:semiHidden/>
    <w:rsid w:val="00996AA5"/>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ja.timpare@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3066</Words>
  <Characters>20547</Characters>
  <Application>Microsoft Office Word</Application>
  <DocSecurity>0</DocSecurity>
  <Lines>513</Lines>
  <Paragraphs>136</Paragraphs>
  <ScaleCrop>false</ScaleCrop>
  <HeadingPairs>
    <vt:vector size="2" baseType="variant">
      <vt:variant>
        <vt:lpstr>Title</vt:lpstr>
      </vt:variant>
      <vt:variant>
        <vt:i4>1</vt:i4>
      </vt:variant>
    </vt:vector>
  </HeadingPairs>
  <TitlesOfParts>
    <vt:vector size="1" baseType="lpstr">
      <vt:lpstr>Par Administratīvās rajona tiesas Rīgastiesu nama un Rīgas pilsētas Ziemeļu rajona tiesas pārvietošanu un citām telpām</vt:lpstr>
    </vt:vector>
  </TitlesOfParts>
  <Company>Tieslietu Ministrija</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Administratīvās rajona tiesas Rīgastiesu nama un Rīgas pilsētas Ziemeļu rajona tiesas pārvietošanu un citām telpām</dc:title>
  <dc:subject>Informatīvais ziņojums</dc:subject>
  <dc:creator>Evija Timpare</dc:creator>
  <cp:keywords/>
  <dc:description>evija.timpare@tm.gov.lv_x000d_
67036829</dc:description>
  <cp:lastModifiedBy>et1401</cp:lastModifiedBy>
  <cp:revision>19</cp:revision>
  <cp:lastPrinted>2011-07-12T10:00:00Z</cp:lastPrinted>
  <dcterms:created xsi:type="dcterms:W3CDTF">2011-07-11T05:03:00Z</dcterms:created>
  <dcterms:modified xsi:type="dcterms:W3CDTF">2011-07-12T10:00:00Z</dcterms:modified>
</cp:coreProperties>
</file>