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E5" w:rsidRDefault="00BD1B0A">
      <w:pPr>
        <w:jc w:val="right"/>
        <w:rPr>
          <w:bCs/>
          <w:sz w:val="28"/>
          <w:szCs w:val="28"/>
        </w:rPr>
      </w:pPr>
      <w:r w:rsidRPr="00BD1B0A">
        <w:rPr>
          <w:bCs/>
          <w:sz w:val="28"/>
          <w:szCs w:val="28"/>
        </w:rPr>
        <w:t>Projekts</w:t>
      </w:r>
    </w:p>
    <w:p w:rsidR="00B447F2" w:rsidRPr="00CA78CE" w:rsidRDefault="00B447F2" w:rsidP="00B447F2">
      <w:pPr>
        <w:jc w:val="center"/>
        <w:rPr>
          <w:b/>
          <w:bCs/>
          <w:sz w:val="28"/>
          <w:szCs w:val="28"/>
        </w:rPr>
      </w:pPr>
      <w:r w:rsidRPr="00CA78CE">
        <w:rPr>
          <w:b/>
          <w:bCs/>
          <w:sz w:val="28"/>
          <w:szCs w:val="28"/>
        </w:rPr>
        <w:t xml:space="preserve">Informatīvais </w:t>
      </w:r>
      <w:smartTag w:uri="schemas-tilde-lv/tildestengine" w:element="veidnes">
        <w:smartTagPr>
          <w:attr w:name="baseform" w:val="ziņojum|s"/>
          <w:attr w:name="id" w:val="-1"/>
          <w:attr w:name="text" w:val="ziņojums"/>
        </w:smartTagPr>
        <w:r w:rsidRPr="00CA78CE">
          <w:rPr>
            <w:b/>
            <w:bCs/>
            <w:sz w:val="28"/>
            <w:szCs w:val="28"/>
          </w:rPr>
          <w:t>ziņojums</w:t>
        </w:r>
      </w:smartTag>
    </w:p>
    <w:p w:rsidR="006F7517" w:rsidRPr="00AF0686" w:rsidRDefault="00AF0686" w:rsidP="008D1CE1">
      <w:pPr>
        <w:jc w:val="center"/>
        <w:rPr>
          <w:b/>
          <w:sz w:val="28"/>
          <w:szCs w:val="28"/>
        </w:rPr>
      </w:pPr>
      <w:r>
        <w:rPr>
          <w:b/>
          <w:bCs/>
          <w:sz w:val="28"/>
          <w:szCs w:val="28"/>
        </w:rPr>
        <w:t>„</w:t>
      </w:r>
      <w:r w:rsidRPr="00AF0686">
        <w:rPr>
          <w:b/>
          <w:bCs/>
          <w:sz w:val="28"/>
          <w:szCs w:val="28"/>
        </w:rPr>
        <w:t xml:space="preserve">Par </w:t>
      </w:r>
      <w:r w:rsidRPr="00AF0686">
        <w:rPr>
          <w:b/>
          <w:sz w:val="28"/>
          <w:szCs w:val="28"/>
        </w:rPr>
        <w:t xml:space="preserve">izziņas iestādes, prokuratūras vai tiesas </w:t>
      </w:r>
      <w:r w:rsidR="00917F1B">
        <w:rPr>
          <w:b/>
          <w:sz w:val="28"/>
          <w:szCs w:val="28"/>
        </w:rPr>
        <w:t>nelikumīgas</w:t>
      </w:r>
      <w:r w:rsidRPr="00AF0686">
        <w:rPr>
          <w:b/>
          <w:sz w:val="28"/>
          <w:szCs w:val="28"/>
        </w:rPr>
        <w:t xml:space="preserve"> vai </w:t>
      </w:r>
      <w:r w:rsidR="00917F1B">
        <w:rPr>
          <w:b/>
          <w:sz w:val="28"/>
          <w:szCs w:val="28"/>
        </w:rPr>
        <w:t>nepamatotas</w:t>
      </w:r>
      <w:r w:rsidRPr="00AF0686">
        <w:rPr>
          <w:b/>
          <w:sz w:val="28"/>
          <w:szCs w:val="28"/>
        </w:rPr>
        <w:t xml:space="preserve"> rīcības rezultātā nodarīto zaudējumu atlīdzināšanu</w:t>
      </w:r>
      <w:r>
        <w:rPr>
          <w:b/>
          <w:sz w:val="28"/>
          <w:szCs w:val="28"/>
        </w:rPr>
        <w:t>”</w:t>
      </w:r>
    </w:p>
    <w:p w:rsidR="006F7517" w:rsidRPr="00B3628C" w:rsidRDefault="006F7517" w:rsidP="008D1CE1">
      <w:pPr>
        <w:jc w:val="center"/>
        <w:rPr>
          <w:b/>
          <w:sz w:val="28"/>
          <w:szCs w:val="28"/>
        </w:rPr>
      </w:pPr>
    </w:p>
    <w:p w:rsidR="00B447F2" w:rsidRPr="00CA78CE" w:rsidRDefault="00B447F2" w:rsidP="00B447F2">
      <w:pPr>
        <w:rPr>
          <w:b/>
          <w:bCs/>
          <w:sz w:val="28"/>
          <w:szCs w:val="28"/>
        </w:rPr>
      </w:pPr>
    </w:p>
    <w:p w:rsidR="000B3498" w:rsidRDefault="000B3498" w:rsidP="006F7517">
      <w:pPr>
        <w:ind w:firstLine="720"/>
        <w:jc w:val="both"/>
      </w:pPr>
      <w:r>
        <w:t xml:space="preserve">Atbilstoši </w:t>
      </w:r>
      <w:r w:rsidRPr="00B56449">
        <w:t xml:space="preserve">likuma „Par izziņas iestādes, prokuratūras vai tiesas </w:t>
      </w:r>
      <w:r w:rsidR="00917F1B">
        <w:t>nelikumīgas</w:t>
      </w:r>
      <w:r w:rsidRPr="00B56449">
        <w:t xml:space="preserve"> vai </w:t>
      </w:r>
      <w:r w:rsidR="00917F1B">
        <w:t>nepamatotas</w:t>
      </w:r>
      <w:r w:rsidRPr="00B56449">
        <w:t xml:space="preserve"> rīcības</w:t>
      </w:r>
      <w:r>
        <w:t xml:space="preserve"> rezultātā</w:t>
      </w:r>
      <w:r w:rsidRPr="00B56449">
        <w:t xml:space="preserve"> nodarīto zaudējumu atlīdzināšanu” </w:t>
      </w:r>
      <w:r w:rsidR="00362903">
        <w:t>(turpmāk</w:t>
      </w:r>
      <w:r w:rsidR="00154014">
        <w:t xml:space="preserve"> – </w:t>
      </w:r>
      <w:r w:rsidR="00362903">
        <w:t xml:space="preserve">Zaudējumu atlīdzināšanas likums) </w:t>
      </w:r>
      <w:r>
        <w:t>7.panta ceturtajā daļā noteiktajam z</w:t>
      </w:r>
      <w:r w:rsidRPr="00B56449">
        <w:t>audējumu atlīdzības izmaksas kārtību, kā arī sociālo un darba garantiju atjaunošanas kārtību nosaka Ministru kabinets</w:t>
      </w:r>
      <w:r>
        <w:t xml:space="preserve">. </w:t>
      </w:r>
      <w:r w:rsidRPr="00B56449">
        <w:rPr>
          <w:color w:val="000000"/>
        </w:rPr>
        <w:t xml:space="preserve">Saskaņā ar Ministru kabineta 2004.gada 27.aprīļa noteikumu Nr.433 „Iesniegumu iesniegšanas un izskatīšanas, darba garantiju un sociālo garantiju atjaunošanas un zaudējumu atlīdzības izmaksas kārtība” </w:t>
      </w:r>
      <w:r w:rsidR="00362903">
        <w:rPr>
          <w:color w:val="000000"/>
        </w:rPr>
        <w:t>(turpmāk</w:t>
      </w:r>
      <w:r w:rsidR="00154014">
        <w:rPr>
          <w:color w:val="000000"/>
        </w:rPr>
        <w:t xml:space="preserve"> – </w:t>
      </w:r>
      <w:r w:rsidR="00362903">
        <w:rPr>
          <w:color w:val="000000"/>
        </w:rPr>
        <w:t xml:space="preserve">Ministru kabineta noteikumi Nr.433) </w:t>
      </w:r>
      <w:r w:rsidRPr="00B56449">
        <w:rPr>
          <w:color w:val="000000"/>
        </w:rPr>
        <w:t xml:space="preserve">5.punktu zaudējumu atlīdzību izmaksā Tieslietu ministrija </w:t>
      </w:r>
      <w:r>
        <w:rPr>
          <w:color w:val="000000"/>
        </w:rPr>
        <w:t xml:space="preserve">no Tieslietu </w:t>
      </w:r>
      <w:r w:rsidRPr="005806A8">
        <w:t>ministrijai šiem mērķiem paredzētajiem valsts pamatbudžeta līdzekļiem.</w:t>
      </w:r>
    </w:p>
    <w:p w:rsidR="000B3498" w:rsidRDefault="000B3498" w:rsidP="006F7517">
      <w:pPr>
        <w:ind w:firstLine="720"/>
        <w:jc w:val="both"/>
        <w:rPr>
          <w:sz w:val="28"/>
          <w:szCs w:val="28"/>
        </w:rPr>
      </w:pPr>
      <w:r>
        <w:t>L</w:t>
      </w:r>
      <w:r w:rsidRPr="00B56449">
        <w:t xml:space="preserve">ai </w:t>
      </w:r>
      <w:r w:rsidR="00AB3935">
        <w:rPr>
          <w:color w:val="000000"/>
        </w:rPr>
        <w:t>Tieslietu ministrija</w:t>
      </w:r>
      <w:r w:rsidR="00AB3935" w:rsidRPr="00B56449">
        <w:rPr>
          <w:color w:val="000000"/>
        </w:rPr>
        <w:t xml:space="preserve"> </w:t>
      </w:r>
      <w:r w:rsidRPr="00B56449">
        <w:t xml:space="preserve">izpildītu </w:t>
      </w:r>
      <w:r w:rsidRPr="00B56449">
        <w:rPr>
          <w:color w:val="000000"/>
        </w:rPr>
        <w:t>Ministru kabineta noteikumu Nr.433 5.punktā uzlikto pienākumu</w:t>
      </w:r>
      <w:r w:rsidR="00947504">
        <w:rPr>
          <w:color w:val="000000"/>
        </w:rPr>
        <w:t xml:space="preserve">, ministrijai </w:t>
      </w:r>
      <w:r w:rsidR="00AB3935">
        <w:rPr>
          <w:color w:val="000000"/>
        </w:rPr>
        <w:t xml:space="preserve">katru gadu </w:t>
      </w:r>
      <w:r w:rsidR="00947504">
        <w:rPr>
          <w:color w:val="000000"/>
        </w:rPr>
        <w:t>no valsts budžeta</w:t>
      </w:r>
      <w:r w:rsidR="00AB3935">
        <w:rPr>
          <w:color w:val="000000"/>
        </w:rPr>
        <w:t xml:space="preserve"> tiek piešķirti </w:t>
      </w:r>
      <w:r w:rsidR="001525BE">
        <w:rPr>
          <w:color w:val="000000"/>
        </w:rPr>
        <w:t>līdzekļi šim mērķim</w:t>
      </w:r>
      <w:r w:rsidR="00AB3935">
        <w:rPr>
          <w:color w:val="000000"/>
        </w:rPr>
        <w:t>.</w:t>
      </w:r>
    </w:p>
    <w:p w:rsidR="001525BE" w:rsidRPr="00E548E4" w:rsidRDefault="001525BE" w:rsidP="001525BE">
      <w:pPr>
        <w:ind w:firstLine="720"/>
        <w:jc w:val="both"/>
      </w:pPr>
      <w:r>
        <w:t>2011.gadā</w:t>
      </w:r>
      <w:r w:rsidRPr="004B1211">
        <w:t xml:space="preserve"> no valsts budžet</w:t>
      </w:r>
      <w:r w:rsidR="00427C21">
        <w:t>a</w:t>
      </w:r>
      <w:r w:rsidRPr="004B1211">
        <w:t xml:space="preserve"> programmas 18.00.00 „Zaudējumu atlīdzība nepamatoti </w:t>
      </w:r>
      <w:r w:rsidRPr="00E548E4">
        <w:t xml:space="preserve">aizturētajām, arestētajām un notiesātajām personām” izpildei piešķirtajiem līdzekļiem (45 556 lati) tika izmaksāti LVL 45 556 jeb 100 % no piešķirtajiem līdzekļiem. Papildus 2011.gada decembrī no šim mērķim piešķirtajiem līdzekļiem </w:t>
      </w:r>
      <w:r w:rsidR="00AD2A85" w:rsidRPr="004B1211">
        <w:t xml:space="preserve">nepamatoti </w:t>
      </w:r>
      <w:r w:rsidR="00AD2A85" w:rsidRPr="00E548E4">
        <w:t xml:space="preserve">aizturētajām, arestētajām un notiesātajām personām </w:t>
      </w:r>
      <w:r w:rsidR="00AD2A85">
        <w:t xml:space="preserve">tika </w:t>
      </w:r>
      <w:r w:rsidRPr="00E548E4">
        <w:t xml:space="preserve">izmaksāti LVL 3 850,63 un no valsts budžeta programmas „Līdzekļi neparedzētiem gadījumiem” piešķirtajiem līdzekļiem izmaksāti LVL 35 529. </w:t>
      </w:r>
      <w:r w:rsidRPr="00427C21">
        <w:rPr>
          <w:b/>
        </w:rPr>
        <w:t>Kopā 2011.gadā izmaksāta zaudējumu atlīdzība LVL 84 935,63, t.i. par 48% vairāk nekā 2010.gadā.</w:t>
      </w:r>
      <w:r w:rsidRPr="00E548E4">
        <w:t xml:space="preserve"> (skat. tabulu Nr. 1). </w:t>
      </w:r>
    </w:p>
    <w:p w:rsidR="00AB3935" w:rsidRPr="0083686C" w:rsidRDefault="00AB3935" w:rsidP="00AB3935">
      <w:pPr>
        <w:jc w:val="right"/>
        <w:rPr>
          <w:rFonts w:eastAsia="Calibri"/>
          <w:i/>
          <w:lang w:eastAsia="en-US"/>
        </w:rPr>
      </w:pPr>
      <w:r w:rsidRPr="0083686C">
        <w:rPr>
          <w:rFonts w:eastAsia="Calibri"/>
          <w:i/>
          <w:lang w:eastAsia="en-US"/>
        </w:rPr>
        <w:t>Tabula Nr. 1</w:t>
      </w:r>
    </w:p>
    <w:p w:rsidR="00AB3935" w:rsidRPr="00E548E4" w:rsidRDefault="00AB3935" w:rsidP="00AB3935">
      <w:pPr>
        <w:jc w:val="center"/>
        <w:rPr>
          <w:rFonts w:eastAsia="Calibri"/>
          <w:b/>
          <w:lang w:eastAsia="en-US"/>
        </w:rPr>
      </w:pPr>
      <w:r w:rsidRPr="00E548E4">
        <w:rPr>
          <w:rFonts w:eastAsia="Calibri"/>
          <w:b/>
          <w:lang w:eastAsia="en-US"/>
        </w:rPr>
        <w:t>Izmaksātie zaudējumi pa gadiem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4"/>
        <w:gridCol w:w="2893"/>
        <w:gridCol w:w="4220"/>
      </w:tblGrid>
      <w:tr w:rsidR="00AB3935" w:rsidRPr="00584A3D" w:rsidTr="00AB3935">
        <w:tc>
          <w:tcPr>
            <w:tcW w:w="2235" w:type="dxa"/>
          </w:tcPr>
          <w:p w:rsidR="00AB3935" w:rsidRPr="006F7517" w:rsidRDefault="00AB3935" w:rsidP="00AB3935">
            <w:pPr>
              <w:ind w:firstLine="720"/>
              <w:jc w:val="center"/>
              <w:rPr>
                <w:b/>
              </w:rPr>
            </w:pPr>
            <w:r w:rsidRPr="006F7517">
              <w:rPr>
                <w:b/>
              </w:rPr>
              <w:t>Gads</w:t>
            </w:r>
          </w:p>
        </w:tc>
        <w:tc>
          <w:tcPr>
            <w:tcW w:w="2976" w:type="dxa"/>
            <w:tcBorders>
              <w:right w:val="single" w:sz="4" w:space="0" w:color="auto"/>
            </w:tcBorders>
          </w:tcPr>
          <w:p w:rsidR="00AB3935" w:rsidRPr="006F7517" w:rsidRDefault="00AB3935" w:rsidP="00AB3935">
            <w:pPr>
              <w:ind w:firstLine="720"/>
              <w:jc w:val="center"/>
              <w:rPr>
                <w:b/>
              </w:rPr>
            </w:pPr>
            <w:r w:rsidRPr="006F7517">
              <w:rPr>
                <w:b/>
              </w:rPr>
              <w:t>Summa</w:t>
            </w:r>
          </w:p>
        </w:tc>
        <w:tc>
          <w:tcPr>
            <w:tcW w:w="4359" w:type="dxa"/>
            <w:tcBorders>
              <w:left w:val="single" w:sz="4" w:space="0" w:color="auto"/>
            </w:tcBorders>
          </w:tcPr>
          <w:p w:rsidR="00AB3935" w:rsidRPr="006F7517" w:rsidRDefault="00AB3935" w:rsidP="00AB3935">
            <w:pPr>
              <w:jc w:val="center"/>
              <w:rPr>
                <w:b/>
              </w:rPr>
            </w:pPr>
            <w:r w:rsidRPr="006F7517">
              <w:rPr>
                <w:b/>
              </w:rPr>
              <w:t>Salīdzinot ar iepriekšējo periodu</w:t>
            </w:r>
          </w:p>
        </w:tc>
      </w:tr>
      <w:tr w:rsidR="00AB3935" w:rsidRPr="00584A3D" w:rsidTr="00AB3935">
        <w:tc>
          <w:tcPr>
            <w:tcW w:w="2235" w:type="dxa"/>
          </w:tcPr>
          <w:p w:rsidR="00AB3935" w:rsidRPr="00584A3D" w:rsidRDefault="00AB3935" w:rsidP="00AB3935">
            <w:pPr>
              <w:ind w:firstLine="720"/>
              <w:jc w:val="center"/>
            </w:pPr>
            <w:r w:rsidRPr="00584A3D">
              <w:t>2007</w:t>
            </w:r>
          </w:p>
        </w:tc>
        <w:tc>
          <w:tcPr>
            <w:tcW w:w="2976" w:type="dxa"/>
            <w:tcBorders>
              <w:right w:val="single" w:sz="4" w:space="0" w:color="auto"/>
            </w:tcBorders>
          </w:tcPr>
          <w:p w:rsidR="00AB3935" w:rsidRPr="00584A3D" w:rsidRDefault="00AB3935" w:rsidP="00AB3935">
            <w:pPr>
              <w:ind w:firstLine="720"/>
              <w:jc w:val="center"/>
            </w:pPr>
            <w:r w:rsidRPr="00584A3D">
              <w:t>61 596,00</w:t>
            </w:r>
          </w:p>
        </w:tc>
        <w:tc>
          <w:tcPr>
            <w:tcW w:w="4359" w:type="dxa"/>
            <w:tcBorders>
              <w:left w:val="single" w:sz="4" w:space="0" w:color="auto"/>
            </w:tcBorders>
          </w:tcPr>
          <w:p w:rsidR="00AB3935" w:rsidRPr="00584A3D" w:rsidRDefault="00AB3935" w:rsidP="00AB3935">
            <w:pPr>
              <w:jc w:val="center"/>
            </w:pPr>
          </w:p>
        </w:tc>
      </w:tr>
      <w:tr w:rsidR="00AB3935" w:rsidRPr="00584A3D" w:rsidTr="00AB3935">
        <w:tc>
          <w:tcPr>
            <w:tcW w:w="2235" w:type="dxa"/>
          </w:tcPr>
          <w:p w:rsidR="00AB3935" w:rsidRPr="00584A3D" w:rsidRDefault="00AB3935" w:rsidP="00AB3935">
            <w:pPr>
              <w:ind w:firstLine="720"/>
              <w:jc w:val="center"/>
            </w:pPr>
            <w:r w:rsidRPr="00584A3D">
              <w:t>2008</w:t>
            </w:r>
          </w:p>
        </w:tc>
        <w:tc>
          <w:tcPr>
            <w:tcW w:w="2976" w:type="dxa"/>
            <w:tcBorders>
              <w:right w:val="single" w:sz="4" w:space="0" w:color="auto"/>
            </w:tcBorders>
          </w:tcPr>
          <w:p w:rsidR="00AB3935" w:rsidRPr="00584A3D" w:rsidRDefault="00AB3935" w:rsidP="00AB3935">
            <w:pPr>
              <w:ind w:firstLine="720"/>
              <w:jc w:val="center"/>
            </w:pPr>
            <w:r w:rsidRPr="00584A3D">
              <w:t>61 501,00</w:t>
            </w:r>
          </w:p>
        </w:tc>
        <w:tc>
          <w:tcPr>
            <w:tcW w:w="4359" w:type="dxa"/>
            <w:tcBorders>
              <w:left w:val="single" w:sz="4" w:space="0" w:color="auto"/>
            </w:tcBorders>
          </w:tcPr>
          <w:p w:rsidR="00AB3935" w:rsidRPr="00584A3D" w:rsidRDefault="00AB3935" w:rsidP="00AB3935">
            <w:pPr>
              <w:jc w:val="center"/>
            </w:pPr>
            <w:r w:rsidRPr="00584A3D">
              <w:t>↓ 1,5%</w:t>
            </w:r>
          </w:p>
        </w:tc>
      </w:tr>
      <w:tr w:rsidR="00AB3935" w:rsidRPr="00584A3D" w:rsidTr="00AB3935">
        <w:tc>
          <w:tcPr>
            <w:tcW w:w="2235" w:type="dxa"/>
          </w:tcPr>
          <w:p w:rsidR="00AB3935" w:rsidRPr="00584A3D" w:rsidRDefault="00AB3935" w:rsidP="00AB3935">
            <w:pPr>
              <w:ind w:firstLine="720"/>
              <w:jc w:val="center"/>
            </w:pPr>
            <w:r w:rsidRPr="00584A3D">
              <w:t>2009</w:t>
            </w:r>
          </w:p>
        </w:tc>
        <w:tc>
          <w:tcPr>
            <w:tcW w:w="2976" w:type="dxa"/>
            <w:tcBorders>
              <w:right w:val="single" w:sz="4" w:space="0" w:color="auto"/>
            </w:tcBorders>
          </w:tcPr>
          <w:p w:rsidR="00AB3935" w:rsidRPr="00584A3D" w:rsidRDefault="00AB3935" w:rsidP="00AB3935">
            <w:pPr>
              <w:ind w:firstLine="720"/>
              <w:jc w:val="center"/>
            </w:pPr>
            <w:r w:rsidRPr="00584A3D">
              <w:t>42 726,00</w:t>
            </w:r>
          </w:p>
        </w:tc>
        <w:tc>
          <w:tcPr>
            <w:tcW w:w="4359" w:type="dxa"/>
            <w:tcBorders>
              <w:left w:val="single" w:sz="4" w:space="0" w:color="auto"/>
            </w:tcBorders>
          </w:tcPr>
          <w:p w:rsidR="00AB3935" w:rsidRPr="00584A3D" w:rsidRDefault="00AB3935" w:rsidP="00AB3935">
            <w:pPr>
              <w:jc w:val="center"/>
            </w:pPr>
            <w:r w:rsidRPr="00584A3D">
              <w:t xml:space="preserve">  ↓ 30,5%</w:t>
            </w:r>
          </w:p>
        </w:tc>
      </w:tr>
      <w:tr w:rsidR="00AB3935" w:rsidRPr="00584A3D" w:rsidTr="00AB3935">
        <w:tc>
          <w:tcPr>
            <w:tcW w:w="2235" w:type="dxa"/>
          </w:tcPr>
          <w:p w:rsidR="00AB3935" w:rsidRPr="00584A3D" w:rsidRDefault="00AB3935" w:rsidP="00AB3935">
            <w:pPr>
              <w:ind w:firstLine="720"/>
              <w:jc w:val="center"/>
            </w:pPr>
            <w:r w:rsidRPr="00584A3D">
              <w:t>2010</w:t>
            </w:r>
          </w:p>
        </w:tc>
        <w:tc>
          <w:tcPr>
            <w:tcW w:w="2976" w:type="dxa"/>
            <w:tcBorders>
              <w:right w:val="single" w:sz="4" w:space="0" w:color="auto"/>
            </w:tcBorders>
          </w:tcPr>
          <w:p w:rsidR="00AB3935" w:rsidRPr="00584A3D" w:rsidRDefault="00AB3935" w:rsidP="00AB3935">
            <w:pPr>
              <w:ind w:firstLine="720"/>
              <w:jc w:val="center"/>
            </w:pPr>
            <w:r w:rsidRPr="00584A3D">
              <w:t>43 830,42</w:t>
            </w:r>
          </w:p>
        </w:tc>
        <w:tc>
          <w:tcPr>
            <w:tcW w:w="4359" w:type="dxa"/>
            <w:tcBorders>
              <w:left w:val="single" w:sz="4" w:space="0" w:color="auto"/>
            </w:tcBorders>
          </w:tcPr>
          <w:p w:rsidR="00AB3935" w:rsidRPr="00584A3D" w:rsidRDefault="00AB3935" w:rsidP="00AB3935">
            <w:pPr>
              <w:jc w:val="center"/>
            </w:pPr>
            <w:r w:rsidRPr="00584A3D">
              <w:t>↑ 2,5%</w:t>
            </w:r>
          </w:p>
        </w:tc>
      </w:tr>
      <w:tr w:rsidR="00AB3935" w:rsidRPr="00584A3D" w:rsidTr="00AB3935">
        <w:tc>
          <w:tcPr>
            <w:tcW w:w="2235" w:type="dxa"/>
          </w:tcPr>
          <w:p w:rsidR="00AB3935" w:rsidRPr="007D30B2" w:rsidRDefault="00AB3935" w:rsidP="00AB3935">
            <w:pPr>
              <w:ind w:firstLine="720"/>
              <w:jc w:val="center"/>
              <w:rPr>
                <w:b/>
              </w:rPr>
            </w:pPr>
            <w:r w:rsidRPr="007D30B2">
              <w:rPr>
                <w:b/>
              </w:rPr>
              <w:t>2011</w:t>
            </w:r>
          </w:p>
        </w:tc>
        <w:tc>
          <w:tcPr>
            <w:tcW w:w="2976" w:type="dxa"/>
            <w:tcBorders>
              <w:right w:val="single" w:sz="4" w:space="0" w:color="auto"/>
            </w:tcBorders>
          </w:tcPr>
          <w:p w:rsidR="00AB3935" w:rsidRPr="007D30B2" w:rsidRDefault="00AB3935" w:rsidP="00AB3935">
            <w:pPr>
              <w:ind w:firstLine="720"/>
              <w:jc w:val="center"/>
              <w:rPr>
                <w:b/>
              </w:rPr>
            </w:pPr>
            <w:r w:rsidRPr="007D30B2">
              <w:rPr>
                <w:b/>
              </w:rPr>
              <w:t>84 935,63</w:t>
            </w:r>
          </w:p>
        </w:tc>
        <w:tc>
          <w:tcPr>
            <w:tcW w:w="4359" w:type="dxa"/>
            <w:tcBorders>
              <w:left w:val="single" w:sz="4" w:space="0" w:color="auto"/>
            </w:tcBorders>
          </w:tcPr>
          <w:p w:rsidR="00AB3935" w:rsidRPr="007D30B2" w:rsidRDefault="00AB3935" w:rsidP="00AB3935">
            <w:pPr>
              <w:jc w:val="center"/>
              <w:rPr>
                <w:b/>
              </w:rPr>
            </w:pPr>
            <w:r w:rsidRPr="007D30B2">
              <w:rPr>
                <w:b/>
              </w:rPr>
              <w:t xml:space="preserve">  ↑ 48,4%</w:t>
            </w:r>
          </w:p>
        </w:tc>
      </w:tr>
      <w:tr w:rsidR="00A5422C" w:rsidRPr="00584A3D" w:rsidTr="00AB3935">
        <w:tc>
          <w:tcPr>
            <w:tcW w:w="2235" w:type="dxa"/>
          </w:tcPr>
          <w:p w:rsidR="00A5422C" w:rsidRPr="00584A3D" w:rsidRDefault="00A5422C" w:rsidP="00FA7A93">
            <w:pPr>
              <w:jc w:val="center"/>
            </w:pPr>
            <w:r>
              <w:t>2012 (</w:t>
            </w:r>
            <w:r w:rsidRPr="00A5422C">
              <w:rPr>
                <w:b/>
              </w:rPr>
              <w:t xml:space="preserve">līdz </w:t>
            </w:r>
            <w:r w:rsidR="00FA7A93">
              <w:rPr>
                <w:b/>
              </w:rPr>
              <w:t>10.06</w:t>
            </w:r>
            <w:r w:rsidRPr="00A5422C">
              <w:rPr>
                <w:b/>
              </w:rPr>
              <w:t>.</w:t>
            </w:r>
            <w:r>
              <w:t>)</w:t>
            </w:r>
          </w:p>
        </w:tc>
        <w:tc>
          <w:tcPr>
            <w:tcW w:w="2976" w:type="dxa"/>
            <w:tcBorders>
              <w:right w:val="single" w:sz="4" w:space="0" w:color="auto"/>
            </w:tcBorders>
          </w:tcPr>
          <w:p w:rsidR="00A5422C" w:rsidRPr="00584A3D" w:rsidRDefault="00A5422C" w:rsidP="00AB3935">
            <w:pPr>
              <w:ind w:firstLine="720"/>
              <w:jc w:val="center"/>
            </w:pPr>
            <w:r w:rsidRPr="00450423">
              <w:rPr>
                <w:b/>
                <w:color w:val="000000"/>
              </w:rPr>
              <w:t>44</w:t>
            </w:r>
            <w:r>
              <w:rPr>
                <w:b/>
                <w:color w:val="000000"/>
              </w:rPr>
              <w:t> </w:t>
            </w:r>
            <w:r w:rsidRPr="00450423">
              <w:rPr>
                <w:b/>
                <w:color w:val="000000"/>
              </w:rPr>
              <w:t>490,70</w:t>
            </w:r>
          </w:p>
        </w:tc>
        <w:tc>
          <w:tcPr>
            <w:tcW w:w="4359" w:type="dxa"/>
            <w:tcBorders>
              <w:left w:val="single" w:sz="4" w:space="0" w:color="auto"/>
            </w:tcBorders>
          </w:tcPr>
          <w:p w:rsidR="00A5422C" w:rsidRPr="00584A3D" w:rsidRDefault="00A5422C" w:rsidP="00AB3935">
            <w:pPr>
              <w:jc w:val="center"/>
            </w:pPr>
          </w:p>
        </w:tc>
      </w:tr>
    </w:tbl>
    <w:p w:rsidR="00AB3935" w:rsidRPr="00D77B35" w:rsidRDefault="00AB3935" w:rsidP="00041EE1">
      <w:pPr>
        <w:ind w:firstLine="720"/>
        <w:jc w:val="both"/>
        <w:rPr>
          <w:sz w:val="20"/>
          <w:u w:val="single"/>
        </w:rPr>
      </w:pPr>
    </w:p>
    <w:p w:rsidR="00F51D55" w:rsidRPr="00450423" w:rsidRDefault="00F51D55" w:rsidP="00041EE1">
      <w:pPr>
        <w:ind w:firstLine="720"/>
        <w:jc w:val="both"/>
        <w:rPr>
          <w:b/>
          <w:color w:val="000000"/>
        </w:rPr>
      </w:pPr>
      <w:r>
        <w:rPr>
          <w:color w:val="000000"/>
        </w:rPr>
        <w:t xml:space="preserve">2012.gadā </w:t>
      </w:r>
      <w:r w:rsidRPr="005806A8">
        <w:rPr>
          <w:color w:val="000000"/>
        </w:rPr>
        <w:t>Valsts budžeta programmas 18.00.00 „Zaudējumu atlīdzība</w:t>
      </w:r>
      <w:r w:rsidRPr="00B56449">
        <w:rPr>
          <w:color w:val="000000"/>
        </w:rPr>
        <w:t xml:space="preserve"> nepamatoti aizturētajām, arestētajām un notiesātajām personām” nodrošināšanai likuma „Par valsts budžetu 201</w:t>
      </w:r>
      <w:r>
        <w:rPr>
          <w:color w:val="000000"/>
        </w:rPr>
        <w:t>2</w:t>
      </w:r>
      <w:r w:rsidRPr="00B56449">
        <w:rPr>
          <w:color w:val="000000"/>
        </w:rPr>
        <w:t xml:space="preserve">.gadam” ietvaros Tieslietu ministrijai tika piešķirta dotācija no vispārējiem ieņēmumiem 45 556 latu apmērā. </w:t>
      </w:r>
      <w:r w:rsidRPr="00450423">
        <w:rPr>
          <w:b/>
          <w:color w:val="000000"/>
        </w:rPr>
        <w:t xml:space="preserve">Budžeta programmas finansējums </w:t>
      </w:r>
      <w:r w:rsidRPr="00FA7A93">
        <w:rPr>
          <w:b/>
          <w:color w:val="000000"/>
        </w:rPr>
        <w:t xml:space="preserve">uz 2012.gada </w:t>
      </w:r>
      <w:r w:rsidR="00FA7A93">
        <w:rPr>
          <w:b/>
          <w:color w:val="000000"/>
        </w:rPr>
        <w:t>10.jūniju</w:t>
      </w:r>
      <w:r w:rsidRPr="00450423">
        <w:rPr>
          <w:b/>
          <w:color w:val="000000"/>
        </w:rPr>
        <w:t xml:space="preserve"> ir izlietots 44490,70 latu apmērā, jeb 98%, konta atlikums – 1065,30 lati. </w:t>
      </w:r>
    </w:p>
    <w:p w:rsidR="00F51D55" w:rsidRDefault="00D77B35" w:rsidP="00041EE1">
      <w:pPr>
        <w:ind w:firstLine="720"/>
        <w:jc w:val="both"/>
      </w:pPr>
      <w:r w:rsidRPr="00E548E4">
        <w:t xml:space="preserve">Saskaņā ar </w:t>
      </w:r>
      <w:r w:rsidR="00362903">
        <w:t>Zaudējumu atlīdzināšanas likuma</w:t>
      </w:r>
      <w:r w:rsidR="00362903" w:rsidRPr="00E548E4" w:rsidDel="00362903">
        <w:t xml:space="preserve"> </w:t>
      </w:r>
      <w:r w:rsidR="00E548E4" w:rsidRPr="00E548E4">
        <w:t>2.pantu tiesiskais pamats nodarīto zaudējumu atlīdzināšanai ir: 1) attaisnojošs tiesas spriedums neatkarīgi no attaisnošanas motīviem; 2) krimināllietas izbeigšana personu reabilitējošu apstākļu dēļ; 3) administratīvā aresta atzīšana par nelikumīgu un administratīvās lietvedības izbeigšana. Saskaņā ar minētā likuma 5.panta trešajā daļā noteikto personai ir tiesības celt prasību par tāda morālā kaitējuma atlīdzināšanu, kas radies izziņas iestādes, prokuratūras vai tiesas nelikumīgas vai nepamatotas rīcības rezultātā. Tā izskatāma tiesā civilprasības kārtībā.</w:t>
      </w:r>
      <w:r w:rsidR="00F51D55">
        <w:t xml:space="preserve"> </w:t>
      </w:r>
    </w:p>
    <w:p w:rsidR="00F51D55" w:rsidRPr="003F12EB" w:rsidRDefault="00F51D55" w:rsidP="00041EE1">
      <w:pPr>
        <w:ind w:firstLine="720"/>
        <w:jc w:val="both"/>
      </w:pPr>
      <w:r w:rsidRPr="000E5B20">
        <w:rPr>
          <w:b/>
        </w:rPr>
        <w:t xml:space="preserve">Dažādās vispārējās jurisdikcijas tiesu instancēs </w:t>
      </w:r>
      <w:r w:rsidR="008B733F" w:rsidRPr="000E5B20">
        <w:rPr>
          <w:b/>
        </w:rPr>
        <w:t xml:space="preserve">uz 2012.gada </w:t>
      </w:r>
      <w:r w:rsidR="000E5B20" w:rsidRPr="000E5B20">
        <w:rPr>
          <w:b/>
        </w:rPr>
        <w:t>1.aprīli</w:t>
      </w:r>
      <w:r w:rsidR="008B733F" w:rsidRPr="000E5B20">
        <w:rPr>
          <w:b/>
        </w:rPr>
        <w:t xml:space="preserve"> </w:t>
      </w:r>
      <w:r w:rsidRPr="000E5B20">
        <w:rPr>
          <w:b/>
        </w:rPr>
        <w:t xml:space="preserve">kopā izskatīšanā </w:t>
      </w:r>
      <w:r w:rsidR="00B321B0">
        <w:rPr>
          <w:b/>
        </w:rPr>
        <w:t>atradās</w:t>
      </w:r>
      <w:r w:rsidR="008B733F" w:rsidRPr="000E5B20">
        <w:rPr>
          <w:b/>
        </w:rPr>
        <w:t xml:space="preserve"> </w:t>
      </w:r>
      <w:r w:rsidRPr="000E5B20">
        <w:rPr>
          <w:b/>
        </w:rPr>
        <w:t>4</w:t>
      </w:r>
      <w:r w:rsidR="000E5B20" w:rsidRPr="000E5B20">
        <w:rPr>
          <w:b/>
        </w:rPr>
        <w:t>7</w:t>
      </w:r>
      <w:r w:rsidRPr="000E5B20">
        <w:rPr>
          <w:b/>
        </w:rPr>
        <w:t xml:space="preserve"> personu prasības pieteikumi par zaudējumu un morālā kaitējuma atlīdzināšanu</w:t>
      </w:r>
      <w:r w:rsidR="00154014">
        <w:rPr>
          <w:b/>
        </w:rPr>
        <w:t>.</w:t>
      </w:r>
      <w:r w:rsidR="000E5B20">
        <w:t xml:space="preserve"> </w:t>
      </w:r>
      <w:r w:rsidR="003F12EB">
        <w:t>P</w:t>
      </w:r>
      <w:r w:rsidR="00154014">
        <w:t>r</w:t>
      </w:r>
      <w:r w:rsidRPr="00B90895">
        <w:t>asības lietās</w:t>
      </w:r>
      <w:r w:rsidRPr="004F7E3D">
        <w:t>, kurās valst</w:t>
      </w:r>
      <w:r w:rsidR="008B733F">
        <w:t xml:space="preserve">i pārstāv Tieslietu ministrija un </w:t>
      </w:r>
      <w:r>
        <w:t xml:space="preserve">tās ir </w:t>
      </w:r>
      <w:r w:rsidR="000E5B20">
        <w:t xml:space="preserve">jau </w:t>
      </w:r>
      <w:r>
        <w:lastRenderedPageBreak/>
        <w:t xml:space="preserve">izskatītas tiesā </w:t>
      </w:r>
      <w:r w:rsidRPr="004F7E3D">
        <w:t>pēc būtības</w:t>
      </w:r>
      <w:r w:rsidR="008B733F">
        <w:t xml:space="preserve"> pirmās vai otrās instances tiesā</w:t>
      </w:r>
      <w:r w:rsidRPr="004F7E3D">
        <w:t>, taču tiesvedība vēl turpinās</w:t>
      </w:r>
      <w:r>
        <w:t xml:space="preserve"> sakarā ar prasītāja vai Tieslietu ministrijas apelācijas </w:t>
      </w:r>
      <w:r w:rsidR="008B733F">
        <w:t xml:space="preserve">vai kasācijas </w:t>
      </w:r>
      <w:r>
        <w:t>sūdzību</w:t>
      </w:r>
      <w:r w:rsidRPr="004F7E3D">
        <w:t>, un</w:t>
      </w:r>
      <w:r>
        <w:t>,</w:t>
      </w:r>
      <w:r w:rsidRPr="004F7E3D">
        <w:t xml:space="preserve"> pamatojoties uz tiesas nolēmumu (ja tas stātos spēkā)</w:t>
      </w:r>
      <w:r>
        <w:t>,</w:t>
      </w:r>
      <w:r w:rsidRPr="004F7E3D">
        <w:t xml:space="preserve"> </w:t>
      </w:r>
      <w:r w:rsidRPr="000E5B20">
        <w:rPr>
          <w:b/>
        </w:rPr>
        <w:t>personām atlīdzināmā summa būtu</w:t>
      </w:r>
      <w:r w:rsidRPr="004F7E3D">
        <w:t xml:space="preserve"> </w:t>
      </w:r>
      <w:r w:rsidRPr="000E5B20">
        <w:rPr>
          <w:b/>
        </w:rPr>
        <w:t>LVL </w:t>
      </w:r>
      <w:r w:rsidR="000E5B20" w:rsidRPr="000E5B20">
        <w:rPr>
          <w:b/>
        </w:rPr>
        <w:t xml:space="preserve"> </w:t>
      </w:r>
      <w:r w:rsidR="000E5B20" w:rsidRPr="000E5B20">
        <w:rPr>
          <w:b/>
          <w:color w:val="000000"/>
        </w:rPr>
        <w:t>149 762,28</w:t>
      </w:r>
      <w:r w:rsidR="003F12EB">
        <w:t>.</w:t>
      </w:r>
      <w:r w:rsidR="008B733F">
        <w:t xml:space="preserve"> </w:t>
      </w:r>
      <w:r w:rsidR="003F12EB">
        <w:t>P</w:t>
      </w:r>
      <w:r w:rsidR="003F12EB" w:rsidRPr="00797643">
        <w:t>rasības l</w:t>
      </w:r>
      <w:r w:rsidR="003F12EB" w:rsidRPr="004F7E3D">
        <w:t>iet</w:t>
      </w:r>
      <w:r w:rsidR="003F12EB">
        <w:t>ās</w:t>
      </w:r>
      <w:r w:rsidRPr="004F7E3D">
        <w:t xml:space="preserve">, kurās valsti pārstāv Ģenerālprokuratūra, </w:t>
      </w:r>
      <w:r w:rsidR="008B733F">
        <w:t xml:space="preserve">un tās </w:t>
      </w:r>
      <w:r w:rsidRPr="004F7E3D">
        <w:t>ir izskatītas pēc būtības</w:t>
      </w:r>
      <w:r w:rsidR="008B733F">
        <w:t xml:space="preserve"> pirmās vai apelācijas instances tiesā</w:t>
      </w:r>
      <w:r w:rsidRPr="004F7E3D">
        <w:t>, taču tiesvedība vēl turpinās</w:t>
      </w:r>
      <w:r w:rsidR="008B733F">
        <w:t xml:space="preserve"> sakarā ar prasītāja vai Ģenerālprokuratūras apelācijas vai kasācijas sūdzību</w:t>
      </w:r>
      <w:r w:rsidRPr="004F7E3D">
        <w:t>, un</w:t>
      </w:r>
      <w:r>
        <w:t>,</w:t>
      </w:r>
      <w:r w:rsidRPr="004F7E3D">
        <w:t xml:space="preserve"> pamatojoties uz tiesas nolēmumu (ja tas stātos spēkā)</w:t>
      </w:r>
      <w:r>
        <w:t>,</w:t>
      </w:r>
      <w:r w:rsidRPr="004F7E3D">
        <w:t xml:space="preserve"> </w:t>
      </w:r>
      <w:r w:rsidRPr="000E5B20">
        <w:rPr>
          <w:b/>
        </w:rPr>
        <w:t>personām atlīdzināmā summa būtu</w:t>
      </w:r>
      <w:r w:rsidRPr="004F7E3D">
        <w:t xml:space="preserve"> </w:t>
      </w:r>
      <w:r w:rsidRPr="000E5B20">
        <w:rPr>
          <w:b/>
        </w:rPr>
        <w:t>LVL</w:t>
      </w:r>
      <w:r w:rsidRPr="004F7E3D">
        <w:t xml:space="preserve"> </w:t>
      </w:r>
      <w:r w:rsidR="000E5B20" w:rsidRPr="000E5B20">
        <w:rPr>
          <w:b/>
          <w:color w:val="000000"/>
        </w:rPr>
        <w:t>127 244,5</w:t>
      </w:r>
      <w:r w:rsidR="003F12EB">
        <w:rPr>
          <w:b/>
          <w:color w:val="000000"/>
        </w:rPr>
        <w:t>0</w:t>
      </w:r>
      <w:r>
        <w:rPr>
          <w:b/>
        </w:rPr>
        <w:t>.</w:t>
      </w:r>
      <w:r w:rsidR="003F12EB">
        <w:rPr>
          <w:b/>
        </w:rPr>
        <w:t xml:space="preserve"> </w:t>
      </w:r>
      <w:r w:rsidR="003F12EB" w:rsidRPr="003F12EB">
        <w:t xml:space="preserve">Tādējādi kopējā atlīdzināmā </w:t>
      </w:r>
      <w:r w:rsidR="003F12EB">
        <w:t xml:space="preserve">summa </w:t>
      </w:r>
      <w:r w:rsidR="00154014">
        <w:t xml:space="preserve">minētajās lietās, ja tiesas nolēmumi stāsies spēkā, </w:t>
      </w:r>
      <w:r w:rsidR="003F12EB">
        <w:t>ir 277 006,78.</w:t>
      </w:r>
    </w:p>
    <w:p w:rsidR="00C74871" w:rsidRDefault="00825C1D" w:rsidP="00041EE1">
      <w:pPr>
        <w:ind w:firstLine="720"/>
        <w:jc w:val="both"/>
        <w:rPr>
          <w:b/>
        </w:rPr>
      </w:pPr>
      <w:r w:rsidRPr="00D77B35">
        <w:t xml:space="preserve">2011.gadā bija vērojama tendence palielināties (salīdzinot ar 2010.gadu) gan personu iesniegumu skaitam, gan tiesā iesniegto prasības pieteikumu skaitam. Savukārt kopējā izmaksātā atlīdzinājuma summa ir lielāka par 2007., 2008. 2009. un 2010.gadā izmaksāto </w:t>
      </w:r>
      <w:r w:rsidRPr="00AD2A85">
        <w:t xml:space="preserve">un </w:t>
      </w:r>
      <w:r w:rsidRPr="00AD2A85">
        <w:rPr>
          <w:b/>
        </w:rPr>
        <w:t>divas reizes pārsniedza budžetā piešķirto līdzekļu maksimālo apjomu</w:t>
      </w:r>
      <w:r w:rsidR="00785312">
        <w:rPr>
          <w:b/>
        </w:rPr>
        <w:t xml:space="preserve">. </w:t>
      </w:r>
    </w:p>
    <w:p w:rsidR="00C328D9" w:rsidRDefault="00785312" w:rsidP="00041EE1">
      <w:pPr>
        <w:ind w:firstLine="720"/>
        <w:jc w:val="both"/>
        <w:rPr>
          <w:b/>
        </w:rPr>
      </w:pPr>
      <w:r w:rsidRPr="00B321B0">
        <w:t xml:space="preserve">2011.gadā </w:t>
      </w:r>
      <w:r w:rsidR="00C74871" w:rsidRPr="00B321B0">
        <w:t xml:space="preserve">Tieslietu </w:t>
      </w:r>
      <w:r w:rsidRPr="00B321B0">
        <w:t>ministrij</w:t>
      </w:r>
      <w:r w:rsidR="00C74871" w:rsidRPr="00B321B0">
        <w:t>ā</w:t>
      </w:r>
      <w:r w:rsidRPr="00B321B0">
        <w:t xml:space="preserve"> no </w:t>
      </w:r>
      <w:r w:rsidR="007C64A8" w:rsidRPr="00B321B0">
        <w:t>Ģ</w:t>
      </w:r>
      <w:r w:rsidRPr="00B321B0">
        <w:t xml:space="preserve">enerālprokuratūras </w:t>
      </w:r>
      <w:r w:rsidR="00C74871" w:rsidRPr="00B321B0">
        <w:t xml:space="preserve">izpildei </w:t>
      </w:r>
      <w:r w:rsidRPr="00B321B0">
        <w:t xml:space="preserve">tika saņemti zaudējumu atlīdzināšanas lēmumi par kopējo summu </w:t>
      </w:r>
      <w:r w:rsidRPr="003F12EB">
        <w:rPr>
          <w:b/>
        </w:rPr>
        <w:t>LVL</w:t>
      </w:r>
      <w:r w:rsidR="007C64A8" w:rsidRPr="00B321B0">
        <w:t xml:space="preserve"> </w:t>
      </w:r>
      <w:r w:rsidR="00C74871" w:rsidRPr="003C7306">
        <w:rPr>
          <w:b/>
        </w:rPr>
        <w:t>26 102,56</w:t>
      </w:r>
      <w:r w:rsidR="00C74871" w:rsidRPr="00B321B0">
        <w:t>.</w:t>
      </w:r>
      <w:r w:rsidRPr="00B321B0">
        <w:t xml:space="preserve"> </w:t>
      </w:r>
      <w:r w:rsidRPr="003C7306">
        <w:t xml:space="preserve">2012.gada pirmajā ceturksnī </w:t>
      </w:r>
      <w:r w:rsidR="00C74871" w:rsidRPr="003C7306">
        <w:t xml:space="preserve">Tieslietu ministrijā </w:t>
      </w:r>
      <w:r w:rsidR="000E5B20" w:rsidRPr="003C7306">
        <w:t xml:space="preserve">tika </w:t>
      </w:r>
      <w:r w:rsidRPr="003C7306">
        <w:t>saņemti Ģenerālprokuratūras pieņemtie lēmumi par zaudējumu</w:t>
      </w:r>
      <w:r w:rsidR="000E5B20" w:rsidRPr="003C7306">
        <w:t xml:space="preserve"> atlīdzību par kopējo summu</w:t>
      </w:r>
      <w:r w:rsidR="000E5B20">
        <w:rPr>
          <w:b/>
        </w:rPr>
        <w:t xml:space="preserve"> LVL </w:t>
      </w:r>
      <w:r w:rsidR="007D30B2">
        <w:rPr>
          <w:b/>
        </w:rPr>
        <w:t>27 866,39</w:t>
      </w:r>
      <w:r w:rsidRPr="00785312">
        <w:rPr>
          <w:b/>
        </w:rPr>
        <w:t xml:space="preserve">, </w:t>
      </w:r>
      <w:r w:rsidRPr="003C7306">
        <w:t>kuru izpildei nepieciešamie finanšu līdzekļi sastāda</w:t>
      </w:r>
      <w:r>
        <w:rPr>
          <w:b/>
        </w:rPr>
        <w:t xml:space="preserve"> </w:t>
      </w:r>
      <w:r w:rsidR="007D30B2">
        <w:rPr>
          <w:b/>
        </w:rPr>
        <w:t>61,16</w:t>
      </w:r>
      <w:r>
        <w:rPr>
          <w:b/>
        </w:rPr>
        <w:t>% no visiem šim mērķim ministrijai 2012.gadam piešķirtajiem līdzekļiem</w:t>
      </w:r>
      <w:r w:rsidR="00667D9B">
        <w:rPr>
          <w:b/>
        </w:rPr>
        <w:t>.</w:t>
      </w:r>
    </w:p>
    <w:p w:rsidR="003A0756" w:rsidRDefault="00C74871" w:rsidP="00041EE1">
      <w:pPr>
        <w:ind w:firstLine="720"/>
        <w:jc w:val="both"/>
      </w:pPr>
      <w:r>
        <w:t>Analizējot</w:t>
      </w:r>
      <w:r w:rsidR="007C64A8">
        <w:t xml:space="preserve"> </w:t>
      </w:r>
      <w:r w:rsidR="00825C1D" w:rsidRPr="00D77B35">
        <w:t>Tiesu informācijas sistēmā esošo informāciju</w:t>
      </w:r>
      <w:r>
        <w:t>, secināms</w:t>
      </w:r>
      <w:r w:rsidR="00CC4647">
        <w:t>, ka</w:t>
      </w:r>
      <w:r>
        <w:t xml:space="preserve"> </w:t>
      </w:r>
      <w:r w:rsidR="00825C1D" w:rsidRPr="00B321B0">
        <w:rPr>
          <w:b/>
        </w:rPr>
        <w:t xml:space="preserve">nav vērojamas krasas izmaiņas </w:t>
      </w:r>
      <w:r w:rsidRPr="00917F1B">
        <w:rPr>
          <w:b/>
        </w:rPr>
        <w:t>tiesā</w:t>
      </w:r>
      <w:r w:rsidRPr="00B321B0">
        <w:rPr>
          <w:b/>
        </w:rPr>
        <w:t xml:space="preserve"> </w:t>
      </w:r>
      <w:r w:rsidR="00825C1D" w:rsidRPr="00B321B0">
        <w:rPr>
          <w:b/>
        </w:rPr>
        <w:t>attaisnoto personu skaita ziņā</w:t>
      </w:r>
      <w:r w:rsidR="00825C1D" w:rsidRPr="00D77B35">
        <w:t>: 2007.gadā attaisnotas 123 personas, 2008.gadā – 99 personas, 2009.gadā – 128 personas, 2010.gadā  – 1</w:t>
      </w:r>
      <w:r w:rsidR="009D44C9">
        <w:t>21 personas un 2011.gadā </w:t>
      </w:r>
      <w:r w:rsidR="007C64A8" w:rsidRPr="00D77B35">
        <w:t xml:space="preserve">– </w:t>
      </w:r>
      <w:r w:rsidR="00657883">
        <w:t>106</w:t>
      </w:r>
      <w:r w:rsidR="007C64A8">
        <w:t xml:space="preserve">. </w:t>
      </w:r>
    </w:p>
    <w:p w:rsidR="00BC0E98" w:rsidRPr="003C7306" w:rsidRDefault="00BC0E98" w:rsidP="00041EE1">
      <w:pPr>
        <w:ind w:firstLine="720"/>
        <w:jc w:val="both"/>
      </w:pPr>
      <w:r w:rsidRPr="003C7306">
        <w:t xml:space="preserve">Saskaņā ar Latvijas Republikas prokuratūras darba rezultātu </w:t>
      </w:r>
      <w:r>
        <w:t xml:space="preserve">par 2011.gadu </w:t>
      </w:r>
      <w:r w:rsidRPr="003C7306">
        <w:t>statistikas pārskatā norādīto 2011.gadā 106 personas tika pilnīgi attaisnotas, pret kurām prokurors atteicies no apsūdzības, krimināllieta izbeigta tiesā saskaņā ar Kriminālprocesa likuma 377.panta pirmās daļas 1.vai 2.punktu (nav noticis noziedzīgs nodarījums, izdarītajā nodarījumā nav noziedzīga nodarījuma sastāva pazīmes).</w:t>
      </w:r>
      <w:r w:rsidR="003A0756">
        <w:t xml:space="preserve"> </w:t>
      </w:r>
      <w:r w:rsidRPr="006D7935">
        <w:t>Ģenerālprokuratūra</w:t>
      </w:r>
      <w:r>
        <w:t xml:space="preserve">s sagatavotajā Latvijas Republikas prokuratūras </w:t>
      </w:r>
      <w:r w:rsidRPr="006D7935">
        <w:t>2011.gada publiskajā pārskatā norādīts, ka prokuroru atcelto lēmumu skaits, papildizmeklēšanas veikšanai atgriezto krimināllietu dinamika, atcelto lēmumu par kriminālprocesa izbeigšanu, kā arī prokuroru iesniegto iesniegumu par pieļautajiem pārkāpumiem pirmstiesas kriminālprocesā skaits</w:t>
      </w:r>
      <w:r>
        <w:rPr>
          <w:b/>
        </w:rPr>
        <w:t xml:space="preserve"> liecina par izmeklēšanas kvalitātes pazemināšanos izmeklēšanas iestādēs. </w:t>
      </w:r>
      <w:r w:rsidRPr="004037C9">
        <w:t>Piemēram, 2011.gadā papildizmeklēšanas veikšanai atgriezti 342 kriminālprocesi, t.i., par 11,4</w:t>
      </w:r>
      <w:r>
        <w:t> </w:t>
      </w:r>
      <w:r w:rsidRPr="004037C9">
        <w:t>%</w:t>
      </w:r>
      <w:r>
        <w:t xml:space="preserve"> </w:t>
      </w:r>
      <w:r w:rsidRPr="004037C9">
        <w:t xml:space="preserve">vairāk nekā 2010.gadā. </w:t>
      </w:r>
    </w:p>
    <w:p w:rsidR="00237C0B" w:rsidRDefault="00CE4446" w:rsidP="00041EE1">
      <w:pPr>
        <w:ind w:firstLine="720"/>
        <w:jc w:val="both"/>
      </w:pPr>
      <w:r>
        <w:t xml:space="preserve">Vērtējot Tieslietu ministrijā pieņemtos un Tieslietu ministrijā no Ģenerālprokuratūras saņemtos lēmumus, secināms, ka </w:t>
      </w:r>
      <w:r w:rsidR="00666175">
        <w:t>2011.gadā</w:t>
      </w:r>
      <w:r w:rsidR="00F70522">
        <w:t>,</w:t>
      </w:r>
      <w:r w:rsidR="00666175">
        <w:t xml:space="preserve"> kā arī 2012.gada pirmajā ceturksnī bija </w:t>
      </w:r>
      <w:r w:rsidR="00237C0B">
        <w:t>vērojam</w:t>
      </w:r>
      <w:r w:rsidR="00666175">
        <w:t>a</w:t>
      </w:r>
      <w:r w:rsidR="00237C0B">
        <w:t xml:space="preserve"> tendence</w:t>
      </w:r>
      <w:r w:rsidR="00237C0B" w:rsidRPr="00D77B35">
        <w:t xml:space="preserve"> </w:t>
      </w:r>
      <w:r w:rsidR="00237C0B">
        <w:t xml:space="preserve">palielināties to gadījumu skaitam, kad personām jāatlīdzina </w:t>
      </w:r>
      <w:r w:rsidR="00362903">
        <w:t>Zaudējumu atlīdzināšanas likuma</w:t>
      </w:r>
      <w:r w:rsidR="00362903" w:rsidDel="00362903">
        <w:t xml:space="preserve"> </w:t>
      </w:r>
      <w:r w:rsidR="00237C0B">
        <w:t>4.panta pirmās daļas 1.punktā noteiktā zaudējumu atlīdzība </w:t>
      </w:r>
      <w:r w:rsidR="00237C0B" w:rsidRPr="00D77B35">
        <w:t>–</w:t>
      </w:r>
      <w:r w:rsidR="00237C0B">
        <w:t xml:space="preserve"> nesaņemtā darba samaksa</w:t>
      </w:r>
      <w:r w:rsidR="006D7935">
        <w:t> </w:t>
      </w:r>
      <w:r w:rsidR="006D7935" w:rsidRPr="00D77B35">
        <w:t>–</w:t>
      </w:r>
      <w:r>
        <w:t xml:space="preserve"> un 4.panta otrajā daļā noteiktā kompensācija</w:t>
      </w:r>
      <w:r w:rsidR="00237C0B">
        <w:t>, kuras atlīdzībai bija nepieciešamas daudz lielākas zaudējumu atlīdzības summas</w:t>
      </w:r>
      <w:r>
        <w:t>. Minētais</w:t>
      </w:r>
      <w:r w:rsidR="00237C0B">
        <w:t xml:space="preserve"> liecina, ka </w:t>
      </w:r>
      <w:r w:rsidR="00237C0B" w:rsidRPr="006D7935">
        <w:rPr>
          <w:b/>
        </w:rPr>
        <w:t>ir pieaudzis to personu skaits, kurām ierosinātā kriminālprocesa ietvaros tika n</w:t>
      </w:r>
      <w:r w:rsidR="006D7935" w:rsidRPr="006D7935">
        <w:rPr>
          <w:b/>
        </w:rPr>
        <w:t xml:space="preserve">epamatoti ierobežota brīvība, </w:t>
      </w:r>
      <w:r w:rsidR="00D751EF">
        <w:rPr>
          <w:b/>
        </w:rPr>
        <w:t xml:space="preserve">kā </w:t>
      </w:r>
      <w:r w:rsidR="006D7935" w:rsidRPr="006D7935">
        <w:rPr>
          <w:b/>
        </w:rPr>
        <w:t xml:space="preserve">arī </w:t>
      </w:r>
      <w:r w:rsidR="006D7935">
        <w:rPr>
          <w:b/>
        </w:rPr>
        <w:t>nepamatoti</w:t>
      </w:r>
      <w:r w:rsidR="00D751EF">
        <w:rPr>
          <w:b/>
        </w:rPr>
        <w:t xml:space="preserve"> tika</w:t>
      </w:r>
      <w:r w:rsidR="006D7935">
        <w:rPr>
          <w:b/>
        </w:rPr>
        <w:t xml:space="preserve"> </w:t>
      </w:r>
      <w:r w:rsidR="006D7935" w:rsidRPr="006D7935">
        <w:rPr>
          <w:b/>
        </w:rPr>
        <w:t xml:space="preserve">piemērots Kriminālprocesa likuma 243.panta pirmās daļas 3.punktā paredzētais drošības līdzeklis </w:t>
      </w:r>
      <w:r w:rsidR="006D7935" w:rsidRPr="00D77B35">
        <w:t>–</w:t>
      </w:r>
      <w:r w:rsidR="006D7935">
        <w:t xml:space="preserve"> </w:t>
      </w:r>
      <w:r w:rsidR="006D7935" w:rsidRPr="006D7935">
        <w:rPr>
          <w:b/>
        </w:rPr>
        <w:t xml:space="preserve">noteiktas nodarbošanās aizliegums. </w:t>
      </w:r>
      <w:r w:rsidR="001D0D56" w:rsidRPr="00D751EF">
        <w:t>Līdz 2012.gada 22.maijam Tieslietu ministrijā no Ģenerālprokuratūras izpildei saņemti četri zaudējumu atlīdzināšanas lēmumi</w:t>
      </w:r>
      <w:r w:rsidR="00362903">
        <w:t>,</w:t>
      </w:r>
      <w:r w:rsidR="001D0D56" w:rsidRPr="00D751EF">
        <w:t xml:space="preserve"> ar kuriem tiek apmierināti no kriminālatbildības atbrīvoto personu pieteikumi par zaudējumu – nesaņemtās darba samaksas – sakarā ar nepamatoti piemēroto drošības līdzekli </w:t>
      </w:r>
      <w:r w:rsidRPr="00D751EF">
        <w:t xml:space="preserve">– </w:t>
      </w:r>
      <w:r w:rsidR="001D0D56" w:rsidRPr="00D751EF">
        <w:t>noteiktas nodarbošanās aizliegums</w:t>
      </w:r>
      <w:r w:rsidRPr="00D751EF">
        <w:t xml:space="preserve"> – </w:t>
      </w:r>
      <w:r w:rsidR="001D0D56" w:rsidRPr="00D751EF">
        <w:t xml:space="preserve"> atlīdzināšanu par kopējo summu </w:t>
      </w:r>
      <w:r w:rsidR="001D0D56">
        <w:rPr>
          <w:b/>
        </w:rPr>
        <w:t>LVL 27</w:t>
      </w:r>
      <w:r w:rsidR="00362903">
        <w:rPr>
          <w:b/>
        </w:rPr>
        <w:t xml:space="preserve"> </w:t>
      </w:r>
      <w:r w:rsidR="001D0D56">
        <w:rPr>
          <w:b/>
        </w:rPr>
        <w:t>866,39</w:t>
      </w:r>
      <w:r>
        <w:rPr>
          <w:b/>
        </w:rPr>
        <w:t>.</w:t>
      </w:r>
      <w:r w:rsidRPr="00CE4446">
        <w:rPr>
          <w:b/>
        </w:rPr>
        <w:t xml:space="preserve"> </w:t>
      </w:r>
      <w:r w:rsidRPr="006D7935">
        <w:rPr>
          <w:b/>
        </w:rPr>
        <w:t xml:space="preserve">Līdz ar to var secināt, ka ir palielinājies to personu skaits, </w:t>
      </w:r>
      <w:r>
        <w:rPr>
          <w:b/>
        </w:rPr>
        <w:t xml:space="preserve">kurām </w:t>
      </w:r>
      <w:r w:rsidR="00BC0E98">
        <w:rPr>
          <w:b/>
        </w:rPr>
        <w:t xml:space="preserve">krimināllietas izmeklēšanas laikā </w:t>
      </w:r>
      <w:r w:rsidR="00F70522">
        <w:rPr>
          <w:b/>
        </w:rPr>
        <w:t xml:space="preserve">ilgstoši </w:t>
      </w:r>
      <w:r>
        <w:rPr>
          <w:b/>
        </w:rPr>
        <w:t xml:space="preserve">tiek nepamatoti ierobežota </w:t>
      </w:r>
      <w:r w:rsidR="00BC0E98">
        <w:rPr>
          <w:b/>
        </w:rPr>
        <w:t xml:space="preserve">brīvība un </w:t>
      </w:r>
      <w:r w:rsidRPr="006D7935">
        <w:rPr>
          <w:b/>
        </w:rPr>
        <w:t>pret kurām krimināllieta tiek izbeigta pirmstiesas kriminālprocesā izmeklēšanas iestādē</w:t>
      </w:r>
      <w:r w:rsidR="00362903">
        <w:rPr>
          <w:b/>
        </w:rPr>
        <w:t>.</w:t>
      </w:r>
      <w:r w:rsidRPr="006D7935">
        <w:rPr>
          <w:b/>
        </w:rPr>
        <w:t xml:space="preserve"> </w:t>
      </w:r>
      <w:r w:rsidR="00362903">
        <w:rPr>
          <w:b/>
        </w:rPr>
        <w:t>T</w:t>
      </w:r>
      <w:r w:rsidR="00BC0E98">
        <w:rPr>
          <w:b/>
        </w:rPr>
        <w:t xml:space="preserve">āpat </w:t>
      </w:r>
      <w:r w:rsidR="00D751EF">
        <w:rPr>
          <w:b/>
        </w:rPr>
        <w:t>minētais liecina, ka</w:t>
      </w:r>
      <w:r w:rsidRPr="006D7935">
        <w:rPr>
          <w:b/>
        </w:rPr>
        <w:t xml:space="preserve"> personas </w:t>
      </w:r>
      <w:r w:rsidR="006F0743">
        <w:rPr>
          <w:b/>
        </w:rPr>
        <w:t>ir</w:t>
      </w:r>
      <w:r w:rsidRPr="006D7935">
        <w:rPr>
          <w:b/>
        </w:rPr>
        <w:t xml:space="preserve"> kļuvušas aktīvākas savu tiesisko interešu aizstāvībā.</w:t>
      </w:r>
      <w:r w:rsidRPr="00D77B35">
        <w:t> </w:t>
      </w:r>
    </w:p>
    <w:p w:rsidR="0066389F" w:rsidRDefault="00EA1169" w:rsidP="00041EE1">
      <w:pPr>
        <w:tabs>
          <w:tab w:val="num" w:pos="0"/>
        </w:tabs>
        <w:ind w:firstLine="720"/>
        <w:jc w:val="both"/>
      </w:pPr>
      <w:r>
        <w:lastRenderedPageBreak/>
        <w:t xml:space="preserve">Jāatzīmē, ka </w:t>
      </w:r>
      <w:r w:rsidRPr="00955D1B">
        <w:t xml:space="preserve">Zaudējumu atlīdzināšanas likums neparedz atgriezeniskās saiknes veidošanu starp </w:t>
      </w:r>
      <w:r>
        <w:t xml:space="preserve">Tieslietu </w:t>
      </w:r>
      <w:r w:rsidRPr="00955D1B">
        <w:t xml:space="preserve">ministriju kā lēmuma pieņēmēju un procesa virzītāju. Līdz ar to </w:t>
      </w:r>
      <w:r w:rsidR="00154014" w:rsidRPr="009B54C4">
        <w:rPr>
          <w:b/>
        </w:rPr>
        <w:t>ir ļoti apgrūtinoši</w:t>
      </w:r>
      <w:r w:rsidRPr="009B54C4">
        <w:rPr>
          <w:b/>
        </w:rPr>
        <w:t xml:space="preserve"> precīzi konstatēt zaudējumu nodarīšanas cēloņus un veikt pasākumus to novēršanai</w:t>
      </w:r>
      <w:r w:rsidRPr="00955D1B">
        <w:t>.</w:t>
      </w:r>
      <w:r>
        <w:t xml:space="preserve"> </w:t>
      </w:r>
    </w:p>
    <w:p w:rsidR="00EA1169" w:rsidRDefault="0066389F" w:rsidP="00041EE1">
      <w:pPr>
        <w:ind w:firstLine="720"/>
        <w:jc w:val="both"/>
      </w:pPr>
      <w:r>
        <w:t>Ievērojot iepriekš minēto, Tieslietu ministrija ir provizoriski aprēķinājusi, ka, p</w:t>
      </w:r>
      <w:r w:rsidRPr="008F3268">
        <w:rPr>
          <w:color w:val="000000"/>
        </w:rPr>
        <w:t>amatojoties uz Tieslietu ministrijas un Ģenerālprokuratūras lēmumiem un tiesu spriedumiem</w:t>
      </w:r>
      <w:r>
        <w:rPr>
          <w:color w:val="000000"/>
        </w:rPr>
        <w:t>, kas stāsies spēkā,</w:t>
      </w:r>
      <w:r w:rsidRPr="008F3268">
        <w:rPr>
          <w:color w:val="000000"/>
        </w:rPr>
        <w:t xml:space="preserve"> zaudējumu atlīdzināšanas lietās, kā arī saņemtajiem iesniegumiem zaudējumu atlīdzības saņemšanai, </w:t>
      </w:r>
      <w:r w:rsidRPr="008C205A">
        <w:rPr>
          <w:color w:val="000000"/>
        </w:rPr>
        <w:t xml:space="preserve">Tieslietu ministrijai 2012.gadā fiziskajām personām mantiskie un nemantiskie zaudējumi vēl būs jāatlīdzina vismaz 44 522 latu apmērā. </w:t>
      </w:r>
      <w:r>
        <w:rPr>
          <w:b/>
          <w:color w:val="000000"/>
        </w:rPr>
        <w:t xml:space="preserve">Prognozējams, ka arī 2013.gadā nesamazināsies zaudējumu atlīdzināšanas iesniegumu skaits un izmaksājamo atlīdzību apmērs, kā arī tiesā iesniegto prasības pieteikumu un tiesas piespriestās atlīdzības apmērs par morālo kaitējumu, kas nodarīts ar nepamatoti uzsāktu kriminālprocesu. </w:t>
      </w:r>
      <w:r w:rsidR="00EA1169" w:rsidRPr="00955D1B">
        <w:t xml:space="preserve">Zaudējumu atlīdzināšanas likuma 9. pantā noteikts, ka zaudējumu atlīdzību izmaksā no valsts budžetā speciāli šiem mērķiem paredzētajiem līdzekļiem. Saskaņā ar Civillikuma 1770.pantu ar zaudējumu jāsaprot katrs mantiski novērtējams pametums. Līdz ar to Zaudējumu atlīdzināšanas likuma 9.panta izpratnē no minētajiem līdzekļiem būtu izmaksājama tikai zaudējumu atlīdzība. Praksē no minētajiem līdzekļiem tiek izmaksāta arī tiesas piespriestā atlīdzība par morālā kaitējuma nodarīšanu. Ņemot vērā, ka tiesas piespriestās atlīdzības apjomu nevar prognozēt, kā arī to, ka atlīdzības summas par morālā kaitējuma nodarīšanu ir samērā lielas, </w:t>
      </w:r>
      <w:r w:rsidR="00EA1169" w:rsidRPr="00EA1169">
        <w:rPr>
          <w:b/>
        </w:rPr>
        <w:t>nav iespējams prognozēt budžeta līdzekļus</w:t>
      </w:r>
      <w:r w:rsidR="00EA1169" w:rsidRPr="00955D1B">
        <w:t xml:space="preserve">. </w:t>
      </w:r>
      <w:r w:rsidR="00154014">
        <w:t>Turklāt</w:t>
      </w:r>
      <w:r w:rsidR="00EA1169" w:rsidRPr="00955D1B">
        <w:t xml:space="preserve">, tā kā budžeta līdzekļi zaudējumu atlīdzībai tiek piešķirti </w:t>
      </w:r>
      <w:r w:rsidR="00EA1169">
        <w:t xml:space="preserve">Tieslietu </w:t>
      </w:r>
      <w:r w:rsidR="00EA1169" w:rsidRPr="00955D1B">
        <w:t>ministrijai un tā izmaksā atlīdzinājumu privātpersonām gan saskaņā ar</w:t>
      </w:r>
      <w:r w:rsidR="00EA1169">
        <w:t xml:space="preserve"> Tieslietu</w:t>
      </w:r>
      <w:r w:rsidR="00EA1169" w:rsidRPr="00955D1B">
        <w:t xml:space="preserve"> ministrijas lēmumiem, gan Ģenerālprokuratūras lēmumiem, gan arī </w:t>
      </w:r>
      <w:r w:rsidR="00154014">
        <w:t>saskaņā ar</w:t>
      </w:r>
      <w:r w:rsidR="00EA1169" w:rsidRPr="00955D1B">
        <w:t xml:space="preserve"> tiesas spriedumiem, </w:t>
      </w:r>
      <w:r w:rsidR="00EA1169">
        <w:t xml:space="preserve">Tieslietu </w:t>
      </w:r>
      <w:r w:rsidR="00EA1169" w:rsidRPr="00955D1B">
        <w:t>ministrija pilda funkciju, kas pēc bū</w:t>
      </w:r>
      <w:r w:rsidR="0059721D">
        <w:t>tības neietilpst tās kompetencē.</w:t>
      </w:r>
      <w:r w:rsidR="00154014">
        <w:t xml:space="preserve"> </w:t>
      </w:r>
      <w:r w:rsidR="00EA1169" w:rsidRPr="00955D1B">
        <w:t xml:space="preserve">Zaudējumu atlīdzināšanas likuma 5. panta trešajā daļā noteikts, ka personai ir tiesības celt prasību par tāda morālā kaitējuma atlīdzināšanu, kas radies izziņas iestādes, prokuratūras vai tiesas nelikumīgas vai nepamatotas rīcības rezultātā. Tā izskatāma tiesā civilprasības kārtībā. Pašlaik nav izveidojusies vienota tiesu prakse ne attiecībā uz to, kas šādās lietās būtu atbildētājs, kā arī kādi kritēriji būtu vērtējami, nosakot morālā kaitējuma atlīdzinājuma esamību, tā apjomu naudas izteiksmē un to, kādos gadījumos morālais kaitējums var </w:t>
      </w:r>
      <w:r w:rsidR="00160C2F">
        <w:t>tikt nodarīts</w:t>
      </w:r>
      <w:r w:rsidR="00EA1169" w:rsidRPr="00955D1B">
        <w:t>.</w:t>
      </w:r>
    </w:p>
    <w:p w:rsidR="0066389F" w:rsidRPr="00955D1B" w:rsidRDefault="0066389F" w:rsidP="00041EE1">
      <w:pPr>
        <w:tabs>
          <w:tab w:val="num" w:pos="0"/>
        </w:tabs>
        <w:ind w:firstLine="720"/>
        <w:jc w:val="both"/>
      </w:pPr>
      <w:r w:rsidRPr="00955D1B">
        <w:t>Zaudējumu atlīdzināšanas likum</w:t>
      </w:r>
      <w:r>
        <w:t>a</w:t>
      </w:r>
      <w:r w:rsidRPr="00955D1B">
        <w:t xml:space="preserve"> piemērošanas gaitā ir konstatētas vairākas problēmas – redakcionāla (tehniska) rakstura likuma piemērošanas problēmas, piemēram, Zaudējumu atlīdzināšanas likuma terminoloģija atšķiras no Kriminālprocesa likumā lietotās terminoloģijas, likumā noteiktie termiņi un pārsūdzības kārtība neatbilst Administratīvā procesa likumam, nav noteikts lēmuma izpildes termiņš u.tml., kā arī problēmas, kas skar zaudējumu atlīdzināšanas procesu pēc būtības.</w:t>
      </w:r>
    </w:p>
    <w:p w:rsidR="0066389F" w:rsidRDefault="0059721D" w:rsidP="00041EE1">
      <w:pPr>
        <w:ind w:firstLine="720"/>
        <w:jc w:val="both"/>
      </w:pPr>
      <w:r>
        <w:t xml:space="preserve">No iepriekšminētā secināms, ka </w:t>
      </w:r>
      <w:r w:rsidR="00160C2F">
        <w:t xml:space="preserve">iespējamie </w:t>
      </w:r>
      <w:r>
        <w:t>iemesli</w:t>
      </w:r>
      <w:r w:rsidR="0066389F">
        <w:t xml:space="preserve"> krasam</w:t>
      </w:r>
      <w:r>
        <w:t xml:space="preserve"> </w:t>
      </w:r>
      <w:r w:rsidR="0066389F">
        <w:t>z</w:t>
      </w:r>
      <w:r>
        <w:t xml:space="preserve">audējumu atlīdzības apmēra </w:t>
      </w:r>
      <w:r w:rsidR="0066389F">
        <w:t>pieaugumam ir:</w:t>
      </w:r>
    </w:p>
    <w:p w:rsidR="00154014" w:rsidRDefault="00154014" w:rsidP="00041EE1">
      <w:pPr>
        <w:ind w:firstLine="720"/>
        <w:jc w:val="both"/>
      </w:pPr>
      <w:r>
        <w:t>1) </w:t>
      </w:r>
      <w:r w:rsidR="0066389F" w:rsidRPr="0066389F">
        <w:t>izmeklēšanas kvalitātes pazemināšan</w:t>
      </w:r>
      <w:r w:rsidR="00FA7A93">
        <w:t>ā</w:t>
      </w:r>
      <w:r w:rsidR="0066389F" w:rsidRPr="0066389F">
        <w:t>s izmeklēšanas iestādēs</w:t>
      </w:r>
      <w:r w:rsidR="0066389F">
        <w:t>;</w:t>
      </w:r>
      <w:r w:rsidRPr="00154014">
        <w:t xml:space="preserve"> </w:t>
      </w:r>
    </w:p>
    <w:p w:rsidR="00154014" w:rsidRPr="0066389F" w:rsidRDefault="00154014" w:rsidP="00041EE1">
      <w:pPr>
        <w:ind w:firstLine="720"/>
        <w:jc w:val="both"/>
      </w:pPr>
      <w:r>
        <w:t>2) </w:t>
      </w:r>
      <w:r w:rsidR="005D5F07">
        <w:t>nepilnības pašreiz spēkā esošajā normatīvajā regulējumā</w:t>
      </w:r>
      <w:r>
        <w:t>;</w:t>
      </w:r>
      <w:r w:rsidRPr="0066389F">
        <w:t> </w:t>
      </w:r>
    </w:p>
    <w:p w:rsidR="0066389F" w:rsidRPr="0066389F" w:rsidRDefault="00154014" w:rsidP="00041EE1">
      <w:pPr>
        <w:ind w:firstLine="720"/>
        <w:jc w:val="both"/>
      </w:pPr>
      <w:r>
        <w:t>3) </w:t>
      </w:r>
      <w:r w:rsidR="005D5F07" w:rsidRPr="0066389F">
        <w:t>person</w:t>
      </w:r>
      <w:r w:rsidR="005D5F07">
        <w:t>u</w:t>
      </w:r>
      <w:r w:rsidR="005D5F07" w:rsidRPr="0066389F">
        <w:t xml:space="preserve"> akt</w:t>
      </w:r>
      <w:r w:rsidR="005D5F07">
        <w:t>i</w:t>
      </w:r>
      <w:r w:rsidR="005D5F07" w:rsidRPr="0066389F">
        <w:t>v</w:t>
      </w:r>
      <w:r w:rsidR="005D5F07">
        <w:t>itāšu pieaugums</w:t>
      </w:r>
      <w:r w:rsidR="005D5F07" w:rsidRPr="0066389F">
        <w:t xml:space="preserve"> savu tiesisko interešu aizstāvībā</w:t>
      </w:r>
      <w:r w:rsidR="0066389F">
        <w:t>.</w:t>
      </w:r>
    </w:p>
    <w:p w:rsidR="0059721D" w:rsidRPr="009B54C4" w:rsidRDefault="0059721D" w:rsidP="0059721D">
      <w:pPr>
        <w:ind w:firstLine="720"/>
        <w:jc w:val="both"/>
        <w:rPr>
          <w:vanish/>
        </w:rPr>
      </w:pPr>
    </w:p>
    <w:p w:rsidR="000D19D9" w:rsidRDefault="005D5F07" w:rsidP="0059721D">
      <w:pPr>
        <w:tabs>
          <w:tab w:val="num" w:pos="0"/>
        </w:tabs>
        <w:jc w:val="both"/>
      </w:pPr>
      <w:r>
        <w:tab/>
      </w:r>
    </w:p>
    <w:p w:rsidR="00A933EA" w:rsidRPr="00955D1B" w:rsidRDefault="00A933EA" w:rsidP="0059721D">
      <w:pPr>
        <w:tabs>
          <w:tab w:val="num" w:pos="0"/>
        </w:tabs>
        <w:jc w:val="both"/>
      </w:pPr>
    </w:p>
    <w:p w:rsidR="00BF77F4" w:rsidRDefault="00427C21" w:rsidP="00427C21">
      <w:pPr>
        <w:ind w:firstLine="720"/>
      </w:pPr>
      <w:r>
        <w:t>Tieslietu ministr</w:t>
      </w:r>
      <w:r w:rsidR="00BF77F4">
        <w:t xml:space="preserve">a </w:t>
      </w:r>
      <w:proofErr w:type="spellStart"/>
      <w:r w:rsidR="00BF77F4">
        <w:t>p.i</w:t>
      </w:r>
      <w:proofErr w:type="spellEnd"/>
      <w:r w:rsidR="00BF77F4">
        <w:t>.</w:t>
      </w:r>
    </w:p>
    <w:p w:rsidR="008D1CE1" w:rsidRPr="00D77B35" w:rsidRDefault="00BF77F4" w:rsidP="00BF77F4">
      <w:pPr>
        <w:tabs>
          <w:tab w:val="left" w:pos="6521"/>
        </w:tabs>
        <w:ind w:firstLine="720"/>
      </w:pPr>
      <w:r>
        <w:t>kultūras ministre</w:t>
      </w:r>
      <w:r>
        <w:tab/>
      </w:r>
      <w:proofErr w:type="spellStart"/>
      <w:r>
        <w:t>Ž.Jaunzeme-Grende</w:t>
      </w:r>
      <w:proofErr w:type="spellEnd"/>
    </w:p>
    <w:p w:rsidR="006F7517" w:rsidRDefault="006F7517" w:rsidP="00B447F2">
      <w:bookmarkStart w:id="0" w:name="_GoBack"/>
      <w:bookmarkEnd w:id="0"/>
    </w:p>
    <w:p w:rsidR="00A933EA" w:rsidRDefault="00A933EA" w:rsidP="00B447F2"/>
    <w:p w:rsidR="003C4DFF" w:rsidRDefault="00BF77F4" w:rsidP="003C4DFF">
      <w:pPr>
        <w:rPr>
          <w:color w:val="000000"/>
          <w:sz w:val="20"/>
          <w:szCs w:val="20"/>
        </w:rPr>
      </w:pPr>
      <w:r>
        <w:rPr>
          <w:sz w:val="20"/>
        </w:rPr>
        <w:t>28</w:t>
      </w:r>
      <w:r w:rsidR="009B54C4" w:rsidRPr="009B54C4">
        <w:rPr>
          <w:sz w:val="20"/>
        </w:rPr>
        <w:t>.06.2012.</w:t>
      </w:r>
      <w:r w:rsidR="003C4DFF" w:rsidRPr="009B54C4">
        <w:rPr>
          <w:color w:val="000000"/>
          <w:sz w:val="16"/>
          <w:szCs w:val="20"/>
        </w:rPr>
        <w:t xml:space="preserve"> </w:t>
      </w:r>
      <w:r>
        <w:rPr>
          <w:color w:val="000000"/>
          <w:sz w:val="16"/>
          <w:szCs w:val="20"/>
        </w:rPr>
        <w:t>10</w:t>
      </w:r>
      <w:r>
        <w:rPr>
          <w:color w:val="000000"/>
          <w:sz w:val="20"/>
          <w:szCs w:val="20"/>
        </w:rPr>
        <w:t>.55</w:t>
      </w:r>
      <w:r w:rsidR="00C04045">
        <w:rPr>
          <w:color w:val="000000"/>
          <w:sz w:val="20"/>
          <w:szCs w:val="20"/>
        </w:rPr>
        <w:t>.</w:t>
      </w:r>
    </w:p>
    <w:p w:rsidR="00154014" w:rsidRDefault="00A933EA" w:rsidP="003C4DFF">
      <w:pPr>
        <w:rPr>
          <w:color w:val="000000"/>
          <w:sz w:val="20"/>
          <w:szCs w:val="20"/>
        </w:rPr>
      </w:pPr>
      <w:bookmarkStart w:id="1" w:name="OLE_LINK7"/>
      <w:bookmarkStart w:id="2" w:name="OLE_LINK8"/>
      <w:bookmarkStart w:id="3" w:name="OLE_LINK9"/>
      <w:bookmarkStart w:id="4" w:name="OLE_LINK12"/>
      <w:bookmarkStart w:id="5" w:name="OLE_LINK13"/>
      <w:r>
        <w:rPr>
          <w:color w:val="000000"/>
          <w:sz w:val="20"/>
          <w:szCs w:val="20"/>
        </w:rPr>
        <w:t>1314</w:t>
      </w:r>
    </w:p>
    <w:p w:rsidR="003C4DFF" w:rsidRPr="006E69BE" w:rsidRDefault="00BF77F4" w:rsidP="003C4DFF">
      <w:pPr>
        <w:rPr>
          <w:color w:val="000000"/>
          <w:sz w:val="20"/>
          <w:szCs w:val="20"/>
        </w:rPr>
      </w:pPr>
      <w:r>
        <w:rPr>
          <w:color w:val="000000"/>
          <w:sz w:val="20"/>
          <w:szCs w:val="20"/>
        </w:rPr>
        <w:t>L.Dilba</w:t>
      </w:r>
    </w:p>
    <w:p w:rsidR="003C4DFF" w:rsidRPr="00441B1D" w:rsidRDefault="003C4DFF" w:rsidP="003C4DFF">
      <w:pPr>
        <w:rPr>
          <w:color w:val="000000"/>
          <w:sz w:val="20"/>
          <w:szCs w:val="20"/>
        </w:rPr>
      </w:pPr>
      <w:r w:rsidRPr="006E69BE">
        <w:rPr>
          <w:color w:val="000000"/>
          <w:sz w:val="20"/>
          <w:szCs w:val="20"/>
        </w:rPr>
        <w:t>67036</w:t>
      </w:r>
      <w:r>
        <w:rPr>
          <w:color w:val="000000"/>
          <w:sz w:val="20"/>
          <w:szCs w:val="20"/>
        </w:rPr>
        <w:t>7</w:t>
      </w:r>
      <w:r w:rsidR="00BF77F4">
        <w:rPr>
          <w:color w:val="000000"/>
          <w:sz w:val="20"/>
          <w:szCs w:val="20"/>
        </w:rPr>
        <w:t>36</w:t>
      </w:r>
      <w:r w:rsidRPr="006E69BE">
        <w:rPr>
          <w:color w:val="000000"/>
          <w:sz w:val="20"/>
          <w:szCs w:val="20"/>
        </w:rPr>
        <w:t>,</w:t>
      </w:r>
      <w:r w:rsidR="00BF77F4">
        <w:rPr>
          <w:color w:val="000000"/>
          <w:sz w:val="20"/>
          <w:szCs w:val="20"/>
        </w:rPr>
        <w:t xml:space="preserve"> Lasma.Dilba</w:t>
      </w:r>
      <w:r w:rsidRPr="006E69BE">
        <w:rPr>
          <w:color w:val="000000"/>
          <w:sz w:val="20"/>
          <w:szCs w:val="20"/>
        </w:rPr>
        <w:t>@tm.gov.lv</w:t>
      </w:r>
      <w:bookmarkEnd w:id="1"/>
      <w:bookmarkEnd w:id="2"/>
      <w:bookmarkEnd w:id="3"/>
      <w:bookmarkEnd w:id="4"/>
      <w:bookmarkEnd w:id="5"/>
    </w:p>
    <w:p w:rsidR="006F7517" w:rsidRDefault="006F7517" w:rsidP="00B447F2"/>
    <w:sectPr w:rsidR="006F7517" w:rsidSect="00041EE1">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FEC" w:rsidRDefault="00650FEC" w:rsidP="006F7517">
      <w:r>
        <w:separator/>
      </w:r>
    </w:p>
  </w:endnote>
  <w:endnote w:type="continuationSeparator" w:id="0">
    <w:p w:rsidR="00650FEC" w:rsidRDefault="00650FEC" w:rsidP="006F7517">
      <w:r>
        <w:continuationSeparator/>
      </w:r>
    </w:p>
  </w:endnote>
  <w:endnote w:type="continuationNotice" w:id="1">
    <w:p w:rsidR="00650FEC" w:rsidRDefault="00650FE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panose1 w:val="0202060306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E5" w:rsidRDefault="00A91AE5">
    <w:pPr>
      <w:jc w:val="both"/>
    </w:pPr>
    <w:r>
      <w:fldChar w:fldCharType="begin"/>
    </w:r>
    <w:r>
      <w:instrText xml:space="preserve"> FILENAME   \* MERGEFORMAT </w:instrText>
    </w:r>
    <w:r>
      <w:fldChar w:fldCharType="separate"/>
    </w:r>
    <w:r w:rsidR="00041EE1" w:rsidRPr="00BF77F4">
      <w:rPr>
        <w:noProof/>
        <w:sz w:val="22"/>
        <w:szCs w:val="22"/>
      </w:rPr>
      <w:t>TM</w:t>
    </w:r>
    <w:r w:rsidR="004B1F27">
      <w:rPr>
        <w:noProof/>
        <w:sz w:val="22"/>
        <w:szCs w:val="22"/>
      </w:rPr>
      <w:t>Zino</w:t>
    </w:r>
    <w:r w:rsidR="00041EE1" w:rsidRPr="00BF77F4">
      <w:rPr>
        <w:noProof/>
        <w:sz w:val="22"/>
        <w:szCs w:val="22"/>
      </w:rPr>
      <w:t>_190612_zaudejumi</w:t>
    </w:r>
    <w:r>
      <w:fldChar w:fldCharType="end"/>
    </w:r>
    <w:r w:rsidR="00041EE1" w:rsidRPr="00BF77F4">
      <w:rPr>
        <w:sz w:val="22"/>
        <w:szCs w:val="22"/>
      </w:rPr>
      <w:t xml:space="preserve">; </w:t>
    </w:r>
    <w:r w:rsidR="00041EE1" w:rsidRPr="00BF77F4">
      <w:rPr>
        <w:bCs/>
        <w:sz w:val="22"/>
        <w:szCs w:val="22"/>
      </w:rPr>
      <w:t xml:space="preserve">Informatīvais ziņojums „Par </w:t>
    </w:r>
    <w:r w:rsidR="00041EE1" w:rsidRPr="00BF77F4">
      <w:rPr>
        <w:sz w:val="22"/>
        <w:szCs w:val="22"/>
      </w:rPr>
      <w:t>izziņas iestādes, prokuratūras vai tiesas nepamatotas vai nelikumīgas rīcības rezultātā nodarīto zaudējumu atlīdzināšanu</w:t>
    </w:r>
    <w:r w:rsidR="00041EE1" w:rsidRPr="00BF77F4">
      <w:rPr>
        <w:bCs/>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E5" w:rsidRDefault="00A91AE5">
    <w:pPr>
      <w:jc w:val="both"/>
    </w:pPr>
    <w:r>
      <w:fldChar w:fldCharType="begin"/>
    </w:r>
    <w:r>
      <w:instrText xml:space="preserve"> FILENAME   \* MERGEFORMAT </w:instrText>
    </w:r>
    <w:r>
      <w:fldChar w:fldCharType="separate"/>
    </w:r>
    <w:r w:rsidR="00041EE1" w:rsidRPr="00BF77F4">
      <w:rPr>
        <w:noProof/>
        <w:sz w:val="22"/>
        <w:szCs w:val="22"/>
      </w:rPr>
      <w:t>TM</w:t>
    </w:r>
    <w:r w:rsidR="004B1F27">
      <w:rPr>
        <w:noProof/>
        <w:sz w:val="22"/>
        <w:szCs w:val="22"/>
      </w:rPr>
      <w:t>Zino</w:t>
    </w:r>
    <w:r w:rsidR="00041EE1" w:rsidRPr="00BF77F4">
      <w:rPr>
        <w:noProof/>
        <w:sz w:val="22"/>
        <w:szCs w:val="22"/>
      </w:rPr>
      <w:t>_190612_zaudejumi</w:t>
    </w:r>
    <w:r>
      <w:fldChar w:fldCharType="end"/>
    </w:r>
    <w:r w:rsidR="00041EE1" w:rsidRPr="00BF77F4">
      <w:rPr>
        <w:sz w:val="22"/>
        <w:szCs w:val="22"/>
      </w:rPr>
      <w:t xml:space="preserve">; </w:t>
    </w:r>
    <w:r w:rsidR="00041EE1" w:rsidRPr="00BF77F4">
      <w:rPr>
        <w:bCs/>
        <w:sz w:val="22"/>
        <w:szCs w:val="22"/>
      </w:rPr>
      <w:t xml:space="preserve">Informatīvais ziņojums „Par </w:t>
    </w:r>
    <w:r w:rsidR="00041EE1" w:rsidRPr="00BF77F4">
      <w:rPr>
        <w:sz w:val="22"/>
        <w:szCs w:val="22"/>
      </w:rPr>
      <w:t>izziņas iestādes, prokuratūras vai tiesas nepamatotas vai nelikumīgas rīcības rezultātā nodarīto zaudējumu atlīdzināšanu</w:t>
    </w:r>
    <w:r w:rsidR="00041EE1" w:rsidRPr="00BF77F4">
      <w:rPr>
        <w:bCs/>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FEC" w:rsidRDefault="00650FEC" w:rsidP="006F7517">
      <w:r>
        <w:separator/>
      </w:r>
    </w:p>
  </w:footnote>
  <w:footnote w:type="continuationSeparator" w:id="0">
    <w:p w:rsidR="00650FEC" w:rsidRDefault="00650FEC" w:rsidP="006F7517">
      <w:r>
        <w:continuationSeparator/>
      </w:r>
    </w:p>
  </w:footnote>
  <w:footnote w:type="continuationNotice" w:id="1">
    <w:p w:rsidR="00650FEC" w:rsidRDefault="00650F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1" w:rsidRDefault="00A91AE5" w:rsidP="00B447F2">
    <w:pPr>
      <w:pStyle w:val="Header"/>
      <w:framePr w:wrap="around" w:vAnchor="text" w:hAnchor="margin" w:xAlign="center" w:y="1"/>
      <w:rPr>
        <w:rStyle w:val="PageNumber"/>
      </w:rPr>
    </w:pPr>
    <w:r>
      <w:rPr>
        <w:rStyle w:val="PageNumber"/>
      </w:rPr>
      <w:fldChar w:fldCharType="begin"/>
    </w:r>
    <w:r w:rsidR="00041EE1">
      <w:rPr>
        <w:rStyle w:val="PageNumber"/>
      </w:rPr>
      <w:instrText xml:space="preserve">PAGE  </w:instrText>
    </w:r>
    <w:r>
      <w:rPr>
        <w:rStyle w:val="PageNumber"/>
      </w:rPr>
      <w:fldChar w:fldCharType="end"/>
    </w:r>
  </w:p>
  <w:p w:rsidR="00041EE1" w:rsidRDefault="00041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1" w:rsidRDefault="00A91AE5" w:rsidP="00B447F2">
    <w:pPr>
      <w:pStyle w:val="Header"/>
      <w:framePr w:wrap="around" w:vAnchor="text" w:hAnchor="margin" w:xAlign="center" w:y="1"/>
      <w:rPr>
        <w:rStyle w:val="PageNumber"/>
      </w:rPr>
    </w:pPr>
    <w:r>
      <w:rPr>
        <w:rStyle w:val="PageNumber"/>
      </w:rPr>
      <w:fldChar w:fldCharType="begin"/>
    </w:r>
    <w:r w:rsidR="00041EE1">
      <w:rPr>
        <w:rStyle w:val="PageNumber"/>
      </w:rPr>
      <w:instrText xml:space="preserve">PAGE  </w:instrText>
    </w:r>
    <w:r>
      <w:rPr>
        <w:rStyle w:val="PageNumber"/>
      </w:rPr>
      <w:fldChar w:fldCharType="separate"/>
    </w:r>
    <w:r w:rsidR="004B1F27">
      <w:rPr>
        <w:rStyle w:val="PageNumber"/>
        <w:noProof/>
      </w:rPr>
      <w:t>3</w:t>
    </w:r>
    <w:r>
      <w:rPr>
        <w:rStyle w:val="PageNumber"/>
      </w:rPr>
      <w:fldChar w:fldCharType="end"/>
    </w:r>
  </w:p>
  <w:p w:rsidR="00041EE1" w:rsidRDefault="00041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21B3"/>
    <w:multiLevelType w:val="hybridMultilevel"/>
    <w:tmpl w:val="FFF89120"/>
    <w:lvl w:ilvl="0" w:tplc="7A1E5D5A">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2CDF1918"/>
    <w:multiLevelType w:val="hybridMultilevel"/>
    <w:tmpl w:val="E4A2D1AC"/>
    <w:lvl w:ilvl="0" w:tplc="4274AE40">
      <w:start w:val="1"/>
      <w:numFmt w:val="decimal"/>
      <w:lvlText w:val="%1)"/>
      <w:lvlJc w:val="left"/>
      <w:pPr>
        <w:tabs>
          <w:tab w:val="num" w:pos="2460"/>
        </w:tabs>
        <w:ind w:left="2460" w:hanging="1020"/>
      </w:pPr>
      <w:rPr>
        <w:rFonts w:ascii="Times New Roman" w:eastAsia="Times New Roman" w:hAnsi="Times New Roman" w:cs="Times New Roman"/>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2">
    <w:nsid w:val="3F9919B8"/>
    <w:multiLevelType w:val="hybridMultilevel"/>
    <w:tmpl w:val="FFF27914"/>
    <w:lvl w:ilvl="0" w:tplc="37A62B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197F41"/>
    <w:multiLevelType w:val="hybridMultilevel"/>
    <w:tmpl w:val="569E57BC"/>
    <w:lvl w:ilvl="0" w:tplc="7A1E5D5A">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57632AED"/>
    <w:multiLevelType w:val="hybridMultilevel"/>
    <w:tmpl w:val="94D8A6FC"/>
    <w:lvl w:ilvl="0" w:tplc="954AC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71C61DB"/>
    <w:multiLevelType w:val="hybridMultilevel"/>
    <w:tmpl w:val="58A2BEC8"/>
    <w:lvl w:ilvl="0" w:tplc="B31E02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500CD7"/>
    <w:multiLevelType w:val="hybridMultilevel"/>
    <w:tmpl w:val="5FD84BD6"/>
    <w:lvl w:ilvl="0" w:tplc="20D25A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rsids>
    <w:rsidRoot w:val="0036206F"/>
    <w:rsid w:val="000015EF"/>
    <w:rsid w:val="000200F6"/>
    <w:rsid w:val="00027658"/>
    <w:rsid w:val="00041EE1"/>
    <w:rsid w:val="00056D7F"/>
    <w:rsid w:val="00060B06"/>
    <w:rsid w:val="00071595"/>
    <w:rsid w:val="000A4C79"/>
    <w:rsid w:val="000B3498"/>
    <w:rsid w:val="000D19D9"/>
    <w:rsid w:val="000E00AF"/>
    <w:rsid w:val="000E130C"/>
    <w:rsid w:val="000E5B20"/>
    <w:rsid w:val="000E660C"/>
    <w:rsid w:val="000F7E92"/>
    <w:rsid w:val="001474D9"/>
    <w:rsid w:val="001525BE"/>
    <w:rsid w:val="00154014"/>
    <w:rsid w:val="001549F7"/>
    <w:rsid w:val="00160C2F"/>
    <w:rsid w:val="001966EA"/>
    <w:rsid w:val="001B4044"/>
    <w:rsid w:val="001D0D56"/>
    <w:rsid w:val="001D7776"/>
    <w:rsid w:val="001E1EFC"/>
    <w:rsid w:val="001E2CB6"/>
    <w:rsid w:val="001F3FE9"/>
    <w:rsid w:val="0022137D"/>
    <w:rsid w:val="00226762"/>
    <w:rsid w:val="00237C0B"/>
    <w:rsid w:val="00246AA7"/>
    <w:rsid w:val="00275B82"/>
    <w:rsid w:val="002776F7"/>
    <w:rsid w:val="002A31FC"/>
    <w:rsid w:val="002B1CA2"/>
    <w:rsid w:val="002C482B"/>
    <w:rsid w:val="002C7736"/>
    <w:rsid w:val="00305D60"/>
    <w:rsid w:val="0033022F"/>
    <w:rsid w:val="00340F74"/>
    <w:rsid w:val="00341B16"/>
    <w:rsid w:val="00344267"/>
    <w:rsid w:val="003567CF"/>
    <w:rsid w:val="0036206F"/>
    <w:rsid w:val="00362903"/>
    <w:rsid w:val="0038298E"/>
    <w:rsid w:val="003A0756"/>
    <w:rsid w:val="003A167F"/>
    <w:rsid w:val="003C4DFF"/>
    <w:rsid w:val="003C7306"/>
    <w:rsid w:val="003D3C13"/>
    <w:rsid w:val="003D4904"/>
    <w:rsid w:val="003E77B0"/>
    <w:rsid w:val="003F12EB"/>
    <w:rsid w:val="003F1702"/>
    <w:rsid w:val="00402645"/>
    <w:rsid w:val="004037C9"/>
    <w:rsid w:val="00427C21"/>
    <w:rsid w:val="0044155F"/>
    <w:rsid w:val="00450423"/>
    <w:rsid w:val="004A766F"/>
    <w:rsid w:val="004A7A83"/>
    <w:rsid w:val="004B1F27"/>
    <w:rsid w:val="004E2C6D"/>
    <w:rsid w:val="004E7B62"/>
    <w:rsid w:val="00500C78"/>
    <w:rsid w:val="005033BF"/>
    <w:rsid w:val="00511A61"/>
    <w:rsid w:val="00537941"/>
    <w:rsid w:val="0054146C"/>
    <w:rsid w:val="0056763B"/>
    <w:rsid w:val="00571234"/>
    <w:rsid w:val="005856A8"/>
    <w:rsid w:val="00596DEF"/>
    <w:rsid w:val="0059721D"/>
    <w:rsid w:val="005D5F07"/>
    <w:rsid w:val="005F66A0"/>
    <w:rsid w:val="006257DD"/>
    <w:rsid w:val="00650FEC"/>
    <w:rsid w:val="00652CF2"/>
    <w:rsid w:val="00657114"/>
    <w:rsid w:val="00657883"/>
    <w:rsid w:val="0066389F"/>
    <w:rsid w:val="00666175"/>
    <w:rsid w:val="00667D9B"/>
    <w:rsid w:val="006B025E"/>
    <w:rsid w:val="006B2568"/>
    <w:rsid w:val="006C0C6B"/>
    <w:rsid w:val="006D7935"/>
    <w:rsid w:val="006E44B6"/>
    <w:rsid w:val="006E7D88"/>
    <w:rsid w:val="006F0743"/>
    <w:rsid w:val="006F7517"/>
    <w:rsid w:val="00746D86"/>
    <w:rsid w:val="007660DE"/>
    <w:rsid w:val="007705E1"/>
    <w:rsid w:val="00772F70"/>
    <w:rsid w:val="0078005F"/>
    <w:rsid w:val="00785312"/>
    <w:rsid w:val="007A4E98"/>
    <w:rsid w:val="007C29E6"/>
    <w:rsid w:val="007C64A8"/>
    <w:rsid w:val="007D30B2"/>
    <w:rsid w:val="007D3C5A"/>
    <w:rsid w:val="007D56CE"/>
    <w:rsid w:val="007F0119"/>
    <w:rsid w:val="00825447"/>
    <w:rsid w:val="00825C1D"/>
    <w:rsid w:val="008A6776"/>
    <w:rsid w:val="008B733F"/>
    <w:rsid w:val="008C205A"/>
    <w:rsid w:val="008D1CE1"/>
    <w:rsid w:val="008E7407"/>
    <w:rsid w:val="008F0542"/>
    <w:rsid w:val="00917F1B"/>
    <w:rsid w:val="00947504"/>
    <w:rsid w:val="00950E94"/>
    <w:rsid w:val="00965264"/>
    <w:rsid w:val="0097334D"/>
    <w:rsid w:val="00982F23"/>
    <w:rsid w:val="009B54C4"/>
    <w:rsid w:val="009C4C9A"/>
    <w:rsid w:val="009D3119"/>
    <w:rsid w:val="009D44C9"/>
    <w:rsid w:val="00A5422C"/>
    <w:rsid w:val="00A62234"/>
    <w:rsid w:val="00A63CC8"/>
    <w:rsid w:val="00A84478"/>
    <w:rsid w:val="00A91AE5"/>
    <w:rsid w:val="00A933EA"/>
    <w:rsid w:val="00A9618C"/>
    <w:rsid w:val="00AB1F84"/>
    <w:rsid w:val="00AB2956"/>
    <w:rsid w:val="00AB2C6D"/>
    <w:rsid w:val="00AB3935"/>
    <w:rsid w:val="00AC7285"/>
    <w:rsid w:val="00AD00D0"/>
    <w:rsid w:val="00AD2A85"/>
    <w:rsid w:val="00AF0686"/>
    <w:rsid w:val="00B17D9A"/>
    <w:rsid w:val="00B321B0"/>
    <w:rsid w:val="00B447F2"/>
    <w:rsid w:val="00B47C75"/>
    <w:rsid w:val="00B90193"/>
    <w:rsid w:val="00BA2140"/>
    <w:rsid w:val="00BA22E9"/>
    <w:rsid w:val="00BC0E98"/>
    <w:rsid w:val="00BC7B8F"/>
    <w:rsid w:val="00BC7C8D"/>
    <w:rsid w:val="00BD1B0A"/>
    <w:rsid w:val="00BF089D"/>
    <w:rsid w:val="00BF77F4"/>
    <w:rsid w:val="00C04045"/>
    <w:rsid w:val="00C14473"/>
    <w:rsid w:val="00C26818"/>
    <w:rsid w:val="00C31E92"/>
    <w:rsid w:val="00C328D9"/>
    <w:rsid w:val="00C50339"/>
    <w:rsid w:val="00C74871"/>
    <w:rsid w:val="00C85F78"/>
    <w:rsid w:val="00C946DB"/>
    <w:rsid w:val="00CC4647"/>
    <w:rsid w:val="00CC7305"/>
    <w:rsid w:val="00CE4446"/>
    <w:rsid w:val="00CE541F"/>
    <w:rsid w:val="00D02588"/>
    <w:rsid w:val="00D163F8"/>
    <w:rsid w:val="00D219A2"/>
    <w:rsid w:val="00D704FB"/>
    <w:rsid w:val="00D751EF"/>
    <w:rsid w:val="00D77B35"/>
    <w:rsid w:val="00DB11DB"/>
    <w:rsid w:val="00DD7A30"/>
    <w:rsid w:val="00DF6C37"/>
    <w:rsid w:val="00DF7037"/>
    <w:rsid w:val="00E21318"/>
    <w:rsid w:val="00E226A0"/>
    <w:rsid w:val="00E3676C"/>
    <w:rsid w:val="00E548E4"/>
    <w:rsid w:val="00E728D7"/>
    <w:rsid w:val="00E73503"/>
    <w:rsid w:val="00EA1169"/>
    <w:rsid w:val="00EC59A6"/>
    <w:rsid w:val="00EE45AA"/>
    <w:rsid w:val="00EE6B6D"/>
    <w:rsid w:val="00EF1755"/>
    <w:rsid w:val="00F23989"/>
    <w:rsid w:val="00F322D3"/>
    <w:rsid w:val="00F37BD0"/>
    <w:rsid w:val="00F51D55"/>
    <w:rsid w:val="00F63E23"/>
    <w:rsid w:val="00F70522"/>
    <w:rsid w:val="00F9728D"/>
    <w:rsid w:val="00FA7A93"/>
    <w:rsid w:val="00FD2DB3"/>
    <w:rsid w:val="00FD47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F2"/>
    <w:rPr>
      <w:sz w:val="24"/>
      <w:szCs w:val="24"/>
    </w:rPr>
  </w:style>
  <w:style w:type="paragraph" w:styleId="Heading5">
    <w:name w:val="heading 5"/>
    <w:basedOn w:val="Normal"/>
    <w:next w:val="Normal"/>
    <w:qFormat/>
    <w:rsid w:val="00B447F2"/>
    <w:pPr>
      <w:spacing w:before="240" w:after="60"/>
      <w:outlineLvl w:val="4"/>
    </w:pPr>
    <w:rPr>
      <w:rFonts w:ascii="RimTimes" w:hAnsi="RimTimes"/>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447F2"/>
    <w:pPr>
      <w:spacing w:after="120" w:line="480" w:lineRule="auto"/>
    </w:pPr>
  </w:style>
  <w:style w:type="paragraph" w:styleId="Header">
    <w:name w:val="header"/>
    <w:basedOn w:val="Normal"/>
    <w:rsid w:val="00B447F2"/>
    <w:pPr>
      <w:tabs>
        <w:tab w:val="center" w:pos="4153"/>
        <w:tab w:val="right" w:pos="8306"/>
      </w:tabs>
    </w:pPr>
    <w:rPr>
      <w:lang w:val="en-GB" w:eastAsia="en-US"/>
    </w:rPr>
  </w:style>
  <w:style w:type="character" w:styleId="PageNumber">
    <w:name w:val="page number"/>
    <w:basedOn w:val="DefaultParagraphFont"/>
    <w:rsid w:val="00B447F2"/>
  </w:style>
  <w:style w:type="paragraph" w:styleId="Footer">
    <w:name w:val="footer"/>
    <w:basedOn w:val="Normal"/>
    <w:rsid w:val="00B447F2"/>
    <w:pPr>
      <w:tabs>
        <w:tab w:val="center" w:pos="4153"/>
        <w:tab w:val="right" w:pos="8306"/>
      </w:tabs>
    </w:pPr>
  </w:style>
  <w:style w:type="paragraph" w:styleId="BodyText">
    <w:name w:val="Body Text"/>
    <w:basedOn w:val="Normal"/>
    <w:rsid w:val="00B447F2"/>
    <w:pPr>
      <w:spacing w:after="120"/>
    </w:pPr>
  </w:style>
  <w:style w:type="character" w:styleId="Hyperlink">
    <w:name w:val="Hyperlink"/>
    <w:rsid w:val="00B447F2"/>
    <w:rPr>
      <w:color w:val="0000FF"/>
      <w:u w:val="single"/>
    </w:rPr>
  </w:style>
  <w:style w:type="paragraph" w:customStyle="1" w:styleId="EntEmet">
    <w:name w:val="EntEmet"/>
    <w:basedOn w:val="Normal"/>
    <w:rsid w:val="00B447F2"/>
    <w:pPr>
      <w:widowControl w:val="0"/>
      <w:tabs>
        <w:tab w:val="left" w:pos="284"/>
        <w:tab w:val="left" w:pos="567"/>
        <w:tab w:val="left" w:pos="851"/>
        <w:tab w:val="left" w:pos="1134"/>
        <w:tab w:val="left" w:pos="1418"/>
      </w:tabs>
      <w:spacing w:before="40"/>
    </w:pPr>
    <w:rPr>
      <w:szCs w:val="20"/>
      <w:lang w:val="en-GB" w:eastAsia="fr-BE"/>
    </w:rPr>
  </w:style>
  <w:style w:type="paragraph" w:styleId="BodyText3">
    <w:name w:val="Body Text 3"/>
    <w:basedOn w:val="Normal"/>
    <w:rsid w:val="00B447F2"/>
    <w:pPr>
      <w:spacing w:after="120"/>
    </w:pPr>
    <w:rPr>
      <w:sz w:val="16"/>
      <w:szCs w:val="16"/>
    </w:rPr>
  </w:style>
  <w:style w:type="character" w:styleId="Strong">
    <w:name w:val="Strong"/>
    <w:qFormat/>
    <w:rsid w:val="00B447F2"/>
    <w:rPr>
      <w:b/>
      <w:bCs/>
    </w:rPr>
  </w:style>
  <w:style w:type="paragraph" w:customStyle="1" w:styleId="Prliminairetype">
    <w:name w:val="Préliminaire type"/>
    <w:basedOn w:val="Normal"/>
    <w:next w:val="Normal"/>
    <w:rsid w:val="004A7A83"/>
    <w:pPr>
      <w:spacing w:before="360"/>
      <w:jc w:val="center"/>
    </w:pPr>
    <w:rPr>
      <w:b/>
      <w:szCs w:val="20"/>
      <w:lang w:eastAsia="zh-CN"/>
    </w:rPr>
  </w:style>
  <w:style w:type="paragraph" w:customStyle="1" w:styleId="NormalWeb8">
    <w:name w:val="Normal (Web)8"/>
    <w:basedOn w:val="Normal"/>
    <w:rsid w:val="002C482B"/>
    <w:pPr>
      <w:spacing w:before="75" w:after="75"/>
      <w:ind w:left="225" w:right="225"/>
    </w:pPr>
    <w:rPr>
      <w:sz w:val="22"/>
      <w:szCs w:val="22"/>
    </w:rPr>
  </w:style>
  <w:style w:type="paragraph" w:customStyle="1" w:styleId="Text1">
    <w:name w:val="Text 1"/>
    <w:basedOn w:val="Normal"/>
    <w:rsid w:val="00FD4795"/>
    <w:pPr>
      <w:spacing w:before="120" w:after="120"/>
      <w:ind w:left="850"/>
      <w:jc w:val="both"/>
    </w:pPr>
    <w:rPr>
      <w:szCs w:val="20"/>
      <w:lang w:eastAsia="en-US"/>
    </w:rPr>
  </w:style>
  <w:style w:type="paragraph" w:styleId="BalloonText">
    <w:name w:val="Balloon Text"/>
    <w:basedOn w:val="Normal"/>
    <w:semiHidden/>
    <w:rsid w:val="00402645"/>
    <w:rPr>
      <w:rFonts w:ascii="Tahoma" w:hAnsi="Tahoma" w:cs="Tahoma"/>
      <w:sz w:val="16"/>
      <w:szCs w:val="16"/>
    </w:rPr>
  </w:style>
  <w:style w:type="table" w:styleId="TableGrid">
    <w:name w:val="Table Grid"/>
    <w:basedOn w:val="TableNormal"/>
    <w:uiPriority w:val="59"/>
    <w:rsid w:val="006F751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328D9"/>
    <w:rPr>
      <w:sz w:val="20"/>
      <w:szCs w:val="20"/>
    </w:rPr>
  </w:style>
  <w:style w:type="character" w:customStyle="1" w:styleId="FootnoteTextChar">
    <w:name w:val="Footnote Text Char"/>
    <w:basedOn w:val="DefaultParagraphFont"/>
    <w:link w:val="FootnoteText"/>
    <w:uiPriority w:val="99"/>
    <w:semiHidden/>
    <w:rsid w:val="00C328D9"/>
  </w:style>
  <w:style w:type="character" w:styleId="FootnoteReference">
    <w:name w:val="footnote reference"/>
    <w:basedOn w:val="DefaultParagraphFont"/>
    <w:uiPriority w:val="99"/>
    <w:semiHidden/>
    <w:unhideWhenUsed/>
    <w:rsid w:val="00C328D9"/>
    <w:rPr>
      <w:vertAlign w:val="superscript"/>
    </w:rPr>
  </w:style>
  <w:style w:type="paragraph" w:styleId="Revision">
    <w:name w:val="Revision"/>
    <w:hidden/>
    <w:uiPriority w:val="99"/>
    <w:semiHidden/>
    <w:rsid w:val="003567CF"/>
    <w:rPr>
      <w:sz w:val="24"/>
      <w:szCs w:val="24"/>
    </w:rPr>
  </w:style>
  <w:style w:type="character" w:styleId="CommentReference">
    <w:name w:val="annotation reference"/>
    <w:basedOn w:val="DefaultParagraphFont"/>
    <w:uiPriority w:val="99"/>
    <w:semiHidden/>
    <w:unhideWhenUsed/>
    <w:rsid w:val="00F63E23"/>
    <w:rPr>
      <w:sz w:val="16"/>
      <w:szCs w:val="16"/>
    </w:rPr>
  </w:style>
  <w:style w:type="paragraph" w:styleId="CommentText">
    <w:name w:val="annotation text"/>
    <w:basedOn w:val="Normal"/>
    <w:link w:val="CommentTextChar"/>
    <w:uiPriority w:val="99"/>
    <w:semiHidden/>
    <w:unhideWhenUsed/>
    <w:rsid w:val="00F63E23"/>
    <w:rPr>
      <w:sz w:val="20"/>
      <w:szCs w:val="20"/>
    </w:rPr>
  </w:style>
  <w:style w:type="character" w:customStyle="1" w:styleId="CommentTextChar">
    <w:name w:val="Comment Text Char"/>
    <w:basedOn w:val="DefaultParagraphFont"/>
    <w:link w:val="CommentText"/>
    <w:uiPriority w:val="99"/>
    <w:semiHidden/>
    <w:rsid w:val="00F63E23"/>
  </w:style>
  <w:style w:type="paragraph" w:styleId="CommentSubject">
    <w:name w:val="annotation subject"/>
    <w:basedOn w:val="CommentText"/>
    <w:next w:val="CommentText"/>
    <w:link w:val="CommentSubjectChar"/>
    <w:uiPriority w:val="99"/>
    <w:semiHidden/>
    <w:unhideWhenUsed/>
    <w:rsid w:val="00F63E23"/>
    <w:rPr>
      <w:b/>
      <w:bCs/>
    </w:rPr>
  </w:style>
  <w:style w:type="character" w:customStyle="1" w:styleId="CommentSubjectChar">
    <w:name w:val="Comment Subject Char"/>
    <w:basedOn w:val="CommentTextChar"/>
    <w:link w:val="CommentSubject"/>
    <w:uiPriority w:val="99"/>
    <w:semiHidden/>
    <w:rsid w:val="00F63E23"/>
    <w:rPr>
      <w:b/>
      <w:bCs/>
    </w:rPr>
  </w:style>
  <w:style w:type="paragraph" w:customStyle="1" w:styleId="naiskr">
    <w:name w:val="naiskr"/>
    <w:basedOn w:val="Normal"/>
    <w:rsid w:val="00EA11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47F2"/>
    <w:rPr>
      <w:sz w:val="24"/>
      <w:szCs w:val="24"/>
    </w:rPr>
  </w:style>
  <w:style w:type="paragraph" w:styleId="Virsraksts5">
    <w:name w:val="heading 5"/>
    <w:basedOn w:val="Parasts"/>
    <w:next w:val="Parasts"/>
    <w:qFormat/>
    <w:rsid w:val="00B447F2"/>
    <w:pPr>
      <w:spacing w:before="240" w:after="60"/>
      <w:outlineLvl w:val="4"/>
    </w:pPr>
    <w:rPr>
      <w:rFonts w:ascii="RimTimes" w:hAnsi="RimTimes"/>
      <w:b/>
      <w:bCs/>
      <w:i/>
      <w:iCs/>
      <w:sz w:val="26"/>
      <w:szCs w:val="26"/>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rsid w:val="00B447F2"/>
    <w:pPr>
      <w:spacing w:after="120" w:line="480" w:lineRule="auto"/>
    </w:pPr>
  </w:style>
  <w:style w:type="paragraph" w:styleId="Galvene">
    <w:name w:val="header"/>
    <w:basedOn w:val="Parasts"/>
    <w:rsid w:val="00B447F2"/>
    <w:pPr>
      <w:tabs>
        <w:tab w:val="center" w:pos="4153"/>
        <w:tab w:val="right" w:pos="8306"/>
      </w:tabs>
    </w:pPr>
    <w:rPr>
      <w:lang w:val="en-GB" w:eastAsia="en-US"/>
    </w:rPr>
  </w:style>
  <w:style w:type="character" w:styleId="Lappusesnumurs">
    <w:name w:val="page number"/>
    <w:basedOn w:val="Noklusjumarindkopasfonts"/>
    <w:rsid w:val="00B447F2"/>
  </w:style>
  <w:style w:type="paragraph" w:styleId="Kjene">
    <w:name w:val="footer"/>
    <w:basedOn w:val="Parasts"/>
    <w:rsid w:val="00B447F2"/>
    <w:pPr>
      <w:tabs>
        <w:tab w:val="center" w:pos="4153"/>
        <w:tab w:val="right" w:pos="8306"/>
      </w:tabs>
    </w:pPr>
  </w:style>
  <w:style w:type="paragraph" w:styleId="Pamatteksts">
    <w:name w:val="Body Text"/>
    <w:basedOn w:val="Parasts"/>
    <w:rsid w:val="00B447F2"/>
    <w:pPr>
      <w:spacing w:after="120"/>
    </w:pPr>
  </w:style>
  <w:style w:type="character" w:styleId="Hipersaite">
    <w:name w:val="Hyperlink"/>
    <w:rsid w:val="00B447F2"/>
    <w:rPr>
      <w:color w:val="0000FF"/>
      <w:u w:val="single"/>
    </w:rPr>
  </w:style>
  <w:style w:type="paragraph" w:customStyle="1" w:styleId="EntEmet">
    <w:name w:val="EntEmet"/>
    <w:basedOn w:val="Parasts"/>
    <w:rsid w:val="00B447F2"/>
    <w:pPr>
      <w:widowControl w:val="0"/>
      <w:tabs>
        <w:tab w:val="left" w:pos="284"/>
        <w:tab w:val="left" w:pos="567"/>
        <w:tab w:val="left" w:pos="851"/>
        <w:tab w:val="left" w:pos="1134"/>
        <w:tab w:val="left" w:pos="1418"/>
      </w:tabs>
      <w:spacing w:before="40"/>
    </w:pPr>
    <w:rPr>
      <w:szCs w:val="20"/>
      <w:lang w:val="en-GB" w:eastAsia="fr-BE"/>
    </w:rPr>
  </w:style>
  <w:style w:type="paragraph" w:styleId="Pamatteksts3">
    <w:name w:val="Body Text 3"/>
    <w:basedOn w:val="Parasts"/>
    <w:rsid w:val="00B447F2"/>
    <w:pPr>
      <w:spacing w:after="120"/>
    </w:pPr>
    <w:rPr>
      <w:sz w:val="16"/>
      <w:szCs w:val="16"/>
    </w:rPr>
  </w:style>
  <w:style w:type="character" w:styleId="Izteiksmgs">
    <w:name w:val="Strong"/>
    <w:qFormat/>
    <w:rsid w:val="00B447F2"/>
    <w:rPr>
      <w:b/>
      <w:bCs/>
    </w:rPr>
  </w:style>
  <w:style w:type="paragraph" w:customStyle="1" w:styleId="Prliminairetype">
    <w:name w:val="Préliminaire type"/>
    <w:basedOn w:val="Parasts"/>
    <w:next w:val="Parasts"/>
    <w:rsid w:val="004A7A83"/>
    <w:pPr>
      <w:spacing w:before="360"/>
      <w:jc w:val="center"/>
    </w:pPr>
    <w:rPr>
      <w:b/>
      <w:szCs w:val="20"/>
      <w:lang w:eastAsia="zh-CN"/>
    </w:rPr>
  </w:style>
  <w:style w:type="paragraph" w:customStyle="1" w:styleId="NormalWeb8">
    <w:name w:val="Normal (Web)8"/>
    <w:basedOn w:val="Parasts"/>
    <w:rsid w:val="002C482B"/>
    <w:pPr>
      <w:spacing w:before="75" w:after="75"/>
      <w:ind w:left="225" w:right="225"/>
    </w:pPr>
    <w:rPr>
      <w:sz w:val="22"/>
      <w:szCs w:val="22"/>
    </w:rPr>
  </w:style>
  <w:style w:type="paragraph" w:customStyle="1" w:styleId="Text1">
    <w:name w:val="Text 1"/>
    <w:basedOn w:val="Parasts"/>
    <w:rsid w:val="00FD4795"/>
    <w:pPr>
      <w:spacing w:before="120" w:after="120"/>
      <w:ind w:left="850"/>
      <w:jc w:val="both"/>
    </w:pPr>
    <w:rPr>
      <w:szCs w:val="20"/>
      <w:lang w:eastAsia="en-US"/>
    </w:rPr>
  </w:style>
  <w:style w:type="paragraph" w:styleId="Balonteksts">
    <w:name w:val="Balloon Text"/>
    <w:basedOn w:val="Parasts"/>
    <w:semiHidden/>
    <w:rsid w:val="00402645"/>
    <w:rPr>
      <w:rFonts w:ascii="Tahoma" w:hAnsi="Tahoma" w:cs="Tahoma"/>
      <w:sz w:val="16"/>
      <w:szCs w:val="16"/>
    </w:rPr>
  </w:style>
  <w:style w:type="table" w:styleId="Reatabula">
    <w:name w:val="Table Grid"/>
    <w:basedOn w:val="Parastatabula"/>
    <w:uiPriority w:val="59"/>
    <w:rsid w:val="006F751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resteksts">
    <w:name w:val="footnote text"/>
    <w:basedOn w:val="Parasts"/>
    <w:link w:val="VrestekstsRakstz"/>
    <w:uiPriority w:val="99"/>
    <w:semiHidden/>
    <w:unhideWhenUsed/>
    <w:rsid w:val="00C328D9"/>
    <w:rPr>
      <w:sz w:val="20"/>
      <w:szCs w:val="20"/>
    </w:rPr>
  </w:style>
  <w:style w:type="character" w:customStyle="1" w:styleId="VrestekstsRakstz">
    <w:name w:val="Vēres teksts Rakstz."/>
    <w:basedOn w:val="Noklusjumarindkopasfonts"/>
    <w:link w:val="Vresteksts"/>
    <w:uiPriority w:val="99"/>
    <w:semiHidden/>
    <w:rsid w:val="00C328D9"/>
  </w:style>
  <w:style w:type="character" w:styleId="Vresatsauce">
    <w:name w:val="footnote reference"/>
    <w:basedOn w:val="Noklusjumarindkopasfonts"/>
    <w:uiPriority w:val="99"/>
    <w:semiHidden/>
    <w:unhideWhenUsed/>
    <w:rsid w:val="00C328D9"/>
    <w:rPr>
      <w:vertAlign w:val="superscript"/>
    </w:rPr>
  </w:style>
  <w:style w:type="paragraph" w:styleId="Prskatjums">
    <w:name w:val="Revision"/>
    <w:hidden/>
    <w:uiPriority w:val="99"/>
    <w:semiHidden/>
    <w:rsid w:val="003567CF"/>
    <w:rPr>
      <w:sz w:val="24"/>
      <w:szCs w:val="24"/>
    </w:rPr>
  </w:style>
  <w:style w:type="character" w:styleId="Komentraatsauce">
    <w:name w:val="annotation reference"/>
    <w:basedOn w:val="Noklusjumarindkopasfonts"/>
    <w:uiPriority w:val="99"/>
    <w:semiHidden/>
    <w:unhideWhenUsed/>
    <w:rsid w:val="00F63E23"/>
    <w:rPr>
      <w:sz w:val="16"/>
      <w:szCs w:val="16"/>
    </w:rPr>
  </w:style>
  <w:style w:type="paragraph" w:styleId="Komentrateksts">
    <w:name w:val="annotation text"/>
    <w:basedOn w:val="Parasts"/>
    <w:link w:val="KomentratekstsRakstz"/>
    <w:uiPriority w:val="99"/>
    <w:semiHidden/>
    <w:unhideWhenUsed/>
    <w:rsid w:val="00F63E23"/>
    <w:rPr>
      <w:sz w:val="20"/>
      <w:szCs w:val="20"/>
    </w:rPr>
  </w:style>
  <w:style w:type="character" w:customStyle="1" w:styleId="KomentratekstsRakstz">
    <w:name w:val="Komentāra teksts Rakstz."/>
    <w:basedOn w:val="Noklusjumarindkopasfonts"/>
    <w:link w:val="Komentrateksts"/>
    <w:uiPriority w:val="99"/>
    <w:semiHidden/>
    <w:rsid w:val="00F63E23"/>
  </w:style>
  <w:style w:type="paragraph" w:styleId="Komentratma">
    <w:name w:val="annotation subject"/>
    <w:basedOn w:val="Komentrateksts"/>
    <w:next w:val="Komentrateksts"/>
    <w:link w:val="KomentratmaRakstz"/>
    <w:uiPriority w:val="99"/>
    <w:semiHidden/>
    <w:unhideWhenUsed/>
    <w:rsid w:val="00F63E23"/>
    <w:rPr>
      <w:b/>
      <w:bCs/>
    </w:rPr>
  </w:style>
  <w:style w:type="character" w:customStyle="1" w:styleId="KomentratmaRakstz">
    <w:name w:val="Komentāra tēma Rakstz."/>
    <w:basedOn w:val="KomentratekstsRakstz"/>
    <w:link w:val="Komentratma"/>
    <w:uiPriority w:val="99"/>
    <w:semiHidden/>
    <w:rsid w:val="00F63E23"/>
    <w:rPr>
      <w:b/>
      <w:bCs/>
    </w:rPr>
  </w:style>
  <w:style w:type="paragraph" w:customStyle="1" w:styleId="naiskr">
    <w:name w:val="naiskr"/>
    <w:basedOn w:val="Parasts"/>
    <w:rsid w:val="00EA11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B0E3E-5B35-4956-BDB0-7F883608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1314</Words>
  <Characters>9539</Characters>
  <Application>Microsoft Office Word</Application>
  <DocSecurity>0</DocSecurity>
  <Lines>79</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izziņa siestādes, prokuratūras vai tiesas nelikumīgas vai nepamatotas rīcības rezultātā nodarīto zaudējumu atlīdzināšanu</vt:lpstr>
      <vt:lpstr>Informatīvais ziņojums</vt:lpstr>
    </vt:vector>
  </TitlesOfParts>
  <Company>Tieslietu ministrija</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izziņa siestādes, prokuratūras vai tiesas nelikumīgas vai nepamatotas rīcības rezultātā nodarīto zaudējumu atlīdzināšanu</dc:title>
  <dc:subject>Informatīvais ziņojums</dc:subject>
  <dc:creator>Lāsma Dilba</dc:creator>
  <dc:description>Lasma.Dilba@tm.gov.lv _x000d_
tel.67036736</dc:description>
  <cp:lastModifiedBy>ld1201</cp:lastModifiedBy>
  <cp:revision>3</cp:revision>
  <cp:lastPrinted>2012-06-07T13:26:00Z</cp:lastPrinted>
  <dcterms:created xsi:type="dcterms:W3CDTF">2012-06-28T11:23:00Z</dcterms:created>
  <dcterms:modified xsi:type="dcterms:W3CDTF">2012-06-28T11:24:00Z</dcterms:modified>
</cp:coreProperties>
</file>