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1" w:rsidRPr="000E3A1F" w:rsidRDefault="000917E1" w:rsidP="000917E1">
      <w:pPr>
        <w:jc w:val="center"/>
        <w:rPr>
          <w:b/>
          <w:sz w:val="28"/>
          <w:szCs w:val="28"/>
        </w:rPr>
      </w:pPr>
      <w:r w:rsidRPr="000E3A1F">
        <w:rPr>
          <w:b/>
          <w:sz w:val="28"/>
          <w:szCs w:val="28"/>
        </w:rPr>
        <w:t>Informatīvais ziņojums</w:t>
      </w:r>
    </w:p>
    <w:p w:rsidR="000917E1" w:rsidRPr="000E3A1F" w:rsidRDefault="000917E1" w:rsidP="000917E1">
      <w:pPr>
        <w:jc w:val="center"/>
        <w:rPr>
          <w:b/>
          <w:sz w:val="28"/>
          <w:szCs w:val="28"/>
        </w:rPr>
      </w:pPr>
    </w:p>
    <w:p w:rsidR="000917E1" w:rsidRPr="000E3A1F" w:rsidRDefault="000917E1" w:rsidP="000917E1">
      <w:pPr>
        <w:jc w:val="center"/>
        <w:rPr>
          <w:b/>
          <w:sz w:val="28"/>
          <w:szCs w:val="28"/>
        </w:rPr>
      </w:pPr>
      <w:r w:rsidRPr="000E3A1F">
        <w:rPr>
          <w:b/>
          <w:sz w:val="28"/>
          <w:szCs w:val="28"/>
        </w:rPr>
        <w:t xml:space="preserve">par Latvijas nacionālo pozīciju par Eiropas Komisijas priekšlikumu Padomes regulai par </w:t>
      </w:r>
      <w:r w:rsidR="00B41340">
        <w:rPr>
          <w:b/>
          <w:sz w:val="28"/>
          <w:szCs w:val="28"/>
        </w:rPr>
        <w:t>Eiropas nodibinājuma</w:t>
      </w:r>
      <w:r w:rsidR="00045717">
        <w:rPr>
          <w:b/>
          <w:sz w:val="28"/>
          <w:szCs w:val="28"/>
        </w:rPr>
        <w:t xml:space="preserve"> </w:t>
      </w:r>
      <w:r w:rsidR="00B41340">
        <w:rPr>
          <w:b/>
          <w:sz w:val="28"/>
          <w:szCs w:val="28"/>
        </w:rPr>
        <w:t>statūtiem</w:t>
      </w:r>
    </w:p>
    <w:p w:rsidR="000917E1" w:rsidRPr="000E3A1F" w:rsidRDefault="000917E1" w:rsidP="000917E1">
      <w:pPr>
        <w:jc w:val="both"/>
        <w:rPr>
          <w:b/>
          <w:sz w:val="28"/>
          <w:szCs w:val="28"/>
        </w:rPr>
      </w:pPr>
    </w:p>
    <w:p w:rsidR="00841547" w:rsidRPr="00EC6AC7" w:rsidRDefault="0046786D" w:rsidP="00841547">
      <w:pPr>
        <w:autoSpaceDE w:val="0"/>
        <w:autoSpaceDN w:val="0"/>
        <w:adjustRightInd w:val="0"/>
        <w:ind w:firstLine="720"/>
        <w:jc w:val="both"/>
        <w:rPr>
          <w:sz w:val="28"/>
          <w:szCs w:val="28"/>
        </w:rPr>
      </w:pPr>
      <w:r>
        <w:rPr>
          <w:sz w:val="28"/>
          <w:szCs w:val="28"/>
        </w:rPr>
        <w:t xml:space="preserve">Eiropas </w:t>
      </w:r>
      <w:r w:rsidR="00045717" w:rsidRPr="00045717">
        <w:rPr>
          <w:sz w:val="28"/>
          <w:szCs w:val="28"/>
        </w:rPr>
        <w:t>Komisija</w:t>
      </w:r>
      <w:r>
        <w:rPr>
          <w:sz w:val="28"/>
          <w:szCs w:val="28"/>
        </w:rPr>
        <w:t xml:space="preserve"> (turpmāk – EK)</w:t>
      </w:r>
      <w:r w:rsidR="00045717" w:rsidRPr="00045717">
        <w:rPr>
          <w:sz w:val="28"/>
          <w:szCs w:val="28"/>
        </w:rPr>
        <w:t xml:space="preserve"> 2012.gada februārī publicēja priekšlikumu Padomes regulai par Eiropas nodibinājuma statūtiem</w:t>
      </w:r>
      <w:r>
        <w:rPr>
          <w:sz w:val="28"/>
          <w:szCs w:val="28"/>
        </w:rPr>
        <w:t xml:space="preserve"> (turpmāk – Regulas projekts)</w:t>
      </w:r>
      <w:r w:rsidR="00045717" w:rsidRPr="00045717">
        <w:rPr>
          <w:sz w:val="28"/>
          <w:szCs w:val="28"/>
        </w:rPr>
        <w:t>.</w:t>
      </w:r>
      <w:r w:rsidR="00045717">
        <w:rPr>
          <w:sz w:val="28"/>
          <w:szCs w:val="28"/>
        </w:rPr>
        <w:t xml:space="preserve"> </w:t>
      </w:r>
      <w:r w:rsidR="00841547">
        <w:rPr>
          <w:sz w:val="28"/>
          <w:szCs w:val="28"/>
        </w:rPr>
        <w:t>Šobrīd n</w:t>
      </w:r>
      <w:r w:rsidR="00841547" w:rsidRPr="00EC6AC7">
        <w:rPr>
          <w:rFonts w:ascii="TimesNewRoman" w:hAnsi="TimesNewRoman" w:cs="TimesNewRoman"/>
          <w:sz w:val="28"/>
          <w:szCs w:val="28"/>
          <w:lang w:eastAsia="lv-LV"/>
        </w:rPr>
        <w:t xml:space="preserve">odibinājumu sabiedriskā labuma darbību regulē </w:t>
      </w:r>
      <w:r w:rsidR="00841547">
        <w:rPr>
          <w:rFonts w:ascii="TimesNewRoman" w:hAnsi="TimesNewRoman" w:cs="TimesNewRoman"/>
          <w:sz w:val="28"/>
          <w:szCs w:val="28"/>
          <w:lang w:eastAsia="lv-LV"/>
        </w:rPr>
        <w:t>nacionālie</w:t>
      </w:r>
      <w:r w:rsidR="00841547" w:rsidRPr="00EC6AC7">
        <w:rPr>
          <w:rFonts w:ascii="TimesNewRoman" w:hAnsi="TimesNewRoman" w:cs="TimesNewRoman"/>
          <w:sz w:val="28"/>
          <w:szCs w:val="28"/>
          <w:lang w:eastAsia="lv-LV"/>
        </w:rPr>
        <w:t xml:space="preserve"> tiesību akti un E</w:t>
      </w:r>
      <w:r w:rsidR="00010AE7">
        <w:rPr>
          <w:rFonts w:ascii="TimesNewRoman" w:hAnsi="TimesNewRoman" w:cs="TimesNewRoman"/>
          <w:sz w:val="28"/>
          <w:szCs w:val="28"/>
          <w:lang w:eastAsia="lv-LV"/>
        </w:rPr>
        <w:t xml:space="preserve">iropas </w:t>
      </w:r>
      <w:r w:rsidR="00841547" w:rsidRPr="00EC6AC7">
        <w:rPr>
          <w:rFonts w:ascii="TimesNewRoman" w:hAnsi="TimesNewRoman" w:cs="TimesNewRoman"/>
          <w:sz w:val="28"/>
          <w:szCs w:val="28"/>
          <w:lang w:eastAsia="lv-LV"/>
        </w:rPr>
        <w:t>S</w:t>
      </w:r>
      <w:r w:rsidR="00010AE7">
        <w:rPr>
          <w:rFonts w:ascii="TimesNewRoman" w:hAnsi="TimesNewRoman" w:cs="TimesNewRoman"/>
          <w:sz w:val="28"/>
          <w:szCs w:val="28"/>
          <w:lang w:eastAsia="lv-LV"/>
        </w:rPr>
        <w:t>avienības (turpmāk – ES)</w:t>
      </w:r>
      <w:r w:rsidR="00841547" w:rsidRPr="00EC6AC7">
        <w:rPr>
          <w:rFonts w:ascii="TimesNewRoman" w:hAnsi="TimesNewRoman" w:cs="TimesNewRoman"/>
          <w:sz w:val="28"/>
          <w:szCs w:val="28"/>
          <w:lang w:eastAsia="lv-LV"/>
        </w:rPr>
        <w:t xml:space="preserve"> līmenī nav veikta to harmonizēšana. Civiltiesiskais un nodokļu regulējums atsevišķās dalībvalstīs ir būtiski atšķirīgs, kas sadārdzina un apgrūtina sabiedriskā labuma struktūru pārrobežu darījumus.</w:t>
      </w:r>
    </w:p>
    <w:p w:rsidR="00045717" w:rsidRPr="00A201CB" w:rsidRDefault="00045717" w:rsidP="00045717">
      <w:pPr>
        <w:autoSpaceDE w:val="0"/>
        <w:autoSpaceDN w:val="0"/>
        <w:adjustRightInd w:val="0"/>
        <w:ind w:firstLine="720"/>
        <w:jc w:val="both"/>
        <w:rPr>
          <w:sz w:val="28"/>
          <w:szCs w:val="28"/>
        </w:rPr>
      </w:pPr>
      <w:r w:rsidRPr="00045717">
        <w:rPr>
          <w:sz w:val="28"/>
          <w:szCs w:val="28"/>
        </w:rPr>
        <w:t>Priekšlikumu galvenais mērķis ir likvidēt šķēršļus, ar kuriem saskaras nodibinājumi, veicot pārrobežu darbīb</w:t>
      </w:r>
      <w:r w:rsidR="0046786D">
        <w:rPr>
          <w:sz w:val="28"/>
          <w:szCs w:val="28"/>
        </w:rPr>
        <w:t>as</w:t>
      </w:r>
      <w:r w:rsidRPr="00045717">
        <w:rPr>
          <w:sz w:val="28"/>
          <w:szCs w:val="28"/>
        </w:rPr>
        <w:t xml:space="preserve"> </w:t>
      </w:r>
      <w:r w:rsidR="0046786D">
        <w:rPr>
          <w:sz w:val="28"/>
          <w:szCs w:val="28"/>
        </w:rPr>
        <w:t>ES</w:t>
      </w:r>
      <w:r w:rsidRPr="00045717">
        <w:rPr>
          <w:sz w:val="28"/>
          <w:szCs w:val="28"/>
        </w:rPr>
        <w:t xml:space="preserve">, tostarp saistībā ar </w:t>
      </w:r>
      <w:r w:rsidRPr="00045717">
        <w:rPr>
          <w:sz w:val="28"/>
          <w:szCs w:val="28"/>
          <w:lang w:eastAsia="lv-LV"/>
        </w:rPr>
        <w:t>civiltiesisko un nodokļu regulējumu</w:t>
      </w:r>
      <w:r w:rsidR="00010AE7">
        <w:rPr>
          <w:sz w:val="28"/>
          <w:szCs w:val="28"/>
          <w:lang w:eastAsia="lv-LV"/>
        </w:rPr>
        <w:t xml:space="preserve">. Vienlaikus ir plānots noteikt </w:t>
      </w:r>
      <w:r w:rsidRPr="00045717">
        <w:rPr>
          <w:sz w:val="28"/>
          <w:szCs w:val="28"/>
          <w:lang w:eastAsia="lv-LV"/>
        </w:rPr>
        <w:t xml:space="preserve">juridisko formu, ko </w:t>
      </w:r>
      <w:r w:rsidR="00010AE7">
        <w:rPr>
          <w:sz w:val="28"/>
          <w:szCs w:val="28"/>
          <w:lang w:eastAsia="lv-LV"/>
        </w:rPr>
        <w:t>nodibinājumu dibinātāji</w:t>
      </w:r>
      <w:r w:rsidRPr="00045717">
        <w:rPr>
          <w:sz w:val="28"/>
          <w:szCs w:val="28"/>
          <w:lang w:eastAsia="lv-LV"/>
        </w:rPr>
        <w:t xml:space="preserve"> varētu izmantot savai darbībai</w:t>
      </w:r>
      <w:r w:rsidRPr="00A201CB">
        <w:rPr>
          <w:sz w:val="28"/>
          <w:szCs w:val="28"/>
          <w:lang w:eastAsia="lv-LV"/>
        </w:rPr>
        <w:t>, dibinot Eiropas nodibinājumu visā ES.</w:t>
      </w:r>
    </w:p>
    <w:p w:rsidR="00045717" w:rsidRPr="00A201CB" w:rsidRDefault="0046786D" w:rsidP="00045717">
      <w:pPr>
        <w:autoSpaceDE w:val="0"/>
        <w:autoSpaceDN w:val="0"/>
        <w:adjustRightInd w:val="0"/>
        <w:ind w:firstLine="720"/>
        <w:jc w:val="both"/>
        <w:rPr>
          <w:sz w:val="28"/>
          <w:szCs w:val="28"/>
        </w:rPr>
      </w:pPr>
      <w:r>
        <w:rPr>
          <w:sz w:val="28"/>
          <w:szCs w:val="28"/>
        </w:rPr>
        <w:t>Atbilstoši R</w:t>
      </w:r>
      <w:r w:rsidR="00045717" w:rsidRPr="00A201CB">
        <w:rPr>
          <w:sz w:val="28"/>
          <w:szCs w:val="28"/>
        </w:rPr>
        <w:t xml:space="preserve">egulas projektam Eiropas nodibinājuma aktīviem būtu jāatbilst noteiktai minimālajai vērtībai, lai ziedotāji un valsts iestādes uzskatītu, ka Eiropas nodibinājums ir drošs, Eiropas nodibinājums pierādītu sava mērķa nopietnību un nepieļautu juridiskās formas neatbilstīgu izmantojumu. Lai funkcionētu, Eiropas nodibinājumam būtu nepieciešams juridiskās personas statuss un pilna tiesībspēja un rīcībspēja visās dalībvalstīs. </w:t>
      </w:r>
      <w:r w:rsidR="00A201CB" w:rsidRPr="00A201CB">
        <w:rPr>
          <w:sz w:val="28"/>
          <w:szCs w:val="28"/>
        </w:rPr>
        <w:t xml:space="preserve">Saskaņā ar regulas projektu </w:t>
      </w:r>
      <w:r w:rsidR="00045717" w:rsidRPr="00A201CB">
        <w:rPr>
          <w:sz w:val="28"/>
          <w:szCs w:val="28"/>
        </w:rPr>
        <w:t xml:space="preserve">Eiropas nodibinājumam </w:t>
      </w:r>
      <w:r w:rsidR="00010AE7">
        <w:rPr>
          <w:sz w:val="28"/>
          <w:szCs w:val="28"/>
        </w:rPr>
        <w:t>jāatļauj</w:t>
      </w:r>
      <w:bookmarkStart w:id="0" w:name="_GoBack"/>
      <w:bookmarkEnd w:id="0"/>
      <w:r w:rsidR="00045717" w:rsidRPr="00A201CB">
        <w:rPr>
          <w:sz w:val="28"/>
          <w:szCs w:val="28"/>
        </w:rPr>
        <w:t xml:space="preserve"> veikt ekonomiskas darbības, vienlaikus nosakot atļautās nesaistītās ekonomiskās darbības apjomu.</w:t>
      </w:r>
      <w:r w:rsidR="00A201CB" w:rsidRPr="00A201CB">
        <w:rPr>
          <w:sz w:val="28"/>
          <w:szCs w:val="28"/>
        </w:rPr>
        <w:t xml:space="preserve"> Regulas projekts paredz, ka Eiropas nodibinājumam</w:t>
      </w:r>
      <w:r w:rsidR="00045717" w:rsidRPr="00A201CB">
        <w:rPr>
          <w:sz w:val="28"/>
          <w:szCs w:val="28"/>
        </w:rPr>
        <w:t xml:space="preserve"> vajadzētu būt tiesībām veikt uzņēmējdarbību Līguma par </w:t>
      </w:r>
      <w:r w:rsidR="00A201CB" w:rsidRPr="00A201CB">
        <w:rPr>
          <w:sz w:val="28"/>
          <w:szCs w:val="28"/>
        </w:rPr>
        <w:t>ES darbību 49. panta izpratnē un v</w:t>
      </w:r>
      <w:r w:rsidR="00045717" w:rsidRPr="00A201CB">
        <w:rPr>
          <w:sz w:val="28"/>
          <w:szCs w:val="28"/>
        </w:rPr>
        <w:t>ajadzētu būt iespējai</w:t>
      </w:r>
      <w:r w:rsidR="00A201CB" w:rsidRPr="00A201CB">
        <w:rPr>
          <w:sz w:val="28"/>
          <w:szCs w:val="28"/>
        </w:rPr>
        <w:t xml:space="preserve"> Eiropas nodibinājumu </w:t>
      </w:r>
      <w:r w:rsidR="00045717" w:rsidRPr="00A201CB">
        <w:rPr>
          <w:sz w:val="28"/>
          <w:szCs w:val="28"/>
        </w:rPr>
        <w:t>izveidot, dibinot jaunu subjektu (</w:t>
      </w:r>
      <w:proofErr w:type="spellStart"/>
      <w:r w:rsidR="00045717" w:rsidRPr="00A201CB">
        <w:rPr>
          <w:i/>
          <w:sz w:val="28"/>
          <w:szCs w:val="28"/>
        </w:rPr>
        <w:t>ex</w:t>
      </w:r>
      <w:proofErr w:type="spellEnd"/>
      <w:r w:rsidR="00045717" w:rsidRPr="00A201CB">
        <w:rPr>
          <w:i/>
          <w:sz w:val="28"/>
          <w:szCs w:val="28"/>
        </w:rPr>
        <w:t xml:space="preserve"> </w:t>
      </w:r>
      <w:proofErr w:type="spellStart"/>
      <w:r w:rsidR="00045717" w:rsidRPr="00A201CB">
        <w:rPr>
          <w:i/>
          <w:sz w:val="28"/>
          <w:szCs w:val="28"/>
        </w:rPr>
        <w:t>nihilo</w:t>
      </w:r>
      <w:proofErr w:type="spellEnd"/>
      <w:r w:rsidR="00045717" w:rsidRPr="00A201CB">
        <w:rPr>
          <w:sz w:val="28"/>
          <w:szCs w:val="28"/>
        </w:rPr>
        <w:t>) vai apvienojot valsts sabiedriskā labuma struktūras, vai pārveidojot valsts sabiedriskā labuma struktūras par</w:t>
      </w:r>
      <w:r w:rsidR="00A201CB" w:rsidRPr="00A201CB">
        <w:rPr>
          <w:sz w:val="28"/>
          <w:szCs w:val="28"/>
        </w:rPr>
        <w:t xml:space="preserve"> Eiropas nodibinājumu</w:t>
      </w:r>
      <w:r w:rsidR="00045717" w:rsidRPr="00A201CB">
        <w:rPr>
          <w:sz w:val="28"/>
          <w:szCs w:val="28"/>
        </w:rPr>
        <w:t xml:space="preserve">, regulā ietverot attiecīgo procedūru noteikumus. Reģistrācijas formalitātēm vajadzētu būt ierobežotām apmērā, kas nodrošina tiesisko noteiktību. Valstu reģistriem ir nosakāms pienākums informēt </w:t>
      </w:r>
      <w:r w:rsidR="00841547">
        <w:rPr>
          <w:sz w:val="28"/>
          <w:szCs w:val="28"/>
        </w:rPr>
        <w:t>EK</w:t>
      </w:r>
      <w:r w:rsidR="00045717" w:rsidRPr="00A201CB">
        <w:rPr>
          <w:sz w:val="28"/>
          <w:szCs w:val="28"/>
        </w:rPr>
        <w:t xml:space="preserve"> par reģistrētajiem</w:t>
      </w:r>
      <w:r w:rsidR="00A201CB" w:rsidRPr="00A201CB">
        <w:rPr>
          <w:sz w:val="28"/>
          <w:szCs w:val="28"/>
        </w:rPr>
        <w:t xml:space="preserve"> Eiropas nodibinājumiem</w:t>
      </w:r>
      <w:r w:rsidR="00045717" w:rsidRPr="00A201CB">
        <w:rPr>
          <w:sz w:val="28"/>
          <w:szCs w:val="28"/>
        </w:rPr>
        <w:t>.</w:t>
      </w:r>
    </w:p>
    <w:p w:rsidR="00045717" w:rsidRPr="00045717" w:rsidRDefault="00045717" w:rsidP="00045717">
      <w:pPr>
        <w:autoSpaceDE w:val="0"/>
        <w:autoSpaceDN w:val="0"/>
        <w:adjustRightInd w:val="0"/>
        <w:ind w:firstLine="720"/>
        <w:jc w:val="both"/>
        <w:rPr>
          <w:sz w:val="28"/>
          <w:szCs w:val="28"/>
        </w:rPr>
      </w:pPr>
      <w:r w:rsidRPr="00A201CB">
        <w:rPr>
          <w:sz w:val="28"/>
          <w:szCs w:val="28"/>
        </w:rPr>
        <w:t>Eiropas nodibinājumam būtu jāpiemēro minētajā</w:t>
      </w:r>
      <w:r w:rsidRPr="00045717">
        <w:rPr>
          <w:sz w:val="28"/>
          <w:szCs w:val="28"/>
        </w:rPr>
        <w:t xml:space="preserve"> regulā un Eiropas nodibinājuma statūtos noteiktās materiālo tiesību normas. Valsts tiesību normas būtu piemērojamas jomās, kuras netiek reglamentētas regulā vai Eiropas nodibinājuma statūtos.</w:t>
      </w:r>
      <w:r>
        <w:rPr>
          <w:sz w:val="28"/>
          <w:szCs w:val="28"/>
        </w:rPr>
        <w:t xml:space="preserve"> </w:t>
      </w:r>
      <w:r w:rsidRPr="00045717">
        <w:rPr>
          <w:sz w:val="28"/>
          <w:szCs w:val="28"/>
        </w:rPr>
        <w:t>Eiropas nodibinājumam būtu jāveicina tikai sabiedriskā labuma mērķi, kas nodrošina labumu plaši definētai labuma guvēju grupai. Lai nodrošinātu tiesisko noteiktību, sabiedriskā labuma mērķis būtu jādefinē, izmantojot visaptverošu mērķu uzskaitījumu.</w:t>
      </w:r>
    </w:p>
    <w:p w:rsidR="00045717" w:rsidRDefault="00045717" w:rsidP="00045717">
      <w:pPr>
        <w:autoSpaceDE w:val="0"/>
        <w:autoSpaceDN w:val="0"/>
        <w:adjustRightInd w:val="0"/>
        <w:ind w:firstLine="720"/>
        <w:jc w:val="both"/>
      </w:pPr>
    </w:p>
    <w:p w:rsidR="001474BA" w:rsidRPr="00841547" w:rsidRDefault="001474BA" w:rsidP="00841547">
      <w:pPr>
        <w:jc w:val="both"/>
        <w:rPr>
          <w:b/>
          <w:sz w:val="28"/>
          <w:szCs w:val="28"/>
        </w:rPr>
      </w:pPr>
      <w:r w:rsidRPr="00841547">
        <w:rPr>
          <w:b/>
          <w:sz w:val="28"/>
          <w:szCs w:val="28"/>
        </w:rPr>
        <w:t>Latvijas pozīcija</w:t>
      </w:r>
      <w:r w:rsidR="00841547" w:rsidRPr="00841547">
        <w:rPr>
          <w:b/>
          <w:sz w:val="28"/>
          <w:szCs w:val="28"/>
        </w:rPr>
        <w:t>:</w:t>
      </w:r>
    </w:p>
    <w:p w:rsidR="00841547" w:rsidRPr="00841547" w:rsidRDefault="00841547" w:rsidP="00841547">
      <w:pPr>
        <w:pStyle w:val="Parastais"/>
        <w:ind w:firstLine="720"/>
        <w:jc w:val="both"/>
        <w:rPr>
          <w:sz w:val="28"/>
          <w:szCs w:val="28"/>
          <w:lang w:val="lv-LV"/>
        </w:rPr>
      </w:pPr>
      <w:r w:rsidRPr="00841547">
        <w:rPr>
          <w:sz w:val="28"/>
          <w:szCs w:val="28"/>
          <w:lang w:val="lv-LV"/>
        </w:rPr>
        <w:t xml:space="preserve">Lai arī Latvija atzinīgi vērtē </w:t>
      </w:r>
      <w:r>
        <w:rPr>
          <w:sz w:val="28"/>
          <w:szCs w:val="28"/>
          <w:lang w:val="lv-LV"/>
        </w:rPr>
        <w:t>EK</w:t>
      </w:r>
      <w:r w:rsidRPr="00841547">
        <w:rPr>
          <w:sz w:val="28"/>
          <w:szCs w:val="28"/>
          <w:lang w:val="lv-LV"/>
        </w:rPr>
        <w:t xml:space="preserve"> centienus pārvarēt šķēršļus civiltiesību un nodokļu jomā, veicinot nodibinājumu izveidi un darbību vienotajā tirgu, ar šo </w:t>
      </w:r>
      <w:r w:rsidRPr="00841547">
        <w:rPr>
          <w:sz w:val="28"/>
          <w:szCs w:val="28"/>
          <w:lang w:val="lv-LV"/>
        </w:rPr>
        <w:lastRenderedPageBreak/>
        <w:t xml:space="preserve">iniciatīvu Eiropā radot jaunu juridisko formu, kas ļautu nodibinājumiem efektīvāk nodrošināt privāto finanšu plūsmu sabiedriskā labuma mērķiem ES, izmantojot pārrobežu darbības, tomēr Latvija ar piesardzību raugās uz Regulas projekta tālāku virzību. Latvija uzskata, ka efektīvs Regulas projektā norādītās situācijas risinājums ir panākams, nodrošinot efektīvu informācijas apriti starp iesaistītajām institūcijām un reģistriem, neveidojot jaunu juridisko formu – </w:t>
      </w:r>
      <w:r w:rsidR="00082B73" w:rsidRPr="00082B73">
        <w:rPr>
          <w:sz w:val="28"/>
          <w:szCs w:val="28"/>
          <w:lang w:val="lv-LV"/>
        </w:rPr>
        <w:t>Eiropas nodibinājumu</w:t>
      </w:r>
      <w:r w:rsidRPr="00082B73">
        <w:rPr>
          <w:sz w:val="28"/>
          <w:szCs w:val="28"/>
          <w:lang w:val="lv-LV"/>
        </w:rPr>
        <w:t>.</w:t>
      </w:r>
      <w:r w:rsidRPr="00841547">
        <w:rPr>
          <w:sz w:val="28"/>
          <w:szCs w:val="28"/>
          <w:lang w:val="lv-LV"/>
        </w:rPr>
        <w:t xml:space="preserve"> </w:t>
      </w:r>
    </w:p>
    <w:p w:rsidR="00841547" w:rsidRPr="00841547" w:rsidRDefault="00082B73" w:rsidP="00841547">
      <w:pPr>
        <w:ind w:firstLine="720"/>
        <w:jc w:val="both"/>
        <w:rPr>
          <w:sz w:val="28"/>
          <w:szCs w:val="28"/>
        </w:rPr>
      </w:pPr>
      <w:r>
        <w:rPr>
          <w:sz w:val="28"/>
          <w:szCs w:val="28"/>
        </w:rPr>
        <w:t xml:space="preserve">Vienlaicīgi </w:t>
      </w:r>
      <w:r w:rsidR="00BB3CDC" w:rsidRPr="00841547">
        <w:rPr>
          <w:sz w:val="28"/>
          <w:szCs w:val="28"/>
        </w:rPr>
        <w:t xml:space="preserve">Latvija pauž nostāju, ka, lai kādam tiesību subjektam noteiktu sabiedriskā labuma darbības statusu, ir nepieciešams vērtēt un iegūt pārliecību par tā iepriekšējā laika posmā veikto sabiedriskā labuma darbību. </w:t>
      </w:r>
    </w:p>
    <w:p w:rsidR="00BB3CDC" w:rsidRPr="00BB3CDC" w:rsidRDefault="00841547" w:rsidP="00841547">
      <w:pPr>
        <w:jc w:val="both"/>
        <w:rPr>
          <w:sz w:val="28"/>
          <w:szCs w:val="28"/>
        </w:rPr>
      </w:pPr>
      <w:r>
        <w:rPr>
          <w:sz w:val="28"/>
          <w:szCs w:val="28"/>
        </w:rPr>
        <w:tab/>
      </w:r>
      <w:r w:rsidR="00082B73">
        <w:rPr>
          <w:sz w:val="28"/>
          <w:szCs w:val="28"/>
        </w:rPr>
        <w:t>Tāpat</w:t>
      </w:r>
      <w:r w:rsidR="00BB3CDC" w:rsidRPr="00BB3CDC">
        <w:rPr>
          <w:sz w:val="28"/>
          <w:szCs w:val="28"/>
        </w:rPr>
        <w:t xml:space="preserve"> Latvija </w:t>
      </w:r>
      <w:r>
        <w:rPr>
          <w:sz w:val="28"/>
          <w:szCs w:val="28"/>
        </w:rPr>
        <w:t>piesardzīgi raugās uz</w:t>
      </w:r>
      <w:r w:rsidR="00BB3CDC" w:rsidRPr="00BB3CDC">
        <w:rPr>
          <w:sz w:val="28"/>
          <w:szCs w:val="28"/>
        </w:rPr>
        <w:t xml:space="preserve"> iespēju piemērot </w:t>
      </w:r>
      <w:r w:rsidR="00BB3CDC">
        <w:rPr>
          <w:sz w:val="28"/>
          <w:szCs w:val="28"/>
        </w:rPr>
        <w:t xml:space="preserve">valsts tiesību aktu prasības </w:t>
      </w:r>
      <w:r w:rsidR="00BB3CDC" w:rsidRPr="00BB3CDC">
        <w:rPr>
          <w:sz w:val="28"/>
          <w:szCs w:val="28"/>
        </w:rPr>
        <w:t>gadījumos, kas attiecīgajos regulas noteikumos nav noregulēti</w:t>
      </w:r>
      <w:r w:rsidR="00BB3CDC">
        <w:rPr>
          <w:sz w:val="28"/>
          <w:szCs w:val="28"/>
        </w:rPr>
        <w:t xml:space="preserve">, </w:t>
      </w:r>
      <w:r w:rsidR="00BB3CDC" w:rsidRPr="00BB3CDC">
        <w:rPr>
          <w:sz w:val="28"/>
          <w:szCs w:val="28"/>
        </w:rPr>
        <w:t>ievērojot</w:t>
      </w:r>
      <w:r>
        <w:rPr>
          <w:sz w:val="28"/>
          <w:szCs w:val="28"/>
        </w:rPr>
        <w:t xml:space="preserve"> to</w:t>
      </w:r>
      <w:r w:rsidR="00BB3CDC" w:rsidRPr="00BB3CDC">
        <w:rPr>
          <w:sz w:val="28"/>
          <w:szCs w:val="28"/>
        </w:rPr>
        <w:t>, ka Latvijas regulējums ir būtiski atšķirīgs no regulas projektā noteiktā</w:t>
      </w:r>
      <w:r w:rsidR="00BB3CDC">
        <w:rPr>
          <w:sz w:val="28"/>
          <w:szCs w:val="28"/>
        </w:rPr>
        <w:t xml:space="preserve"> </w:t>
      </w:r>
      <w:r>
        <w:rPr>
          <w:sz w:val="28"/>
          <w:szCs w:val="28"/>
        </w:rPr>
        <w:t>regulējuma</w:t>
      </w:r>
      <w:r w:rsidR="00BB3CDC">
        <w:rPr>
          <w:sz w:val="28"/>
          <w:szCs w:val="28"/>
        </w:rPr>
        <w:t>.</w:t>
      </w:r>
    </w:p>
    <w:p w:rsidR="00F80B7F" w:rsidRDefault="00BB3CDC" w:rsidP="00BB3CDC">
      <w:pPr>
        <w:ind w:firstLine="720"/>
        <w:jc w:val="both"/>
        <w:rPr>
          <w:sz w:val="28"/>
          <w:szCs w:val="28"/>
        </w:rPr>
      </w:pPr>
      <w:r>
        <w:rPr>
          <w:sz w:val="28"/>
          <w:szCs w:val="28"/>
        </w:rPr>
        <w:t xml:space="preserve">Ievērojot, ka </w:t>
      </w:r>
      <w:r w:rsidRPr="00BB3CDC">
        <w:rPr>
          <w:sz w:val="28"/>
          <w:szCs w:val="28"/>
        </w:rPr>
        <w:t>Latvijā komersantu reģ</w:t>
      </w:r>
      <w:r>
        <w:rPr>
          <w:sz w:val="28"/>
          <w:szCs w:val="28"/>
        </w:rPr>
        <w:t>istrāciju izdara komercreģistrā, Latvij</w:t>
      </w:r>
      <w:r w:rsidRPr="00BB3CDC">
        <w:rPr>
          <w:sz w:val="28"/>
          <w:szCs w:val="28"/>
        </w:rPr>
        <w:t xml:space="preserve">a pauž bažas par Eiropas nodibinājuma tiesībām pēc reģistrācijas vienā dalībvalstī veikt uzņēmējdarbību </w:t>
      </w:r>
      <w:r>
        <w:rPr>
          <w:sz w:val="28"/>
          <w:szCs w:val="28"/>
        </w:rPr>
        <w:t xml:space="preserve">citā </w:t>
      </w:r>
      <w:r w:rsidRPr="00BB3CDC">
        <w:rPr>
          <w:sz w:val="28"/>
          <w:szCs w:val="28"/>
        </w:rPr>
        <w:t>dalībvalstī</w:t>
      </w:r>
      <w:r>
        <w:rPr>
          <w:sz w:val="28"/>
          <w:szCs w:val="28"/>
        </w:rPr>
        <w:t>, n</w:t>
      </w:r>
      <w:r w:rsidRPr="00BB3CDC">
        <w:rPr>
          <w:sz w:val="28"/>
          <w:szCs w:val="28"/>
        </w:rPr>
        <w:t>eparedzot dalībvalstīm tiesības noteikt papildu reģistrācijas vai dokumentu iesniegšanas prasības</w:t>
      </w:r>
      <w:r w:rsidR="00F80B7F">
        <w:rPr>
          <w:sz w:val="28"/>
          <w:szCs w:val="28"/>
        </w:rPr>
        <w:t>.</w:t>
      </w:r>
    </w:p>
    <w:p w:rsidR="00BB3CDC" w:rsidRPr="00BB3CDC" w:rsidRDefault="00082B73" w:rsidP="00BB3CDC">
      <w:pPr>
        <w:ind w:firstLine="720"/>
        <w:jc w:val="both"/>
        <w:rPr>
          <w:sz w:val="28"/>
          <w:szCs w:val="28"/>
        </w:rPr>
      </w:pPr>
      <w:r>
        <w:rPr>
          <w:sz w:val="28"/>
          <w:szCs w:val="28"/>
        </w:rPr>
        <w:t>Papildus</w:t>
      </w:r>
      <w:r w:rsidR="00BB3CDC" w:rsidRPr="00BB3CDC">
        <w:rPr>
          <w:sz w:val="28"/>
          <w:szCs w:val="28"/>
        </w:rPr>
        <w:t xml:space="preserve"> Latvija pauž bažas par regulas projektā noteikto reģistra, kompetento un uzraudzības institūciju statusa un kompetences viennozīmīgu nošķiršanu atbilstoši </w:t>
      </w:r>
      <w:r w:rsidR="00841547">
        <w:rPr>
          <w:sz w:val="28"/>
          <w:szCs w:val="28"/>
        </w:rPr>
        <w:t>R</w:t>
      </w:r>
      <w:r w:rsidR="00BB3CDC" w:rsidRPr="00BB3CDC">
        <w:rPr>
          <w:sz w:val="28"/>
          <w:szCs w:val="28"/>
        </w:rPr>
        <w:t>egulas projekta regulējumam.</w:t>
      </w:r>
    </w:p>
    <w:p w:rsidR="00BB3CDC" w:rsidRPr="00BB3CDC" w:rsidRDefault="00BB3CDC" w:rsidP="00BB3CDC">
      <w:pPr>
        <w:ind w:firstLine="720"/>
        <w:jc w:val="both"/>
        <w:rPr>
          <w:sz w:val="28"/>
          <w:szCs w:val="28"/>
        </w:rPr>
      </w:pPr>
      <w:r w:rsidRPr="00BB3CDC">
        <w:rPr>
          <w:sz w:val="28"/>
          <w:szCs w:val="28"/>
        </w:rPr>
        <w:t xml:space="preserve">Latvijas ieskatā jautājumā par nodokļu atvieglojumu </w:t>
      </w:r>
      <w:r w:rsidRPr="00F80B7F">
        <w:rPr>
          <w:sz w:val="28"/>
          <w:szCs w:val="28"/>
        </w:rPr>
        <w:t xml:space="preserve">piemērošanu </w:t>
      </w:r>
      <w:r w:rsidR="00F80B7F" w:rsidRPr="00F80B7F">
        <w:rPr>
          <w:sz w:val="28"/>
          <w:szCs w:val="28"/>
        </w:rPr>
        <w:t xml:space="preserve">Eiropas nodibinājumam </w:t>
      </w:r>
      <w:r w:rsidRPr="00F80B7F">
        <w:rPr>
          <w:sz w:val="28"/>
          <w:szCs w:val="28"/>
        </w:rPr>
        <w:t>un</w:t>
      </w:r>
      <w:r w:rsidRPr="00BB3CDC">
        <w:rPr>
          <w:sz w:val="28"/>
          <w:szCs w:val="28"/>
        </w:rPr>
        <w:t xml:space="preserve"> tā ziedotājiem atbilstošs regulējums jau ir noteikts nacionālajos normatīvajos aktos. Līdz ar to minētais jautājums ir efektīvi risināms nacionālajā līmenī, proporcionāli informācijas aprites efektivitātei</w:t>
      </w:r>
      <w:r w:rsidR="00F80B7F">
        <w:rPr>
          <w:sz w:val="28"/>
          <w:szCs w:val="28"/>
        </w:rPr>
        <w:t>.</w:t>
      </w:r>
    </w:p>
    <w:p w:rsidR="00BB3CDC" w:rsidRPr="00BB3CDC" w:rsidRDefault="00BB3CDC" w:rsidP="00BB3CDC">
      <w:pPr>
        <w:ind w:firstLine="720"/>
        <w:jc w:val="both"/>
        <w:rPr>
          <w:sz w:val="28"/>
          <w:szCs w:val="28"/>
        </w:rPr>
      </w:pPr>
      <w:r w:rsidRPr="00BB3CDC">
        <w:rPr>
          <w:sz w:val="28"/>
          <w:szCs w:val="28"/>
        </w:rPr>
        <w:t xml:space="preserve">Vienlaikus Latvija atzinīgi vērtē ekonomiskās darbības, kas nav saistīta ar </w:t>
      </w:r>
      <w:r w:rsidR="00F80B7F" w:rsidRPr="00F80B7F">
        <w:rPr>
          <w:sz w:val="28"/>
          <w:szCs w:val="28"/>
        </w:rPr>
        <w:t>Eiropas nodibinājuma</w:t>
      </w:r>
      <w:r w:rsidR="00F80B7F">
        <w:rPr>
          <w:i/>
          <w:sz w:val="28"/>
          <w:szCs w:val="28"/>
        </w:rPr>
        <w:t xml:space="preserve"> </w:t>
      </w:r>
      <w:r w:rsidRPr="00BB3CDC">
        <w:rPr>
          <w:sz w:val="28"/>
          <w:szCs w:val="28"/>
        </w:rPr>
        <w:t xml:space="preserve">sabiedriskā labuma mērķi, ierobežojumu 10 % apmērā no </w:t>
      </w:r>
      <w:r w:rsidR="00F80B7F" w:rsidRPr="00F80B7F">
        <w:rPr>
          <w:sz w:val="28"/>
          <w:szCs w:val="28"/>
        </w:rPr>
        <w:t xml:space="preserve">tā </w:t>
      </w:r>
      <w:r w:rsidRPr="00F80B7F">
        <w:rPr>
          <w:sz w:val="28"/>
          <w:szCs w:val="28"/>
        </w:rPr>
        <w:t>gada</w:t>
      </w:r>
      <w:r w:rsidRPr="00BB3CDC">
        <w:rPr>
          <w:sz w:val="28"/>
          <w:szCs w:val="28"/>
        </w:rPr>
        <w:t xml:space="preserve"> neto apgrozījuma, tādējādi </w:t>
      </w:r>
      <w:r w:rsidR="00F80B7F">
        <w:rPr>
          <w:sz w:val="28"/>
          <w:szCs w:val="28"/>
        </w:rPr>
        <w:t>ierobežojot</w:t>
      </w:r>
      <w:r w:rsidRPr="00BB3CDC">
        <w:rPr>
          <w:sz w:val="28"/>
          <w:szCs w:val="28"/>
        </w:rPr>
        <w:t xml:space="preserve"> ar</w:t>
      </w:r>
      <w:r w:rsidR="00F80B7F">
        <w:rPr>
          <w:sz w:val="28"/>
          <w:szCs w:val="28"/>
        </w:rPr>
        <w:t xml:space="preserve"> Eiropas nodibinājuma</w:t>
      </w:r>
      <w:r w:rsidRPr="00BB3CDC">
        <w:rPr>
          <w:sz w:val="28"/>
          <w:szCs w:val="28"/>
        </w:rPr>
        <w:t xml:space="preserve"> izveidošanas (sabiedriskā labuma) mērķi nesaistītu darbību apmēru.</w:t>
      </w:r>
    </w:p>
    <w:p w:rsidR="00F80B7F" w:rsidRPr="00BB3CDC" w:rsidRDefault="00F80B7F" w:rsidP="00BB3CDC">
      <w:pPr>
        <w:ind w:firstLine="720"/>
        <w:jc w:val="both"/>
        <w:rPr>
          <w:sz w:val="28"/>
          <w:szCs w:val="28"/>
        </w:rPr>
      </w:pPr>
    </w:p>
    <w:p w:rsidR="004A26CD" w:rsidRPr="00BB3CDC" w:rsidRDefault="004A26CD" w:rsidP="004A26CD">
      <w:pPr>
        <w:ind w:left="567" w:right="-568" w:firstLine="284"/>
        <w:jc w:val="both"/>
        <w:rPr>
          <w:sz w:val="28"/>
          <w:szCs w:val="28"/>
        </w:rPr>
      </w:pPr>
    </w:p>
    <w:p w:rsidR="004A26CD" w:rsidRPr="000E3A1F" w:rsidRDefault="004A26CD" w:rsidP="004A26CD">
      <w:pPr>
        <w:ind w:right="-568"/>
        <w:jc w:val="both"/>
        <w:rPr>
          <w:sz w:val="28"/>
          <w:szCs w:val="28"/>
        </w:rPr>
      </w:pPr>
      <w:r w:rsidRPr="000E3A1F">
        <w:rPr>
          <w:sz w:val="28"/>
          <w:szCs w:val="28"/>
        </w:rPr>
        <w:t>Tieslietu ministr</w:t>
      </w:r>
      <w:r w:rsidR="0080601E">
        <w:rPr>
          <w:sz w:val="28"/>
          <w:szCs w:val="28"/>
        </w:rPr>
        <w:t>s</w:t>
      </w:r>
      <w:r w:rsidRPr="000E3A1F">
        <w:rPr>
          <w:sz w:val="28"/>
          <w:szCs w:val="28"/>
        </w:rPr>
        <w:t xml:space="preserve"> </w:t>
      </w:r>
      <w:r w:rsidR="000E3A1F">
        <w:rPr>
          <w:sz w:val="28"/>
          <w:szCs w:val="28"/>
        </w:rPr>
        <w:tab/>
      </w:r>
      <w:r w:rsidR="000E3A1F">
        <w:rPr>
          <w:sz w:val="28"/>
          <w:szCs w:val="28"/>
        </w:rPr>
        <w:tab/>
      </w:r>
      <w:r w:rsidR="000E3A1F">
        <w:rPr>
          <w:sz w:val="28"/>
          <w:szCs w:val="28"/>
        </w:rPr>
        <w:tab/>
      </w:r>
      <w:r w:rsidR="000E3A1F">
        <w:rPr>
          <w:sz w:val="28"/>
          <w:szCs w:val="28"/>
        </w:rPr>
        <w:tab/>
      </w:r>
      <w:r w:rsidR="000E3A1F">
        <w:rPr>
          <w:sz w:val="28"/>
          <w:szCs w:val="28"/>
        </w:rPr>
        <w:tab/>
      </w:r>
      <w:r w:rsidR="000E3A1F">
        <w:rPr>
          <w:sz w:val="28"/>
          <w:szCs w:val="28"/>
        </w:rPr>
        <w:tab/>
      </w:r>
      <w:r w:rsidR="000E3A1F">
        <w:rPr>
          <w:sz w:val="28"/>
          <w:szCs w:val="28"/>
        </w:rPr>
        <w:tab/>
      </w:r>
      <w:r w:rsidR="0080601E">
        <w:rPr>
          <w:sz w:val="28"/>
          <w:szCs w:val="28"/>
        </w:rPr>
        <w:tab/>
      </w:r>
      <w:r w:rsidR="0080601E">
        <w:rPr>
          <w:sz w:val="28"/>
          <w:szCs w:val="28"/>
        </w:rPr>
        <w:tab/>
      </w:r>
      <w:proofErr w:type="spellStart"/>
      <w:r w:rsidR="0080601E">
        <w:rPr>
          <w:sz w:val="28"/>
          <w:szCs w:val="28"/>
        </w:rPr>
        <w:t>J.Bordāns</w:t>
      </w:r>
      <w:proofErr w:type="spellEnd"/>
      <w:r w:rsidRPr="000E3A1F">
        <w:rPr>
          <w:sz w:val="28"/>
          <w:szCs w:val="28"/>
        </w:rPr>
        <w:tab/>
      </w:r>
      <w:r w:rsidRPr="000E3A1F">
        <w:rPr>
          <w:sz w:val="28"/>
          <w:szCs w:val="28"/>
        </w:rPr>
        <w:tab/>
      </w:r>
    </w:p>
    <w:p w:rsidR="004A26CD" w:rsidRPr="000E3A1F" w:rsidRDefault="004A26CD" w:rsidP="004A26CD">
      <w:pPr>
        <w:ind w:left="567" w:right="-2"/>
        <w:rPr>
          <w:sz w:val="22"/>
          <w:szCs w:val="28"/>
        </w:rPr>
      </w:pPr>
    </w:p>
    <w:p w:rsidR="004A26CD" w:rsidRPr="000E3A1F" w:rsidRDefault="00841547" w:rsidP="004A26CD">
      <w:pPr>
        <w:ind w:right="-2"/>
        <w:rPr>
          <w:sz w:val="22"/>
          <w:szCs w:val="28"/>
        </w:rPr>
      </w:pPr>
      <w:r>
        <w:rPr>
          <w:sz w:val="22"/>
          <w:szCs w:val="28"/>
        </w:rPr>
        <w:t>2</w:t>
      </w:r>
      <w:r w:rsidR="00A201CB">
        <w:rPr>
          <w:sz w:val="22"/>
          <w:szCs w:val="28"/>
        </w:rPr>
        <w:t>1.1</w:t>
      </w:r>
      <w:r>
        <w:rPr>
          <w:sz w:val="22"/>
          <w:szCs w:val="28"/>
        </w:rPr>
        <w:t>1</w:t>
      </w:r>
      <w:r w:rsidR="00A201CB">
        <w:rPr>
          <w:sz w:val="22"/>
          <w:szCs w:val="28"/>
        </w:rPr>
        <w:t xml:space="preserve">.2012. </w:t>
      </w:r>
      <w:r>
        <w:rPr>
          <w:sz w:val="22"/>
          <w:szCs w:val="28"/>
        </w:rPr>
        <w:t>16:00</w:t>
      </w:r>
    </w:p>
    <w:p w:rsidR="004A26CD" w:rsidRPr="000E3A1F" w:rsidRDefault="002708E5" w:rsidP="004A26CD">
      <w:pPr>
        <w:ind w:right="-2"/>
        <w:rPr>
          <w:sz w:val="22"/>
          <w:szCs w:val="28"/>
        </w:rPr>
      </w:pPr>
      <w:r>
        <w:rPr>
          <w:sz w:val="22"/>
          <w:szCs w:val="28"/>
        </w:rPr>
        <w:t>579</w:t>
      </w:r>
    </w:p>
    <w:p w:rsidR="004A26CD" w:rsidRPr="000E3A1F" w:rsidRDefault="00BB3CDC" w:rsidP="004A26CD">
      <w:pPr>
        <w:ind w:right="-2"/>
        <w:rPr>
          <w:sz w:val="22"/>
          <w:szCs w:val="28"/>
        </w:rPr>
      </w:pPr>
      <w:proofErr w:type="spellStart"/>
      <w:r>
        <w:rPr>
          <w:sz w:val="22"/>
          <w:szCs w:val="28"/>
        </w:rPr>
        <w:t>Dz</w:t>
      </w:r>
      <w:proofErr w:type="spellEnd"/>
      <w:r>
        <w:rPr>
          <w:sz w:val="22"/>
          <w:szCs w:val="28"/>
        </w:rPr>
        <w:t xml:space="preserve">. </w:t>
      </w:r>
      <w:proofErr w:type="spellStart"/>
      <w:r>
        <w:rPr>
          <w:sz w:val="22"/>
          <w:szCs w:val="28"/>
        </w:rPr>
        <w:t>Švarca</w:t>
      </w:r>
      <w:proofErr w:type="spellEnd"/>
    </w:p>
    <w:p w:rsidR="004A26CD" w:rsidRPr="000E3A1F" w:rsidRDefault="00BB3CDC" w:rsidP="004A26CD">
      <w:pPr>
        <w:ind w:right="-2"/>
        <w:rPr>
          <w:sz w:val="22"/>
          <w:szCs w:val="28"/>
        </w:rPr>
      </w:pPr>
      <w:bookmarkStart w:id="1" w:name="OLE_LINK1"/>
      <w:bookmarkStart w:id="2" w:name="OLE_LINK2"/>
      <w:r>
        <w:rPr>
          <w:sz w:val="22"/>
          <w:szCs w:val="28"/>
        </w:rPr>
        <w:t>67046139, Dzintra.Svarca</w:t>
      </w:r>
      <w:r w:rsidR="004A26CD" w:rsidRPr="000E3A1F">
        <w:rPr>
          <w:sz w:val="22"/>
          <w:szCs w:val="28"/>
        </w:rPr>
        <w:t>@tm.gov.lv</w:t>
      </w:r>
    </w:p>
    <w:bookmarkEnd w:id="1"/>
    <w:bookmarkEnd w:id="2"/>
    <w:p w:rsidR="004A26CD" w:rsidRPr="000E3A1F" w:rsidRDefault="004A26CD" w:rsidP="004A26CD">
      <w:pPr>
        <w:ind w:left="567" w:right="-2"/>
        <w:rPr>
          <w:sz w:val="28"/>
          <w:szCs w:val="28"/>
        </w:rPr>
      </w:pPr>
    </w:p>
    <w:p w:rsidR="004A26CD" w:rsidRPr="000E3A1F" w:rsidRDefault="004A26CD" w:rsidP="001474BA">
      <w:pPr>
        <w:ind w:firstLine="720"/>
        <w:jc w:val="both"/>
        <w:rPr>
          <w:sz w:val="28"/>
          <w:szCs w:val="28"/>
        </w:rPr>
      </w:pPr>
    </w:p>
    <w:sectPr w:rsidR="004A26CD" w:rsidRPr="000E3A1F" w:rsidSect="0084154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47" w:rsidRDefault="00841547" w:rsidP="001474BA">
      <w:r>
        <w:separator/>
      </w:r>
    </w:p>
  </w:endnote>
  <w:endnote w:type="continuationSeparator" w:id="0">
    <w:p w:rsidR="00841547" w:rsidRDefault="00841547" w:rsidP="0014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7" w:rsidRPr="0046786D" w:rsidRDefault="00841547" w:rsidP="0046786D">
    <w:pPr>
      <w:pStyle w:val="Kjene"/>
      <w:rPr>
        <w:sz w:val="20"/>
        <w:szCs w:val="20"/>
      </w:rPr>
    </w:pPr>
    <w:r>
      <w:rPr>
        <w:sz w:val="20"/>
        <w:szCs w:val="20"/>
      </w:rPr>
      <w:t>TMZino_211112_statuti</w:t>
    </w:r>
    <w:r w:rsidRPr="001474BA">
      <w:rPr>
        <w:sz w:val="20"/>
        <w:szCs w:val="20"/>
      </w:rPr>
      <w:t xml:space="preserve">; Par Latvijas nacionālo pozīciju par Eiropas Komisijas priekšlikumu Padomes regulai par </w:t>
    </w:r>
    <w:r>
      <w:rPr>
        <w:sz w:val="20"/>
        <w:szCs w:val="20"/>
      </w:rPr>
      <w:t>Eiropas nodibinājuma statūtiem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7" w:rsidRPr="001474BA" w:rsidRDefault="00841547">
    <w:pPr>
      <w:pStyle w:val="Kjene"/>
      <w:rPr>
        <w:sz w:val="20"/>
        <w:szCs w:val="20"/>
      </w:rPr>
    </w:pPr>
    <w:r>
      <w:rPr>
        <w:sz w:val="20"/>
        <w:szCs w:val="20"/>
      </w:rPr>
      <w:t>TMZino_211112_statuti</w:t>
    </w:r>
    <w:r w:rsidRPr="001474BA">
      <w:rPr>
        <w:sz w:val="20"/>
        <w:szCs w:val="20"/>
      </w:rPr>
      <w:t xml:space="preserve">; Par Latvijas nacionālo pozīciju par Eiropas Komisijas priekšlikumu Padomes regulai par </w:t>
    </w:r>
    <w:r>
      <w:rPr>
        <w:sz w:val="20"/>
        <w:szCs w:val="20"/>
      </w:rPr>
      <w:t>Eiropas nodibinājuma statūtiem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47" w:rsidRDefault="00841547" w:rsidP="001474BA">
      <w:r>
        <w:separator/>
      </w:r>
    </w:p>
  </w:footnote>
  <w:footnote w:type="continuationSeparator" w:id="0">
    <w:p w:rsidR="00841547" w:rsidRDefault="00841547" w:rsidP="0014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7" w:rsidRDefault="00841547">
    <w:pPr>
      <w:pStyle w:val="Galvene"/>
      <w:jc w:val="center"/>
    </w:pPr>
    <w:r>
      <w:fldChar w:fldCharType="begin"/>
    </w:r>
    <w:r>
      <w:instrText xml:space="preserve"> PAGE   \* MERGEFORMAT </w:instrText>
    </w:r>
    <w:r>
      <w:fldChar w:fldCharType="separate"/>
    </w:r>
    <w:r w:rsidR="00010AE7">
      <w:rPr>
        <w:noProof/>
      </w:rPr>
      <w:t>2</w:t>
    </w:r>
    <w:r>
      <w:rPr>
        <w:noProof/>
      </w:rPr>
      <w:fldChar w:fldCharType="end"/>
    </w:r>
  </w:p>
  <w:p w:rsidR="00841547" w:rsidRDefault="0084154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2AF5"/>
    <w:multiLevelType w:val="hybridMultilevel"/>
    <w:tmpl w:val="7B2A9F6C"/>
    <w:lvl w:ilvl="0" w:tplc="884E82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1067E9C"/>
    <w:multiLevelType w:val="hybridMultilevel"/>
    <w:tmpl w:val="A1EEC30E"/>
    <w:lvl w:ilvl="0" w:tplc="C91E272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FFB1123"/>
    <w:multiLevelType w:val="hybridMultilevel"/>
    <w:tmpl w:val="97E4993E"/>
    <w:lvl w:ilvl="0" w:tplc="BE3EF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40F61AB"/>
    <w:multiLevelType w:val="hybridMultilevel"/>
    <w:tmpl w:val="924E25F0"/>
    <w:lvl w:ilvl="0" w:tplc="C91E272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69C60D84"/>
    <w:multiLevelType w:val="hybridMultilevel"/>
    <w:tmpl w:val="EB687A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E1"/>
    <w:rsid w:val="00010AE7"/>
    <w:rsid w:val="00015151"/>
    <w:rsid w:val="000322F3"/>
    <w:rsid w:val="00045717"/>
    <w:rsid w:val="00054C71"/>
    <w:rsid w:val="00060477"/>
    <w:rsid w:val="00060666"/>
    <w:rsid w:val="00064613"/>
    <w:rsid w:val="00067E2C"/>
    <w:rsid w:val="00072719"/>
    <w:rsid w:val="00082B73"/>
    <w:rsid w:val="00082C8E"/>
    <w:rsid w:val="00090D5B"/>
    <w:rsid w:val="000917E1"/>
    <w:rsid w:val="000E3A1F"/>
    <w:rsid w:val="000F2372"/>
    <w:rsid w:val="000F7C1E"/>
    <w:rsid w:val="00100FA3"/>
    <w:rsid w:val="00112E8C"/>
    <w:rsid w:val="001244A3"/>
    <w:rsid w:val="00135A07"/>
    <w:rsid w:val="001474BA"/>
    <w:rsid w:val="001725E0"/>
    <w:rsid w:val="0017658B"/>
    <w:rsid w:val="00186C99"/>
    <w:rsid w:val="001A5A29"/>
    <w:rsid w:val="001E4625"/>
    <w:rsid w:val="002051D0"/>
    <w:rsid w:val="00221E34"/>
    <w:rsid w:val="00250A78"/>
    <w:rsid w:val="002708E5"/>
    <w:rsid w:val="002C3D8E"/>
    <w:rsid w:val="002D1312"/>
    <w:rsid w:val="002F0B89"/>
    <w:rsid w:val="003044CC"/>
    <w:rsid w:val="00313250"/>
    <w:rsid w:val="00397CF5"/>
    <w:rsid w:val="003C0207"/>
    <w:rsid w:val="003D2E15"/>
    <w:rsid w:val="003E34A1"/>
    <w:rsid w:val="003E6838"/>
    <w:rsid w:val="00412B1B"/>
    <w:rsid w:val="004536D3"/>
    <w:rsid w:val="00461090"/>
    <w:rsid w:val="0046276C"/>
    <w:rsid w:val="0046786D"/>
    <w:rsid w:val="00482BE2"/>
    <w:rsid w:val="004A26CD"/>
    <w:rsid w:val="004B078A"/>
    <w:rsid w:val="004B5875"/>
    <w:rsid w:val="004B79BD"/>
    <w:rsid w:val="004B7D4C"/>
    <w:rsid w:val="004C332C"/>
    <w:rsid w:val="004C5218"/>
    <w:rsid w:val="004D1035"/>
    <w:rsid w:val="004D4624"/>
    <w:rsid w:val="004D4C54"/>
    <w:rsid w:val="00507A42"/>
    <w:rsid w:val="00521E07"/>
    <w:rsid w:val="0053336B"/>
    <w:rsid w:val="00533FE3"/>
    <w:rsid w:val="00567F73"/>
    <w:rsid w:val="005770A1"/>
    <w:rsid w:val="00591289"/>
    <w:rsid w:val="005A55CA"/>
    <w:rsid w:val="005F789B"/>
    <w:rsid w:val="006258C1"/>
    <w:rsid w:val="00633015"/>
    <w:rsid w:val="00670CEA"/>
    <w:rsid w:val="00677FF6"/>
    <w:rsid w:val="006A7347"/>
    <w:rsid w:val="006C3BF3"/>
    <w:rsid w:val="006C420D"/>
    <w:rsid w:val="0070713F"/>
    <w:rsid w:val="00725C01"/>
    <w:rsid w:val="00744A36"/>
    <w:rsid w:val="0078541A"/>
    <w:rsid w:val="007E1611"/>
    <w:rsid w:val="0080601E"/>
    <w:rsid w:val="0081016B"/>
    <w:rsid w:val="00813E1C"/>
    <w:rsid w:val="00841547"/>
    <w:rsid w:val="00845F3D"/>
    <w:rsid w:val="00847F91"/>
    <w:rsid w:val="008868CE"/>
    <w:rsid w:val="0089043D"/>
    <w:rsid w:val="008917DD"/>
    <w:rsid w:val="008C58AC"/>
    <w:rsid w:val="00904312"/>
    <w:rsid w:val="009371CE"/>
    <w:rsid w:val="009510F8"/>
    <w:rsid w:val="009646FD"/>
    <w:rsid w:val="00980C0F"/>
    <w:rsid w:val="00982BB2"/>
    <w:rsid w:val="00984064"/>
    <w:rsid w:val="00990A64"/>
    <w:rsid w:val="009975E3"/>
    <w:rsid w:val="009A07F6"/>
    <w:rsid w:val="009B1463"/>
    <w:rsid w:val="009B1752"/>
    <w:rsid w:val="009B3ADE"/>
    <w:rsid w:val="009B590E"/>
    <w:rsid w:val="009B5B02"/>
    <w:rsid w:val="009D1FEA"/>
    <w:rsid w:val="009D7653"/>
    <w:rsid w:val="009E0A2D"/>
    <w:rsid w:val="009E7C5E"/>
    <w:rsid w:val="00A201CB"/>
    <w:rsid w:val="00A22B72"/>
    <w:rsid w:val="00A23D5D"/>
    <w:rsid w:val="00A24C8B"/>
    <w:rsid w:val="00A4159F"/>
    <w:rsid w:val="00A41C90"/>
    <w:rsid w:val="00A47562"/>
    <w:rsid w:val="00A47B4A"/>
    <w:rsid w:val="00A56BE8"/>
    <w:rsid w:val="00A61043"/>
    <w:rsid w:val="00A77755"/>
    <w:rsid w:val="00AA312F"/>
    <w:rsid w:val="00AC64A6"/>
    <w:rsid w:val="00AD32C3"/>
    <w:rsid w:val="00B41340"/>
    <w:rsid w:val="00B42D78"/>
    <w:rsid w:val="00B521FC"/>
    <w:rsid w:val="00B61FB6"/>
    <w:rsid w:val="00BB3CDC"/>
    <w:rsid w:val="00BC24C1"/>
    <w:rsid w:val="00C03F4B"/>
    <w:rsid w:val="00C1502A"/>
    <w:rsid w:val="00C245ED"/>
    <w:rsid w:val="00C71585"/>
    <w:rsid w:val="00C819A1"/>
    <w:rsid w:val="00C85C91"/>
    <w:rsid w:val="00C94D56"/>
    <w:rsid w:val="00CB1527"/>
    <w:rsid w:val="00CB56E9"/>
    <w:rsid w:val="00CB68CC"/>
    <w:rsid w:val="00CC7C18"/>
    <w:rsid w:val="00CE2021"/>
    <w:rsid w:val="00CE4ADE"/>
    <w:rsid w:val="00CF1231"/>
    <w:rsid w:val="00D06FE6"/>
    <w:rsid w:val="00D27A1A"/>
    <w:rsid w:val="00D42031"/>
    <w:rsid w:val="00D5179C"/>
    <w:rsid w:val="00D52502"/>
    <w:rsid w:val="00D52B81"/>
    <w:rsid w:val="00D95098"/>
    <w:rsid w:val="00DB7230"/>
    <w:rsid w:val="00DC4C40"/>
    <w:rsid w:val="00DE2CE6"/>
    <w:rsid w:val="00E01E9B"/>
    <w:rsid w:val="00E05933"/>
    <w:rsid w:val="00E60BE3"/>
    <w:rsid w:val="00E95F73"/>
    <w:rsid w:val="00EC6AC7"/>
    <w:rsid w:val="00ED6EBC"/>
    <w:rsid w:val="00F21EB3"/>
    <w:rsid w:val="00F246D0"/>
    <w:rsid w:val="00F3340A"/>
    <w:rsid w:val="00F353CC"/>
    <w:rsid w:val="00F42197"/>
    <w:rsid w:val="00F4343B"/>
    <w:rsid w:val="00F52791"/>
    <w:rsid w:val="00F556D8"/>
    <w:rsid w:val="00F67E3D"/>
    <w:rsid w:val="00F80B7F"/>
    <w:rsid w:val="00FA3956"/>
    <w:rsid w:val="00FB50A0"/>
    <w:rsid w:val="00FC2049"/>
    <w:rsid w:val="00FD676D"/>
    <w:rsid w:val="00FF3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917E1"/>
    <w:pPr>
      <w:suppressAutoHyphens/>
    </w:pPr>
    <w:rPr>
      <w:rFonts w:eastAsia="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917E1"/>
    <w:pPr>
      <w:ind w:left="720"/>
    </w:pPr>
  </w:style>
  <w:style w:type="character" w:customStyle="1" w:styleId="hps">
    <w:name w:val="hps"/>
    <w:basedOn w:val="Noklusjumarindkopasfonts"/>
    <w:rsid w:val="000917E1"/>
  </w:style>
  <w:style w:type="paragraph" w:customStyle="1" w:styleId="EntEmet">
    <w:name w:val="EntEmet"/>
    <w:basedOn w:val="Parasts"/>
    <w:rsid w:val="000917E1"/>
    <w:pPr>
      <w:tabs>
        <w:tab w:val="left" w:pos="284"/>
        <w:tab w:val="left" w:pos="567"/>
        <w:tab w:val="left" w:pos="851"/>
        <w:tab w:val="left" w:pos="1134"/>
        <w:tab w:val="left" w:pos="1418"/>
      </w:tabs>
      <w:suppressAutoHyphens w:val="0"/>
      <w:spacing w:before="40"/>
    </w:pPr>
    <w:rPr>
      <w:szCs w:val="20"/>
      <w:lang w:eastAsia="fr-BE"/>
    </w:rPr>
  </w:style>
  <w:style w:type="paragraph" w:styleId="Galvene">
    <w:name w:val="header"/>
    <w:basedOn w:val="Parasts"/>
    <w:link w:val="GalveneRakstz"/>
    <w:uiPriority w:val="99"/>
    <w:unhideWhenUsed/>
    <w:rsid w:val="001474BA"/>
    <w:pPr>
      <w:tabs>
        <w:tab w:val="center" w:pos="4153"/>
        <w:tab w:val="right" w:pos="8306"/>
      </w:tabs>
    </w:pPr>
  </w:style>
  <w:style w:type="character" w:customStyle="1" w:styleId="GalveneRakstz">
    <w:name w:val="Galvene Rakstz."/>
    <w:basedOn w:val="Noklusjumarindkopasfonts"/>
    <w:link w:val="Galvene"/>
    <w:uiPriority w:val="99"/>
    <w:rsid w:val="001474BA"/>
    <w:rPr>
      <w:rFonts w:eastAsia="Times New Roman" w:cs="Times New Roman"/>
      <w:szCs w:val="24"/>
      <w:lang w:eastAsia="ar-SA"/>
    </w:rPr>
  </w:style>
  <w:style w:type="paragraph" w:styleId="Kjene">
    <w:name w:val="footer"/>
    <w:basedOn w:val="Parasts"/>
    <w:link w:val="KjeneRakstz"/>
    <w:uiPriority w:val="99"/>
    <w:unhideWhenUsed/>
    <w:rsid w:val="001474BA"/>
    <w:pPr>
      <w:tabs>
        <w:tab w:val="center" w:pos="4153"/>
        <w:tab w:val="right" w:pos="8306"/>
      </w:tabs>
    </w:pPr>
  </w:style>
  <w:style w:type="character" w:customStyle="1" w:styleId="KjeneRakstz">
    <w:name w:val="Kājene Rakstz."/>
    <w:basedOn w:val="Noklusjumarindkopasfonts"/>
    <w:link w:val="Kjene"/>
    <w:uiPriority w:val="99"/>
    <w:rsid w:val="001474BA"/>
    <w:rPr>
      <w:rFonts w:eastAsia="Times New Roman" w:cs="Times New Roman"/>
      <w:szCs w:val="24"/>
      <w:lang w:eastAsia="ar-SA"/>
    </w:rPr>
  </w:style>
  <w:style w:type="paragraph" w:styleId="Balonteksts">
    <w:name w:val="Balloon Text"/>
    <w:basedOn w:val="Parasts"/>
    <w:link w:val="BalontekstsRakstz"/>
    <w:uiPriority w:val="99"/>
    <w:semiHidden/>
    <w:unhideWhenUsed/>
    <w:rsid w:val="001474B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74BA"/>
    <w:rPr>
      <w:rFonts w:ascii="Tahoma" w:eastAsia="Times New Roman" w:hAnsi="Tahoma" w:cs="Tahoma"/>
      <w:sz w:val="16"/>
      <w:szCs w:val="16"/>
      <w:lang w:eastAsia="ar-SA"/>
    </w:rPr>
  </w:style>
  <w:style w:type="paragraph" w:customStyle="1" w:styleId="Parasts1">
    <w:name w:val="Parasts1"/>
    <w:qFormat/>
    <w:rsid w:val="0080601E"/>
    <w:pPr>
      <w:suppressAutoHyphens/>
    </w:pPr>
    <w:rPr>
      <w:rFonts w:eastAsia="Times New Roman"/>
      <w:sz w:val="24"/>
      <w:szCs w:val="24"/>
      <w:lang w:eastAsia="ar-SA"/>
    </w:rPr>
  </w:style>
  <w:style w:type="character" w:styleId="Vresatsauce">
    <w:name w:val="footnote reference"/>
    <w:semiHidden/>
    <w:rsid w:val="00045717"/>
    <w:rPr>
      <w:b/>
      <w:vertAlign w:val="superscript"/>
    </w:rPr>
  </w:style>
  <w:style w:type="paragraph" w:styleId="Vresteksts">
    <w:name w:val="footnote text"/>
    <w:basedOn w:val="Parasts"/>
    <w:link w:val="VrestekstsRakstz"/>
    <w:semiHidden/>
    <w:rsid w:val="00045717"/>
    <w:pPr>
      <w:widowControl w:val="0"/>
      <w:tabs>
        <w:tab w:val="left" w:pos="567"/>
      </w:tabs>
      <w:suppressAutoHyphens w:val="0"/>
      <w:ind w:left="567" w:hanging="567"/>
    </w:pPr>
    <w:rPr>
      <w:szCs w:val="20"/>
      <w:lang w:val="en-GB" w:eastAsia="fr-BE"/>
    </w:rPr>
  </w:style>
  <w:style w:type="character" w:customStyle="1" w:styleId="VrestekstsRakstz">
    <w:name w:val="Vēres teksts Rakstz."/>
    <w:basedOn w:val="Noklusjumarindkopasfonts"/>
    <w:link w:val="Vresteksts"/>
    <w:semiHidden/>
    <w:rsid w:val="00045717"/>
    <w:rPr>
      <w:rFonts w:eastAsia="Times New Roman"/>
      <w:sz w:val="24"/>
      <w:lang w:val="en-GB" w:eastAsia="fr-BE"/>
    </w:rPr>
  </w:style>
  <w:style w:type="paragraph" w:customStyle="1" w:styleId="Parastais">
    <w:name w:val="Parastais"/>
    <w:qFormat/>
    <w:rsid w:val="00841547"/>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917E1"/>
    <w:pPr>
      <w:suppressAutoHyphens/>
    </w:pPr>
    <w:rPr>
      <w:rFonts w:eastAsia="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917E1"/>
    <w:pPr>
      <w:ind w:left="720"/>
    </w:pPr>
  </w:style>
  <w:style w:type="character" w:customStyle="1" w:styleId="hps">
    <w:name w:val="hps"/>
    <w:basedOn w:val="Noklusjumarindkopasfonts"/>
    <w:rsid w:val="000917E1"/>
  </w:style>
  <w:style w:type="paragraph" w:customStyle="1" w:styleId="EntEmet">
    <w:name w:val="EntEmet"/>
    <w:basedOn w:val="Parasts"/>
    <w:rsid w:val="000917E1"/>
    <w:pPr>
      <w:tabs>
        <w:tab w:val="left" w:pos="284"/>
        <w:tab w:val="left" w:pos="567"/>
        <w:tab w:val="left" w:pos="851"/>
        <w:tab w:val="left" w:pos="1134"/>
        <w:tab w:val="left" w:pos="1418"/>
      </w:tabs>
      <w:suppressAutoHyphens w:val="0"/>
      <w:spacing w:before="40"/>
    </w:pPr>
    <w:rPr>
      <w:szCs w:val="20"/>
      <w:lang w:eastAsia="fr-BE"/>
    </w:rPr>
  </w:style>
  <w:style w:type="paragraph" w:styleId="Galvene">
    <w:name w:val="header"/>
    <w:basedOn w:val="Parasts"/>
    <w:link w:val="GalveneRakstz"/>
    <w:uiPriority w:val="99"/>
    <w:unhideWhenUsed/>
    <w:rsid w:val="001474BA"/>
    <w:pPr>
      <w:tabs>
        <w:tab w:val="center" w:pos="4153"/>
        <w:tab w:val="right" w:pos="8306"/>
      </w:tabs>
    </w:pPr>
  </w:style>
  <w:style w:type="character" w:customStyle="1" w:styleId="GalveneRakstz">
    <w:name w:val="Galvene Rakstz."/>
    <w:basedOn w:val="Noklusjumarindkopasfonts"/>
    <w:link w:val="Galvene"/>
    <w:uiPriority w:val="99"/>
    <w:rsid w:val="001474BA"/>
    <w:rPr>
      <w:rFonts w:eastAsia="Times New Roman" w:cs="Times New Roman"/>
      <w:szCs w:val="24"/>
      <w:lang w:eastAsia="ar-SA"/>
    </w:rPr>
  </w:style>
  <w:style w:type="paragraph" w:styleId="Kjene">
    <w:name w:val="footer"/>
    <w:basedOn w:val="Parasts"/>
    <w:link w:val="KjeneRakstz"/>
    <w:uiPriority w:val="99"/>
    <w:unhideWhenUsed/>
    <w:rsid w:val="001474BA"/>
    <w:pPr>
      <w:tabs>
        <w:tab w:val="center" w:pos="4153"/>
        <w:tab w:val="right" w:pos="8306"/>
      </w:tabs>
    </w:pPr>
  </w:style>
  <w:style w:type="character" w:customStyle="1" w:styleId="KjeneRakstz">
    <w:name w:val="Kājene Rakstz."/>
    <w:basedOn w:val="Noklusjumarindkopasfonts"/>
    <w:link w:val="Kjene"/>
    <w:uiPriority w:val="99"/>
    <w:rsid w:val="001474BA"/>
    <w:rPr>
      <w:rFonts w:eastAsia="Times New Roman" w:cs="Times New Roman"/>
      <w:szCs w:val="24"/>
      <w:lang w:eastAsia="ar-SA"/>
    </w:rPr>
  </w:style>
  <w:style w:type="paragraph" w:styleId="Balonteksts">
    <w:name w:val="Balloon Text"/>
    <w:basedOn w:val="Parasts"/>
    <w:link w:val="BalontekstsRakstz"/>
    <w:uiPriority w:val="99"/>
    <w:semiHidden/>
    <w:unhideWhenUsed/>
    <w:rsid w:val="001474B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74BA"/>
    <w:rPr>
      <w:rFonts w:ascii="Tahoma" w:eastAsia="Times New Roman" w:hAnsi="Tahoma" w:cs="Tahoma"/>
      <w:sz w:val="16"/>
      <w:szCs w:val="16"/>
      <w:lang w:eastAsia="ar-SA"/>
    </w:rPr>
  </w:style>
  <w:style w:type="paragraph" w:customStyle="1" w:styleId="Parasts1">
    <w:name w:val="Parasts1"/>
    <w:qFormat/>
    <w:rsid w:val="0080601E"/>
    <w:pPr>
      <w:suppressAutoHyphens/>
    </w:pPr>
    <w:rPr>
      <w:rFonts w:eastAsia="Times New Roman"/>
      <w:sz w:val="24"/>
      <w:szCs w:val="24"/>
      <w:lang w:eastAsia="ar-SA"/>
    </w:rPr>
  </w:style>
  <w:style w:type="character" w:styleId="Vresatsauce">
    <w:name w:val="footnote reference"/>
    <w:semiHidden/>
    <w:rsid w:val="00045717"/>
    <w:rPr>
      <w:b/>
      <w:vertAlign w:val="superscript"/>
    </w:rPr>
  </w:style>
  <w:style w:type="paragraph" w:styleId="Vresteksts">
    <w:name w:val="footnote text"/>
    <w:basedOn w:val="Parasts"/>
    <w:link w:val="VrestekstsRakstz"/>
    <w:semiHidden/>
    <w:rsid w:val="00045717"/>
    <w:pPr>
      <w:widowControl w:val="0"/>
      <w:tabs>
        <w:tab w:val="left" w:pos="567"/>
      </w:tabs>
      <w:suppressAutoHyphens w:val="0"/>
      <w:ind w:left="567" w:hanging="567"/>
    </w:pPr>
    <w:rPr>
      <w:szCs w:val="20"/>
      <w:lang w:val="en-GB" w:eastAsia="fr-BE"/>
    </w:rPr>
  </w:style>
  <w:style w:type="character" w:customStyle="1" w:styleId="VrestekstsRakstz">
    <w:name w:val="Vēres teksts Rakstz."/>
    <w:basedOn w:val="Noklusjumarindkopasfonts"/>
    <w:link w:val="Vresteksts"/>
    <w:semiHidden/>
    <w:rsid w:val="00045717"/>
    <w:rPr>
      <w:rFonts w:eastAsia="Times New Roman"/>
      <w:sz w:val="24"/>
      <w:lang w:val="en-GB" w:eastAsia="fr-BE"/>
    </w:rPr>
  </w:style>
  <w:style w:type="paragraph" w:customStyle="1" w:styleId="Parastais">
    <w:name w:val="Parastais"/>
    <w:qFormat/>
    <w:rsid w:val="00841547"/>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3135</Words>
  <Characters>1788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Company>Tieslietu Ministrija</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nacionālo pozīciju par Eiropas Komisijas priekšlikumu Eiropas Parlamenta un Padomes regulai par fizisku personu aizsardzību attiecībā uz personas datu apstrādi un šādu datu brīvi apriti</dc:subject>
  <dc:creator>Dzintra Švarca;Irita Lukšo</dc:creator>
  <dc:description>67046139, Dzintra.Svarca@tm.gov.lv</dc:description>
  <cp:lastModifiedBy>Dace Vitola</cp:lastModifiedBy>
  <cp:revision>3</cp:revision>
  <dcterms:created xsi:type="dcterms:W3CDTF">2012-11-21T14:06:00Z</dcterms:created>
  <dcterms:modified xsi:type="dcterms:W3CDTF">2012-11-22T07:30:00Z</dcterms:modified>
</cp:coreProperties>
</file>