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D1" w:rsidRPr="0099662E" w:rsidRDefault="007F71EF" w:rsidP="00176BD1">
      <w:pPr>
        <w:pStyle w:val="NormalWeb"/>
        <w:spacing w:before="0" w:beforeAutospacing="0" w:after="0" w:afterAutospacing="0"/>
        <w:jc w:val="right"/>
        <w:rPr>
          <w:sz w:val="28"/>
          <w:szCs w:val="28"/>
        </w:rPr>
      </w:pPr>
      <w:r w:rsidRPr="0099662E">
        <w:rPr>
          <w:sz w:val="28"/>
          <w:szCs w:val="28"/>
        </w:rPr>
        <w:t>Informatīvā ziņojuma</w:t>
      </w:r>
      <w:r w:rsidR="00176BD1" w:rsidRPr="0099662E">
        <w:rPr>
          <w:sz w:val="28"/>
          <w:szCs w:val="28"/>
        </w:rPr>
        <w:t xml:space="preserve"> „Par Administratīvās rajona tiesas Rīgas tiesu nama un Rīgas pilsētas Ziemeļu rajona tiesas pārvietošanu un citām telpām”</w:t>
      </w:r>
    </w:p>
    <w:p w:rsidR="00176BD1" w:rsidRPr="0099662E" w:rsidRDefault="00176BD1" w:rsidP="00176BD1">
      <w:pPr>
        <w:pStyle w:val="NormalWeb"/>
        <w:spacing w:before="0" w:beforeAutospacing="0" w:after="0" w:afterAutospacing="0"/>
        <w:jc w:val="right"/>
        <w:rPr>
          <w:sz w:val="28"/>
          <w:szCs w:val="28"/>
        </w:rPr>
      </w:pPr>
      <w:r w:rsidRPr="0099662E">
        <w:rPr>
          <w:sz w:val="28"/>
          <w:szCs w:val="28"/>
        </w:rPr>
        <w:t>pielikums</w:t>
      </w:r>
    </w:p>
    <w:tbl>
      <w:tblPr>
        <w:tblpPr w:leftFromText="180" w:rightFromText="180" w:vertAnchor="text" w:horzAnchor="margin" w:tblpXSpec="center" w:tblpY="431"/>
        <w:tblW w:w="9606" w:type="dxa"/>
        <w:tblLayout w:type="fixed"/>
        <w:tblLook w:val="04A0"/>
      </w:tblPr>
      <w:tblGrid>
        <w:gridCol w:w="2376"/>
        <w:gridCol w:w="1725"/>
        <w:gridCol w:w="1165"/>
        <w:gridCol w:w="1221"/>
        <w:gridCol w:w="3119"/>
      </w:tblGrid>
      <w:tr w:rsidR="00176BD1" w:rsidRPr="0099662E" w:rsidTr="0099662E">
        <w:trPr>
          <w:trHeight w:val="600"/>
        </w:trPr>
        <w:tc>
          <w:tcPr>
            <w:tcW w:w="9606" w:type="dxa"/>
            <w:gridSpan w:val="5"/>
            <w:tcBorders>
              <w:top w:val="nil"/>
              <w:left w:val="nil"/>
              <w:bottom w:val="nil"/>
              <w:right w:val="nil"/>
            </w:tcBorders>
            <w:shd w:val="clear" w:color="auto" w:fill="auto"/>
            <w:vAlign w:val="center"/>
            <w:hideMark/>
          </w:tcPr>
          <w:p w:rsidR="00176BD1" w:rsidRPr="0099662E" w:rsidRDefault="007F71EF" w:rsidP="0099662E">
            <w:pPr>
              <w:spacing w:line="240" w:lineRule="auto"/>
              <w:jc w:val="center"/>
              <w:rPr>
                <w:rFonts w:ascii="Times New Roman" w:hAnsi="Times New Roman"/>
                <w:b/>
                <w:bCs/>
                <w:sz w:val="28"/>
                <w:szCs w:val="28"/>
              </w:rPr>
            </w:pPr>
            <w:r w:rsidRPr="0099662E">
              <w:rPr>
                <w:rFonts w:ascii="Times New Roman" w:hAnsi="Times New Roman"/>
                <w:b/>
                <w:bCs/>
                <w:sz w:val="28"/>
                <w:szCs w:val="28"/>
              </w:rPr>
              <w:t>Informatīvajā ziņojumā</w:t>
            </w:r>
            <w:r w:rsidR="00176BD1" w:rsidRPr="0099662E">
              <w:rPr>
                <w:rFonts w:ascii="Times New Roman" w:hAnsi="Times New Roman"/>
                <w:b/>
                <w:bCs/>
                <w:sz w:val="28"/>
                <w:szCs w:val="28"/>
              </w:rPr>
              <w:t xml:space="preserve"> piedāvātā risinājuma Administratīvās rajona tiesas Rīgas tiesu nama un Rīgas pilsētas Ziemeļu rajona tiesas izvietošanai citās telpās provizoriskās nomas maksa aprēķins</w:t>
            </w:r>
          </w:p>
        </w:tc>
      </w:tr>
      <w:tr w:rsidR="00176BD1" w:rsidRPr="0099662E" w:rsidTr="0099662E">
        <w:trPr>
          <w:trHeight w:val="330"/>
        </w:trPr>
        <w:tc>
          <w:tcPr>
            <w:tcW w:w="9606" w:type="dxa"/>
            <w:gridSpan w:val="5"/>
            <w:tcBorders>
              <w:top w:val="nil"/>
              <w:left w:val="nil"/>
              <w:bottom w:val="single" w:sz="4" w:space="0" w:color="auto"/>
              <w:right w:val="nil"/>
            </w:tcBorders>
            <w:shd w:val="clear" w:color="auto" w:fill="auto"/>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Nomas maksas aprēķins, ja provizoriskās būvniecības izmaksas ir 800 Ls par vienu m</w:t>
            </w:r>
            <w:r w:rsidRPr="0099662E">
              <w:rPr>
                <w:rFonts w:ascii="Times New Roman" w:hAnsi="Times New Roman"/>
                <w:b/>
                <w:bCs/>
                <w:sz w:val="28"/>
                <w:szCs w:val="28"/>
                <w:vertAlign w:val="superscript"/>
              </w:rPr>
              <w:t>2</w:t>
            </w:r>
            <w:r w:rsidRPr="0099662E">
              <w:rPr>
                <w:rFonts w:ascii="Times New Roman" w:hAnsi="Times New Roman"/>
                <w:b/>
                <w:bCs/>
                <w:sz w:val="28"/>
                <w:szCs w:val="28"/>
              </w:rPr>
              <w:t>.</w:t>
            </w:r>
          </w:p>
        </w:tc>
      </w:tr>
      <w:tr w:rsidR="00176BD1" w:rsidRPr="0099662E" w:rsidTr="0099662E">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Izdevumi</w:t>
            </w:r>
          </w:p>
        </w:tc>
        <w:tc>
          <w:tcPr>
            <w:tcW w:w="1725" w:type="dxa"/>
            <w:tcBorders>
              <w:top w:val="nil"/>
              <w:left w:val="nil"/>
              <w:bottom w:val="single" w:sz="4" w:space="0" w:color="auto"/>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Apzīmējums</w:t>
            </w:r>
          </w:p>
        </w:tc>
        <w:tc>
          <w:tcPr>
            <w:tcW w:w="1165" w:type="dxa"/>
            <w:tcBorders>
              <w:top w:val="nil"/>
              <w:left w:val="single" w:sz="4" w:space="0" w:color="auto"/>
              <w:bottom w:val="nil"/>
              <w:right w:val="single" w:sz="4" w:space="0" w:color="auto"/>
            </w:tcBorders>
            <w:shd w:val="clear" w:color="auto" w:fill="auto"/>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Objekts</w:t>
            </w:r>
          </w:p>
        </w:tc>
        <w:tc>
          <w:tcPr>
            <w:tcW w:w="1221" w:type="dxa"/>
            <w:tcBorders>
              <w:top w:val="nil"/>
              <w:left w:val="nil"/>
              <w:bottom w:val="single" w:sz="4" w:space="0" w:color="auto"/>
              <w:right w:val="single" w:sz="4" w:space="0" w:color="auto"/>
            </w:tcBorders>
            <w:shd w:val="clear" w:color="auto" w:fill="auto"/>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LVL/m</w:t>
            </w:r>
            <w:r w:rsidRPr="0099662E">
              <w:rPr>
                <w:rFonts w:ascii="Times New Roman" w:hAnsi="Times New Roman"/>
                <w:b/>
                <w:bCs/>
                <w:sz w:val="28"/>
                <w:szCs w:val="28"/>
                <w:vertAlign w:val="superscript"/>
              </w:rPr>
              <w:t>2</w:t>
            </w:r>
            <w:r w:rsidRPr="0099662E">
              <w:rPr>
                <w:rFonts w:ascii="Times New Roman" w:hAnsi="Times New Roman"/>
                <w:b/>
                <w:bCs/>
                <w:sz w:val="28"/>
                <w:szCs w:val="28"/>
              </w:rPr>
              <w:t xml:space="preserve">          mēnesī</w:t>
            </w:r>
          </w:p>
        </w:tc>
        <w:tc>
          <w:tcPr>
            <w:tcW w:w="3119" w:type="dxa"/>
            <w:tcBorders>
              <w:top w:val="nil"/>
              <w:left w:val="nil"/>
              <w:bottom w:val="single" w:sz="4" w:space="0" w:color="auto"/>
              <w:right w:val="single" w:sz="4" w:space="0" w:color="auto"/>
            </w:tcBorders>
            <w:shd w:val="clear" w:color="auto" w:fill="auto"/>
            <w:vAlign w:val="center"/>
            <w:hideMark/>
          </w:tcPr>
          <w:p w:rsidR="00176BD1" w:rsidRPr="0099662E" w:rsidRDefault="00176BD1" w:rsidP="00AB7C27">
            <w:pPr>
              <w:jc w:val="center"/>
              <w:rPr>
                <w:rFonts w:ascii="Times New Roman" w:hAnsi="Times New Roman"/>
                <w:b/>
                <w:bCs/>
                <w:sz w:val="28"/>
                <w:szCs w:val="28"/>
              </w:rPr>
            </w:pPr>
            <w:r w:rsidRPr="0099662E">
              <w:rPr>
                <w:rFonts w:ascii="Times New Roman" w:hAnsi="Times New Roman"/>
                <w:b/>
                <w:bCs/>
                <w:sz w:val="28"/>
                <w:szCs w:val="28"/>
              </w:rPr>
              <w:t>Detalizēts izdevumu apraksts</w:t>
            </w:r>
          </w:p>
        </w:tc>
      </w:tr>
      <w:tr w:rsidR="00176BD1" w:rsidRPr="0099662E" w:rsidTr="0099662E">
        <w:trPr>
          <w:trHeight w:val="285"/>
        </w:trPr>
        <w:tc>
          <w:tcPr>
            <w:tcW w:w="23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Iznomājamā platība (m2)</w:t>
            </w:r>
          </w:p>
        </w:tc>
        <w:tc>
          <w:tcPr>
            <w:tcW w:w="1725" w:type="dxa"/>
            <w:tcBorders>
              <w:top w:val="nil"/>
              <w:left w:val="nil"/>
              <w:bottom w:val="single" w:sz="4" w:space="0" w:color="auto"/>
              <w:right w:val="nil"/>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b/>
                <w:bCs/>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6 000</w:t>
            </w:r>
          </w:p>
        </w:tc>
        <w:tc>
          <w:tcPr>
            <w:tcW w:w="1221" w:type="dxa"/>
            <w:tcBorders>
              <w:top w:val="nil"/>
              <w:left w:val="nil"/>
              <w:bottom w:val="single" w:sz="4" w:space="0" w:color="auto"/>
              <w:right w:val="single" w:sz="4" w:space="0" w:color="auto"/>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sz w:val="28"/>
                <w:szCs w:val="28"/>
              </w:rPr>
            </w:pPr>
          </w:p>
        </w:tc>
        <w:tc>
          <w:tcPr>
            <w:tcW w:w="3119" w:type="dxa"/>
            <w:tcBorders>
              <w:top w:val="nil"/>
              <w:left w:val="nil"/>
              <w:bottom w:val="single" w:sz="4" w:space="0" w:color="auto"/>
              <w:right w:val="single" w:sz="4" w:space="0" w:color="auto"/>
            </w:tcBorders>
            <w:shd w:val="clear" w:color="000000" w:fill="D8D8D8"/>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r w:rsidR="00176BD1" w:rsidRPr="0099662E" w:rsidTr="0099662E">
        <w:trPr>
          <w:trHeight w:val="285"/>
        </w:trPr>
        <w:tc>
          <w:tcPr>
            <w:tcW w:w="23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Periodu skaits (mēneši)</w:t>
            </w:r>
          </w:p>
        </w:tc>
        <w:tc>
          <w:tcPr>
            <w:tcW w:w="1725" w:type="dxa"/>
            <w:tcBorders>
              <w:top w:val="nil"/>
              <w:left w:val="nil"/>
              <w:bottom w:val="single" w:sz="4" w:space="0" w:color="auto"/>
              <w:right w:val="nil"/>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b/>
                <w:bCs/>
                <w:sz w:val="28"/>
                <w:szCs w:val="28"/>
              </w:rPr>
            </w:pPr>
          </w:p>
        </w:tc>
        <w:tc>
          <w:tcPr>
            <w:tcW w:w="1165" w:type="dxa"/>
            <w:tcBorders>
              <w:top w:val="nil"/>
              <w:left w:val="single" w:sz="4" w:space="0" w:color="auto"/>
              <w:bottom w:val="single" w:sz="4" w:space="0" w:color="auto"/>
              <w:right w:val="single" w:sz="4" w:space="0" w:color="auto"/>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240</w:t>
            </w:r>
          </w:p>
        </w:tc>
        <w:tc>
          <w:tcPr>
            <w:tcW w:w="1221" w:type="dxa"/>
            <w:tcBorders>
              <w:top w:val="nil"/>
              <w:left w:val="nil"/>
              <w:bottom w:val="single" w:sz="4" w:space="0" w:color="auto"/>
              <w:right w:val="single" w:sz="4" w:space="0" w:color="auto"/>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sz w:val="28"/>
                <w:szCs w:val="28"/>
              </w:rPr>
            </w:pPr>
          </w:p>
        </w:tc>
        <w:tc>
          <w:tcPr>
            <w:tcW w:w="3119" w:type="dxa"/>
            <w:tcBorders>
              <w:top w:val="nil"/>
              <w:left w:val="nil"/>
              <w:bottom w:val="single" w:sz="4" w:space="0" w:color="auto"/>
              <w:right w:val="single" w:sz="4" w:space="0" w:color="auto"/>
            </w:tcBorders>
            <w:shd w:val="clear" w:color="000000" w:fill="D8D8D8"/>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r w:rsidR="00176BD1" w:rsidRPr="0099662E" w:rsidTr="0099662E">
        <w:trPr>
          <w:trHeight w:val="285"/>
        </w:trPr>
        <w:tc>
          <w:tcPr>
            <w:tcW w:w="2376" w:type="dxa"/>
            <w:tcBorders>
              <w:top w:val="single" w:sz="4" w:space="0" w:color="auto"/>
              <w:left w:val="single" w:sz="4" w:space="0" w:color="auto"/>
              <w:right w:val="single" w:sz="4" w:space="0" w:color="000000"/>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Netiešās izmaksas (bez PVN)</w:t>
            </w:r>
          </w:p>
        </w:tc>
        <w:tc>
          <w:tcPr>
            <w:tcW w:w="1725" w:type="dxa"/>
            <w:tcBorders>
              <w:top w:val="single" w:sz="4" w:space="0" w:color="auto"/>
              <w:left w:val="nil"/>
              <w:right w:val="nil"/>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b/>
                <w:bCs/>
                <w:sz w:val="28"/>
                <w:szCs w:val="28"/>
              </w:rPr>
            </w:pPr>
          </w:p>
        </w:tc>
        <w:tc>
          <w:tcPr>
            <w:tcW w:w="1165" w:type="dxa"/>
            <w:tcBorders>
              <w:top w:val="single" w:sz="4" w:space="0" w:color="auto"/>
              <w:left w:val="single" w:sz="4" w:space="0" w:color="auto"/>
              <w:right w:val="single" w:sz="4" w:space="0" w:color="auto"/>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sz w:val="28"/>
                <w:szCs w:val="28"/>
              </w:rPr>
            </w:pPr>
          </w:p>
        </w:tc>
        <w:tc>
          <w:tcPr>
            <w:tcW w:w="1221" w:type="dxa"/>
            <w:tcBorders>
              <w:top w:val="single" w:sz="4" w:space="0" w:color="auto"/>
              <w:left w:val="nil"/>
              <w:right w:val="nil"/>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sz w:val="28"/>
                <w:szCs w:val="28"/>
              </w:rPr>
            </w:pPr>
          </w:p>
        </w:tc>
        <w:tc>
          <w:tcPr>
            <w:tcW w:w="3119" w:type="dxa"/>
            <w:tcBorders>
              <w:top w:val="single" w:sz="4" w:space="0" w:color="auto"/>
              <w:left w:val="single" w:sz="4" w:space="0" w:color="auto"/>
              <w:right w:val="single" w:sz="4" w:space="0" w:color="auto"/>
            </w:tcBorders>
            <w:shd w:val="clear" w:color="000000" w:fill="D8D8D8"/>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r w:rsidR="00176BD1" w:rsidRPr="0099662E" w:rsidTr="0099662E">
        <w:trPr>
          <w:trHeight w:val="1920"/>
        </w:trPr>
        <w:tc>
          <w:tcPr>
            <w:tcW w:w="2376" w:type="dxa"/>
            <w:tcBorders>
              <w:left w:val="single" w:sz="4" w:space="0" w:color="auto"/>
              <w:bottom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Administratīvie izdevumi</w:t>
            </w:r>
          </w:p>
        </w:tc>
        <w:tc>
          <w:tcPr>
            <w:tcW w:w="1725" w:type="dxa"/>
            <w:tcBorders>
              <w:left w:val="nil"/>
              <w:bottom w:val="single" w:sz="4" w:space="0" w:color="auto"/>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b/>
                <w:bCs/>
                <w:sz w:val="28"/>
                <w:szCs w:val="28"/>
              </w:rPr>
            </w:pPr>
            <w:proofErr w:type="spellStart"/>
            <w:r w:rsidRPr="0099662E">
              <w:rPr>
                <w:rFonts w:ascii="Times New Roman" w:hAnsi="Times New Roman"/>
                <w:b/>
                <w:bCs/>
                <w:sz w:val="28"/>
                <w:szCs w:val="28"/>
              </w:rPr>
              <w:t>Adm</w:t>
            </w:r>
            <w:proofErr w:type="spellEnd"/>
          </w:p>
        </w:tc>
        <w:tc>
          <w:tcPr>
            <w:tcW w:w="1165" w:type="dxa"/>
            <w:tcBorders>
              <w:left w:val="single" w:sz="4" w:space="0" w:color="auto"/>
              <w:bottom w:val="single" w:sz="4" w:space="0" w:color="auto"/>
              <w:right w:val="single" w:sz="4" w:space="0" w:color="auto"/>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432 000</w:t>
            </w:r>
          </w:p>
        </w:tc>
        <w:tc>
          <w:tcPr>
            <w:tcW w:w="1221" w:type="dxa"/>
            <w:tcBorders>
              <w:left w:val="nil"/>
              <w:bottom w:val="single" w:sz="4" w:space="0" w:color="auto"/>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0,30</w:t>
            </w:r>
          </w:p>
        </w:tc>
        <w:tc>
          <w:tcPr>
            <w:tcW w:w="3119" w:type="dxa"/>
            <w:tcBorders>
              <w:left w:val="single" w:sz="4" w:space="0" w:color="auto"/>
              <w:bottom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Aprēķināts saskaņā ar Ministru kabineta 2010.gada 8. jūnija noteikumu Nr. 515 „Noteikumi par valsts un pašvaldību mantas iznomāšanas kārtību, nomas maksas noteikšanas metodiku un nomas līguma tipveida nosacījumiem” 59. punktu (Iznomātāja administratīvo kopējo plānoto izdevumu gadā daļa, kuru ir plānots attiecināt uz nekustamo īpašumu pārvaldīšanu, attiecība pret visu nekustamo īpašumu kopējo platību).</w:t>
            </w:r>
          </w:p>
        </w:tc>
      </w:tr>
      <w:tr w:rsidR="00176BD1" w:rsidRPr="0099662E" w:rsidTr="0099662E">
        <w:trPr>
          <w:trHeight w:val="627"/>
        </w:trPr>
        <w:tc>
          <w:tcPr>
            <w:tcW w:w="2376" w:type="dxa"/>
            <w:tcBorders>
              <w:top w:val="single" w:sz="4" w:space="0" w:color="auto"/>
              <w:left w:val="single" w:sz="4" w:space="0" w:color="auto"/>
              <w:right w:val="single" w:sz="4" w:space="0" w:color="000000"/>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lastRenderedPageBreak/>
              <w:t>Tiešās izmaksas (bez PVN)</w:t>
            </w:r>
          </w:p>
        </w:tc>
        <w:tc>
          <w:tcPr>
            <w:tcW w:w="1725" w:type="dxa"/>
            <w:tcBorders>
              <w:top w:val="single" w:sz="4" w:space="0" w:color="auto"/>
              <w:left w:val="nil"/>
              <w:right w:val="nil"/>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b/>
                <w:bCs/>
                <w:sz w:val="28"/>
                <w:szCs w:val="28"/>
              </w:rPr>
            </w:pPr>
          </w:p>
        </w:tc>
        <w:tc>
          <w:tcPr>
            <w:tcW w:w="1165" w:type="dxa"/>
            <w:tcBorders>
              <w:top w:val="single" w:sz="4" w:space="0" w:color="auto"/>
              <w:left w:val="single" w:sz="4" w:space="0" w:color="auto"/>
              <w:right w:val="single" w:sz="4" w:space="0" w:color="auto"/>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sz w:val="28"/>
                <w:szCs w:val="28"/>
              </w:rPr>
            </w:pPr>
          </w:p>
        </w:tc>
        <w:tc>
          <w:tcPr>
            <w:tcW w:w="1221" w:type="dxa"/>
            <w:tcBorders>
              <w:top w:val="single" w:sz="4" w:space="0" w:color="auto"/>
              <w:left w:val="nil"/>
              <w:right w:val="nil"/>
            </w:tcBorders>
            <w:shd w:val="clear" w:color="000000" w:fill="D8D8D8"/>
            <w:noWrap/>
            <w:vAlign w:val="center"/>
            <w:hideMark/>
          </w:tcPr>
          <w:p w:rsidR="00176BD1" w:rsidRPr="0099662E" w:rsidRDefault="00176BD1" w:rsidP="0099662E">
            <w:pPr>
              <w:spacing w:after="0" w:line="240" w:lineRule="auto"/>
              <w:jc w:val="center"/>
              <w:rPr>
                <w:rFonts w:ascii="Times New Roman" w:hAnsi="Times New Roman"/>
                <w:sz w:val="28"/>
                <w:szCs w:val="28"/>
              </w:rPr>
            </w:pPr>
          </w:p>
        </w:tc>
        <w:tc>
          <w:tcPr>
            <w:tcW w:w="3119" w:type="dxa"/>
            <w:tcBorders>
              <w:top w:val="single" w:sz="4" w:space="0" w:color="auto"/>
              <w:left w:val="single" w:sz="4" w:space="0" w:color="auto"/>
              <w:right w:val="single" w:sz="4" w:space="0" w:color="auto"/>
            </w:tcBorders>
            <w:shd w:val="clear" w:color="000000" w:fill="D8D8D8"/>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r w:rsidR="00176BD1" w:rsidRPr="0099662E" w:rsidTr="0099662E">
        <w:trPr>
          <w:trHeight w:val="1935"/>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Sistēmu apkalpošana</w:t>
            </w:r>
          </w:p>
        </w:tc>
        <w:tc>
          <w:tcPr>
            <w:tcW w:w="1725" w:type="dxa"/>
            <w:tcBorders>
              <w:left w:val="nil"/>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A</w:t>
            </w:r>
          </w:p>
        </w:tc>
        <w:tc>
          <w:tcPr>
            <w:tcW w:w="1165" w:type="dxa"/>
            <w:tcBorders>
              <w:left w:val="single" w:sz="4" w:space="0" w:color="auto"/>
              <w:right w:val="single" w:sz="4" w:space="0" w:color="auto"/>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288 000</w:t>
            </w:r>
          </w:p>
        </w:tc>
        <w:tc>
          <w:tcPr>
            <w:tcW w:w="1221" w:type="dxa"/>
            <w:tcBorders>
              <w:left w:val="nil"/>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0,20</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Iekšējā spēka elektrotīkla un apgaismes tīkla, iekšējo siltumtīklu, ūdensvada un kanalizācijas tīkla, ugunsdrošības un apziņošanas sistēmu, ventilācijas un kondicionēšanas sistēmu un pasažieru liftu tehniskā uzraudzība un avārijas remontu veikšana (Sistēmu apkalpošana tiek veikta saskaņā ar iekārtu izgatavotāju tehniskajām prasībām un spēkā esošajiem normatīvajiem aktiem).</w:t>
            </w:r>
          </w:p>
        </w:tc>
      </w:tr>
      <w:tr w:rsidR="00176BD1" w:rsidRPr="0099662E" w:rsidTr="0099662E">
        <w:trPr>
          <w:trHeight w:val="1695"/>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Teritorijas uzkopšana</w:t>
            </w:r>
          </w:p>
        </w:tc>
        <w:tc>
          <w:tcPr>
            <w:tcW w:w="1725"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P</w:t>
            </w:r>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144 000</w:t>
            </w:r>
          </w:p>
        </w:tc>
        <w:tc>
          <w:tcPr>
            <w:tcW w:w="1221" w:type="dxa"/>
            <w:tcBorders>
              <w:left w:val="nil"/>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0,10</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 xml:space="preserve">Ārējās teritorijas uzkopšanai nepieciešamā materiāla un ātri nolietojamā inventāra izmaksas, ar teritorijas uzkopšanu saistītās papildus izmaksas par sniega izvešanu ziemas periodā, lapu izvešana rudens periodā, u.c. (Teritorijas uzkopšana tiek veikta saskaņā ar attiecīgajā pašvaldībā spēkā esošajiem </w:t>
            </w:r>
            <w:r w:rsidRPr="0099662E">
              <w:rPr>
                <w:rFonts w:ascii="Times New Roman" w:hAnsi="Times New Roman"/>
                <w:sz w:val="28"/>
                <w:szCs w:val="28"/>
              </w:rPr>
              <w:lastRenderedPageBreak/>
              <w:t>normatīvajiem aktiem).</w:t>
            </w:r>
          </w:p>
        </w:tc>
      </w:tr>
      <w:tr w:rsidR="00176BD1" w:rsidRPr="0099662E" w:rsidTr="0099662E">
        <w:trPr>
          <w:trHeight w:val="1260"/>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lastRenderedPageBreak/>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Personāla izdevumi (namu pārzinis, sētnieki u.c.)</w:t>
            </w:r>
          </w:p>
        </w:tc>
        <w:tc>
          <w:tcPr>
            <w:tcW w:w="1725"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proofErr w:type="spellStart"/>
            <w:r w:rsidRPr="0099662E">
              <w:rPr>
                <w:rFonts w:ascii="Times New Roman" w:hAnsi="Times New Roman"/>
                <w:b/>
                <w:bCs/>
                <w:sz w:val="28"/>
                <w:szCs w:val="28"/>
              </w:rPr>
              <w:t>Baps</w:t>
            </w:r>
            <w:proofErr w:type="spellEnd"/>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288 000</w:t>
            </w:r>
          </w:p>
        </w:tc>
        <w:tc>
          <w:tcPr>
            <w:tcW w:w="1221" w:type="dxa"/>
            <w:tcBorders>
              <w:left w:val="nil"/>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0,20</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Četru apsaimniekošanā iesaistītā personāla atlīdzības izmaksas, kas sevī ietver minimālo algu, atvaļinājumu laikā nepieciešamā aizvietojošā personāla izmaksas, darba nespējas laika apmaksu un darba devēja valsts sociālās apdrošināšanas izmaksas.</w:t>
            </w:r>
          </w:p>
        </w:tc>
      </w:tr>
      <w:tr w:rsidR="00176BD1" w:rsidRPr="0099662E" w:rsidTr="0099662E">
        <w:trPr>
          <w:trHeight w:val="5514"/>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Apdrošināšana</w:t>
            </w:r>
          </w:p>
        </w:tc>
        <w:tc>
          <w:tcPr>
            <w:tcW w:w="1725"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proofErr w:type="spellStart"/>
            <w:r w:rsidRPr="0099662E">
              <w:rPr>
                <w:rFonts w:ascii="Times New Roman" w:hAnsi="Times New Roman"/>
                <w:b/>
                <w:bCs/>
                <w:sz w:val="28"/>
                <w:szCs w:val="28"/>
              </w:rPr>
              <w:t>Apdr</w:t>
            </w:r>
            <w:proofErr w:type="spellEnd"/>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144 000</w:t>
            </w:r>
          </w:p>
        </w:tc>
        <w:tc>
          <w:tcPr>
            <w:tcW w:w="1221" w:type="dxa"/>
            <w:tcBorders>
              <w:left w:val="nil"/>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0,10</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 xml:space="preserve">Nekustamā īpašuma apdrošināšana (apdrošināšanas riski - ugunsgrēks, dabas stihija, šķidruma noplūde, trešo personu prettiesiska rīcība ar </w:t>
            </w:r>
            <w:proofErr w:type="spellStart"/>
            <w:r w:rsidRPr="0099662E">
              <w:rPr>
                <w:rFonts w:ascii="Times New Roman" w:hAnsi="Times New Roman"/>
                <w:sz w:val="28"/>
                <w:szCs w:val="28"/>
              </w:rPr>
              <w:t>pašrisku</w:t>
            </w:r>
            <w:proofErr w:type="spellEnd"/>
            <w:r w:rsidRPr="0099662E">
              <w:rPr>
                <w:rFonts w:ascii="Times New Roman" w:hAnsi="Times New Roman"/>
                <w:sz w:val="28"/>
                <w:szCs w:val="28"/>
              </w:rPr>
              <w:t xml:space="preserve"> 2%). Par izmaksu lieluma aprēķina pamatu ņemts </w:t>
            </w:r>
            <w:r w:rsidRPr="0099662E">
              <w:rPr>
                <w:rFonts w:ascii="Times New Roman" w:hAnsi="Times New Roman"/>
                <w:sz w:val="28"/>
                <w:szCs w:val="28"/>
                <w:u w:val="single"/>
              </w:rPr>
              <w:t>2010.gadā</w:t>
            </w:r>
            <w:r w:rsidRPr="0099662E">
              <w:rPr>
                <w:rFonts w:ascii="Times New Roman" w:hAnsi="Times New Roman"/>
                <w:sz w:val="28"/>
                <w:szCs w:val="28"/>
              </w:rPr>
              <w:t xml:space="preserve"> ekspluatācijā nodota tiesu nama apdrošināšanas līgumā noteiktā atjaunošanas vērtība un apdrošināšanas gada likme.</w:t>
            </w:r>
          </w:p>
        </w:tc>
      </w:tr>
      <w:tr w:rsidR="00176BD1" w:rsidRPr="0099662E" w:rsidTr="0099662E">
        <w:trPr>
          <w:trHeight w:val="1260"/>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sz w:val="28"/>
                <w:szCs w:val="28"/>
              </w:rPr>
            </w:pPr>
            <w:r w:rsidRPr="0099662E">
              <w:rPr>
                <w:rFonts w:ascii="Times New Roman" w:hAnsi="Times New Roman"/>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Nekustamā īpašuma nodoklis</w:t>
            </w:r>
          </w:p>
        </w:tc>
        <w:tc>
          <w:tcPr>
            <w:tcW w:w="1725"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proofErr w:type="spellStart"/>
            <w:r w:rsidRPr="0099662E">
              <w:rPr>
                <w:rFonts w:ascii="Times New Roman" w:hAnsi="Times New Roman"/>
                <w:b/>
                <w:bCs/>
                <w:sz w:val="28"/>
                <w:szCs w:val="28"/>
              </w:rPr>
              <w:t>Nod</w:t>
            </w:r>
            <w:proofErr w:type="spellEnd"/>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100 800</w:t>
            </w:r>
          </w:p>
        </w:tc>
        <w:tc>
          <w:tcPr>
            <w:tcW w:w="1221" w:type="dxa"/>
            <w:tcBorders>
              <w:left w:val="nil"/>
              <w:right w:val="nil"/>
            </w:tcBorders>
            <w:shd w:val="clear" w:color="000000" w:fill="FFFFFF"/>
            <w:noWrap/>
            <w:vAlign w:val="center"/>
            <w:hideMark/>
          </w:tcPr>
          <w:p w:rsidR="00176BD1" w:rsidRPr="0099662E" w:rsidRDefault="00176BD1" w:rsidP="0099662E">
            <w:pPr>
              <w:spacing w:after="0" w:line="240" w:lineRule="auto"/>
              <w:jc w:val="center"/>
              <w:rPr>
                <w:rFonts w:ascii="Times New Roman" w:hAnsi="Times New Roman"/>
                <w:i/>
                <w:iCs/>
                <w:sz w:val="28"/>
                <w:szCs w:val="28"/>
              </w:rPr>
            </w:pPr>
            <w:r w:rsidRPr="0099662E">
              <w:rPr>
                <w:rFonts w:ascii="Times New Roman" w:hAnsi="Times New Roman"/>
                <w:i/>
                <w:iCs/>
                <w:sz w:val="28"/>
                <w:szCs w:val="28"/>
              </w:rPr>
              <w:t>0,07</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 xml:space="preserve">Nekustamā īpašuma nodoklis saskaņā ar likuma „Par nekustamā īpašuma nodokli” 3.pantā noteiktajām likmēm (Aprēķināts no nekustamo īpašumu Rīgā, Slokas ielā 37a un Rīgā, Baldones ielā 1 kadastrālās vērtības). </w:t>
            </w:r>
          </w:p>
        </w:tc>
      </w:tr>
      <w:tr w:rsidR="00176BD1" w:rsidRPr="0099662E" w:rsidTr="0099662E">
        <w:trPr>
          <w:trHeight w:val="7017"/>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Amortizācijas (40 gadi) atskaitījumi un uzkrājumi kārtējiem un kapitālajiem remontiem</w:t>
            </w:r>
          </w:p>
        </w:tc>
        <w:tc>
          <w:tcPr>
            <w:tcW w:w="1725" w:type="dxa"/>
            <w:tcBorders>
              <w:left w:val="nil"/>
              <w:right w:val="nil"/>
            </w:tcBorders>
            <w:shd w:val="clear" w:color="auto" w:fill="auto"/>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N</w:t>
            </w:r>
            <w:r w:rsidRPr="0099662E">
              <w:rPr>
                <w:rFonts w:ascii="Times New Roman" w:hAnsi="Times New Roman"/>
                <w:b/>
                <w:bCs/>
                <w:sz w:val="28"/>
                <w:szCs w:val="28"/>
                <w:vertAlign w:val="subscript"/>
              </w:rPr>
              <w:t>1</w:t>
            </w:r>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4 800 000</w:t>
            </w:r>
          </w:p>
        </w:tc>
        <w:tc>
          <w:tcPr>
            <w:tcW w:w="1221"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1,67</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Aprēķināts saskaņā ar Ministru kabineta 2010. gada 8. jūnija noteikumu Nr. 515 „Noteikumi par valsts un pašvaldību mantas iznomāšanas kārtību, nomas maksas noteikšanas metodiku un nomas līguma tipveida nosacījumiem” 57. punktu (Nekustamā īpašuma amortizācijas atskaitījumi un uzkrājumi 40 gadu periodā, kas aprēķināti 2,5% gadā no būvniecības izmaksām 800 Ls par vienu ēkas m</w:t>
            </w:r>
            <w:r w:rsidRPr="0099662E">
              <w:rPr>
                <w:rFonts w:ascii="Times New Roman" w:hAnsi="Times New Roman"/>
                <w:sz w:val="28"/>
                <w:szCs w:val="28"/>
                <w:vertAlign w:val="superscript"/>
              </w:rPr>
              <w:t>2</w:t>
            </w:r>
            <w:r w:rsidRPr="0099662E">
              <w:rPr>
                <w:rFonts w:ascii="Times New Roman" w:hAnsi="Times New Roman"/>
                <w:sz w:val="28"/>
                <w:szCs w:val="28"/>
              </w:rPr>
              <w:t>.).</w:t>
            </w:r>
          </w:p>
        </w:tc>
      </w:tr>
      <w:tr w:rsidR="00176BD1" w:rsidRPr="0099662E" w:rsidTr="0099662E">
        <w:trPr>
          <w:trHeight w:val="600"/>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Kapitālieguldījumi (bez PVN)</w:t>
            </w:r>
          </w:p>
        </w:tc>
        <w:tc>
          <w:tcPr>
            <w:tcW w:w="1725"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K</w:t>
            </w:r>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4 800 000</w:t>
            </w:r>
          </w:p>
        </w:tc>
        <w:tc>
          <w:tcPr>
            <w:tcW w:w="1221"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3,33</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Nepieciešamie kapitālieguldījumi, kas aprēķināti no būvniecības izmaksā 800 Ls par vienu ēkas m</w:t>
            </w:r>
            <w:r w:rsidRPr="0099662E">
              <w:rPr>
                <w:rFonts w:ascii="Times New Roman" w:hAnsi="Times New Roman"/>
                <w:sz w:val="28"/>
                <w:szCs w:val="28"/>
                <w:vertAlign w:val="superscript"/>
              </w:rPr>
              <w:t>2</w:t>
            </w:r>
            <w:r w:rsidRPr="0099662E">
              <w:rPr>
                <w:rFonts w:ascii="Times New Roman" w:hAnsi="Times New Roman"/>
                <w:sz w:val="28"/>
                <w:szCs w:val="28"/>
              </w:rPr>
              <w:t>.</w:t>
            </w:r>
          </w:p>
        </w:tc>
      </w:tr>
      <w:tr w:rsidR="00176BD1" w:rsidRPr="0099662E" w:rsidTr="0099662E">
        <w:trPr>
          <w:trHeight w:val="1260"/>
        </w:trPr>
        <w:tc>
          <w:tcPr>
            <w:tcW w:w="2376" w:type="dxa"/>
            <w:tcBorders>
              <w:left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Piesaistītā kapitāla izmaksas (ar PVN neapliekas)</w:t>
            </w:r>
          </w:p>
        </w:tc>
        <w:tc>
          <w:tcPr>
            <w:tcW w:w="1725"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r w:rsidRPr="0099662E">
              <w:rPr>
                <w:rFonts w:ascii="Times New Roman" w:hAnsi="Times New Roman"/>
                <w:b/>
                <w:bCs/>
                <w:sz w:val="28"/>
                <w:szCs w:val="28"/>
              </w:rPr>
              <w:t>F</w:t>
            </w:r>
          </w:p>
        </w:tc>
        <w:tc>
          <w:tcPr>
            <w:tcW w:w="1165" w:type="dxa"/>
            <w:tcBorders>
              <w:left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3 790 000</w:t>
            </w:r>
          </w:p>
        </w:tc>
        <w:tc>
          <w:tcPr>
            <w:tcW w:w="1221" w:type="dxa"/>
            <w:tcBorders>
              <w:left w:val="nil"/>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2,63</w:t>
            </w:r>
          </w:p>
        </w:tc>
        <w:tc>
          <w:tcPr>
            <w:tcW w:w="3119" w:type="dxa"/>
            <w:tcBorders>
              <w:left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Procentu maksājumi par piesaistīto  (aizņemto) kapitālu, kas aprēķināts no piesaistītā kapitāla provizoriskās cenas 6,5% gadā un no piesaistītā kapitāla atdošanas termiņa 20 gadi, piemērojot vienādā maksājuma kārtību.</w:t>
            </w:r>
          </w:p>
        </w:tc>
      </w:tr>
      <w:tr w:rsidR="00176BD1" w:rsidRPr="0099662E" w:rsidTr="0099662E">
        <w:trPr>
          <w:trHeight w:val="1725"/>
        </w:trPr>
        <w:tc>
          <w:tcPr>
            <w:tcW w:w="2376" w:type="dxa"/>
            <w:tcBorders>
              <w:left w:val="single" w:sz="4" w:space="0" w:color="auto"/>
              <w:bottom w:val="single" w:sz="4" w:space="0" w:color="auto"/>
              <w:right w:val="single" w:sz="4" w:space="0" w:color="auto"/>
            </w:tcBorders>
            <w:shd w:val="clear" w:color="auto" w:fill="auto"/>
            <w:vAlign w:val="center"/>
            <w:hideMark/>
          </w:tcPr>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 </w:t>
            </w:r>
          </w:p>
          <w:p w:rsidR="00176BD1" w:rsidRPr="0099662E" w:rsidRDefault="00176BD1" w:rsidP="0099662E">
            <w:pPr>
              <w:spacing w:after="0" w:line="240" w:lineRule="auto"/>
              <w:rPr>
                <w:rFonts w:ascii="Times New Roman" w:hAnsi="Times New Roman"/>
                <w:i/>
                <w:iCs/>
                <w:sz w:val="28"/>
                <w:szCs w:val="28"/>
              </w:rPr>
            </w:pPr>
            <w:r w:rsidRPr="0099662E">
              <w:rPr>
                <w:rFonts w:ascii="Times New Roman" w:hAnsi="Times New Roman"/>
                <w:i/>
                <w:iCs/>
                <w:sz w:val="28"/>
                <w:szCs w:val="28"/>
              </w:rPr>
              <w:t>Tiešās administratīvās izmaksas (0,5 %)</w:t>
            </w:r>
          </w:p>
        </w:tc>
        <w:tc>
          <w:tcPr>
            <w:tcW w:w="1725" w:type="dxa"/>
            <w:tcBorders>
              <w:left w:val="nil"/>
              <w:bottom w:val="single" w:sz="4" w:space="0" w:color="auto"/>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b/>
                <w:bCs/>
                <w:sz w:val="28"/>
                <w:szCs w:val="28"/>
              </w:rPr>
            </w:pPr>
            <w:proofErr w:type="spellStart"/>
            <w:r w:rsidRPr="0099662E">
              <w:rPr>
                <w:rFonts w:ascii="Times New Roman" w:hAnsi="Times New Roman"/>
                <w:b/>
                <w:bCs/>
                <w:sz w:val="28"/>
                <w:szCs w:val="28"/>
              </w:rPr>
              <w:t>Bbūvn</w:t>
            </w:r>
            <w:proofErr w:type="spellEnd"/>
          </w:p>
        </w:tc>
        <w:tc>
          <w:tcPr>
            <w:tcW w:w="1165" w:type="dxa"/>
            <w:tcBorders>
              <w:left w:val="single" w:sz="4" w:space="0" w:color="auto"/>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66 950</w:t>
            </w:r>
          </w:p>
        </w:tc>
        <w:tc>
          <w:tcPr>
            <w:tcW w:w="1221" w:type="dxa"/>
            <w:tcBorders>
              <w:left w:val="nil"/>
              <w:bottom w:val="single" w:sz="4" w:space="0" w:color="auto"/>
              <w:right w:val="nil"/>
            </w:tcBorders>
            <w:shd w:val="clear" w:color="auto" w:fill="auto"/>
            <w:noWrap/>
            <w:vAlign w:val="center"/>
            <w:hideMark/>
          </w:tcPr>
          <w:p w:rsidR="00176BD1" w:rsidRPr="0099662E" w:rsidRDefault="00176BD1" w:rsidP="0099662E">
            <w:pPr>
              <w:spacing w:after="0" w:line="240" w:lineRule="auto"/>
              <w:jc w:val="center"/>
              <w:rPr>
                <w:rFonts w:ascii="Times New Roman" w:hAnsi="Times New Roman"/>
                <w:sz w:val="28"/>
                <w:szCs w:val="28"/>
              </w:rPr>
            </w:pPr>
            <w:r w:rsidRPr="0099662E">
              <w:rPr>
                <w:rFonts w:ascii="Times New Roman" w:hAnsi="Times New Roman"/>
                <w:sz w:val="28"/>
                <w:szCs w:val="28"/>
              </w:rPr>
              <w:t>0,05</w:t>
            </w:r>
          </w:p>
        </w:tc>
        <w:tc>
          <w:tcPr>
            <w:tcW w:w="3119" w:type="dxa"/>
            <w:tcBorders>
              <w:left w:val="single" w:sz="4" w:space="0" w:color="auto"/>
              <w:bottom w:val="single" w:sz="4" w:space="0" w:color="auto"/>
              <w:right w:val="single" w:sz="4" w:space="0" w:color="auto"/>
            </w:tcBorders>
            <w:shd w:val="clear" w:color="auto" w:fill="auto"/>
            <w:vAlign w:val="center"/>
            <w:hideMark/>
          </w:tcPr>
          <w:p w:rsidR="00176BD1" w:rsidRPr="0099662E" w:rsidRDefault="00176BD1" w:rsidP="00AB7C27">
            <w:pPr>
              <w:jc w:val="both"/>
              <w:rPr>
                <w:rFonts w:ascii="Times New Roman" w:hAnsi="Times New Roman"/>
                <w:sz w:val="28"/>
                <w:szCs w:val="28"/>
              </w:rPr>
            </w:pPr>
            <w:r w:rsidRPr="0099662E">
              <w:rPr>
                <w:rFonts w:ascii="Times New Roman" w:hAnsi="Times New Roman"/>
                <w:sz w:val="28"/>
                <w:szCs w:val="28"/>
              </w:rPr>
              <w:t xml:space="preserve">Būvniecības laikā tieši iesaistītā administratīvā personāla atlīdzības izdevumi 0,5% gadā no kopējiem kapitālajiem ieguldījumiem un piesaistītā kapitāla izmaksām (T.sk. būvniecības projekta vadītāja, </w:t>
            </w:r>
            <w:proofErr w:type="spellStart"/>
            <w:r w:rsidRPr="0099662E">
              <w:rPr>
                <w:rFonts w:ascii="Times New Roman" w:hAnsi="Times New Roman"/>
                <w:sz w:val="28"/>
                <w:szCs w:val="28"/>
              </w:rPr>
              <w:t>būvekonomista</w:t>
            </w:r>
            <w:proofErr w:type="spellEnd"/>
            <w:r w:rsidRPr="0099662E">
              <w:rPr>
                <w:rFonts w:ascii="Times New Roman" w:hAnsi="Times New Roman"/>
                <w:sz w:val="28"/>
                <w:szCs w:val="28"/>
              </w:rPr>
              <w:t xml:space="preserve"> darba alga, darba devēja valsts sociālās apdrošināšanas iemaksas, citas saistītās izmaksas būvniecības laikā).</w:t>
            </w:r>
          </w:p>
        </w:tc>
      </w:tr>
      <w:tr w:rsidR="00176BD1" w:rsidRPr="0099662E" w:rsidTr="0099662E">
        <w:trPr>
          <w:trHeight w:val="285"/>
        </w:trPr>
        <w:tc>
          <w:tcPr>
            <w:tcW w:w="52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right"/>
              <w:rPr>
                <w:rFonts w:ascii="Times New Roman" w:hAnsi="Times New Roman"/>
                <w:b/>
                <w:bCs/>
                <w:sz w:val="28"/>
                <w:szCs w:val="28"/>
              </w:rPr>
            </w:pPr>
            <w:r w:rsidRPr="0099662E">
              <w:rPr>
                <w:rFonts w:ascii="Times New Roman" w:hAnsi="Times New Roman"/>
                <w:b/>
                <w:bCs/>
                <w:sz w:val="28"/>
                <w:szCs w:val="28"/>
              </w:rPr>
              <w:t>Nomas maksa Ls/m</w:t>
            </w:r>
            <w:r w:rsidRPr="0099662E">
              <w:rPr>
                <w:rFonts w:ascii="Times New Roman" w:hAnsi="Times New Roman"/>
                <w:b/>
                <w:bCs/>
                <w:sz w:val="28"/>
                <w:szCs w:val="28"/>
                <w:vertAlign w:val="superscript"/>
              </w:rPr>
              <w:t>2</w:t>
            </w:r>
            <w:r w:rsidRPr="0099662E">
              <w:rPr>
                <w:rFonts w:ascii="Times New Roman" w:hAnsi="Times New Roman"/>
                <w:b/>
                <w:bCs/>
                <w:sz w:val="28"/>
                <w:szCs w:val="28"/>
              </w:rPr>
              <w:t xml:space="preserve"> mēnesī, bez PVN</w:t>
            </w:r>
          </w:p>
        </w:tc>
        <w:tc>
          <w:tcPr>
            <w:tcW w:w="1221" w:type="dxa"/>
            <w:tcBorders>
              <w:top w:val="nil"/>
              <w:left w:val="nil"/>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right"/>
              <w:rPr>
                <w:rFonts w:ascii="Times New Roman" w:hAnsi="Times New Roman"/>
                <w:b/>
                <w:bCs/>
                <w:sz w:val="28"/>
                <w:szCs w:val="28"/>
              </w:rPr>
            </w:pPr>
            <w:r w:rsidRPr="0099662E">
              <w:rPr>
                <w:rFonts w:ascii="Times New Roman" w:hAnsi="Times New Roman"/>
                <w:b/>
                <w:bCs/>
                <w:sz w:val="28"/>
                <w:szCs w:val="28"/>
              </w:rPr>
              <w:t>8,65</w:t>
            </w:r>
          </w:p>
        </w:tc>
        <w:tc>
          <w:tcPr>
            <w:tcW w:w="3119" w:type="dxa"/>
            <w:tcBorders>
              <w:top w:val="nil"/>
              <w:left w:val="nil"/>
              <w:bottom w:val="single" w:sz="4" w:space="0" w:color="auto"/>
              <w:right w:val="single" w:sz="4" w:space="0" w:color="auto"/>
            </w:tcBorders>
            <w:shd w:val="clear" w:color="000000" w:fill="D8D8D8"/>
            <w:noWrap/>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r w:rsidR="00176BD1" w:rsidRPr="0099662E" w:rsidTr="0099662E">
        <w:trPr>
          <w:trHeight w:val="285"/>
        </w:trPr>
        <w:tc>
          <w:tcPr>
            <w:tcW w:w="52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right"/>
              <w:rPr>
                <w:rFonts w:ascii="Times New Roman" w:hAnsi="Times New Roman"/>
                <w:b/>
                <w:bCs/>
                <w:sz w:val="28"/>
                <w:szCs w:val="28"/>
              </w:rPr>
            </w:pPr>
            <w:r w:rsidRPr="0099662E">
              <w:rPr>
                <w:rFonts w:ascii="Times New Roman" w:hAnsi="Times New Roman"/>
                <w:b/>
                <w:bCs/>
                <w:sz w:val="28"/>
                <w:szCs w:val="28"/>
              </w:rPr>
              <w:t>Nomas maksa Ls/m</w:t>
            </w:r>
            <w:r w:rsidRPr="0099662E">
              <w:rPr>
                <w:rFonts w:ascii="Times New Roman" w:hAnsi="Times New Roman"/>
                <w:b/>
                <w:bCs/>
                <w:sz w:val="28"/>
                <w:szCs w:val="28"/>
                <w:vertAlign w:val="superscript"/>
              </w:rPr>
              <w:t>2</w:t>
            </w:r>
            <w:r w:rsidRPr="0099662E">
              <w:rPr>
                <w:rFonts w:ascii="Times New Roman" w:hAnsi="Times New Roman"/>
                <w:b/>
                <w:bCs/>
                <w:sz w:val="28"/>
                <w:szCs w:val="28"/>
              </w:rPr>
              <w:t xml:space="preserve"> mēnesī, ar PVN (22%)</w:t>
            </w:r>
          </w:p>
        </w:tc>
        <w:tc>
          <w:tcPr>
            <w:tcW w:w="1221" w:type="dxa"/>
            <w:tcBorders>
              <w:top w:val="nil"/>
              <w:left w:val="nil"/>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right"/>
              <w:rPr>
                <w:rFonts w:ascii="Times New Roman" w:hAnsi="Times New Roman"/>
                <w:b/>
                <w:bCs/>
                <w:sz w:val="28"/>
                <w:szCs w:val="28"/>
              </w:rPr>
            </w:pPr>
            <w:r w:rsidRPr="0099662E">
              <w:rPr>
                <w:rFonts w:ascii="Times New Roman" w:hAnsi="Times New Roman"/>
                <w:b/>
                <w:bCs/>
                <w:sz w:val="28"/>
                <w:szCs w:val="28"/>
              </w:rPr>
              <w:t>10,55</w:t>
            </w:r>
          </w:p>
        </w:tc>
        <w:tc>
          <w:tcPr>
            <w:tcW w:w="3119" w:type="dxa"/>
            <w:tcBorders>
              <w:top w:val="nil"/>
              <w:left w:val="nil"/>
              <w:bottom w:val="single" w:sz="4" w:space="0" w:color="auto"/>
              <w:right w:val="single" w:sz="4" w:space="0" w:color="auto"/>
            </w:tcBorders>
            <w:shd w:val="clear" w:color="000000" w:fill="D8D8D8"/>
            <w:noWrap/>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r w:rsidR="00176BD1" w:rsidRPr="0099662E" w:rsidTr="0099662E">
        <w:trPr>
          <w:trHeight w:val="285"/>
        </w:trPr>
        <w:tc>
          <w:tcPr>
            <w:tcW w:w="52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right"/>
              <w:rPr>
                <w:rFonts w:ascii="Times New Roman" w:hAnsi="Times New Roman"/>
                <w:b/>
                <w:bCs/>
                <w:sz w:val="28"/>
                <w:szCs w:val="28"/>
              </w:rPr>
            </w:pPr>
            <w:r w:rsidRPr="0099662E">
              <w:rPr>
                <w:rFonts w:ascii="Times New Roman" w:hAnsi="Times New Roman"/>
                <w:b/>
                <w:bCs/>
                <w:sz w:val="28"/>
                <w:szCs w:val="28"/>
              </w:rPr>
              <w:t>Projekta ietekme uz valsts budžetu Ls gadā</w:t>
            </w:r>
          </w:p>
        </w:tc>
        <w:tc>
          <w:tcPr>
            <w:tcW w:w="1221" w:type="dxa"/>
            <w:tcBorders>
              <w:top w:val="nil"/>
              <w:left w:val="nil"/>
              <w:bottom w:val="single" w:sz="4" w:space="0" w:color="auto"/>
              <w:right w:val="single" w:sz="4" w:space="0" w:color="auto"/>
            </w:tcBorders>
            <w:shd w:val="clear" w:color="auto" w:fill="auto"/>
            <w:noWrap/>
            <w:vAlign w:val="center"/>
            <w:hideMark/>
          </w:tcPr>
          <w:p w:rsidR="00176BD1" w:rsidRPr="0099662E" w:rsidRDefault="00176BD1" w:rsidP="0099662E">
            <w:pPr>
              <w:spacing w:after="0" w:line="240" w:lineRule="auto"/>
              <w:jc w:val="right"/>
              <w:rPr>
                <w:rFonts w:ascii="Times New Roman" w:hAnsi="Times New Roman"/>
                <w:b/>
                <w:bCs/>
                <w:sz w:val="28"/>
                <w:szCs w:val="28"/>
              </w:rPr>
            </w:pPr>
            <w:r w:rsidRPr="0099662E">
              <w:rPr>
                <w:rFonts w:ascii="Times New Roman" w:hAnsi="Times New Roman"/>
                <w:b/>
                <w:bCs/>
                <w:sz w:val="28"/>
                <w:szCs w:val="28"/>
              </w:rPr>
              <w:t>759 600</w:t>
            </w:r>
          </w:p>
        </w:tc>
        <w:tc>
          <w:tcPr>
            <w:tcW w:w="3119" w:type="dxa"/>
            <w:tcBorders>
              <w:top w:val="nil"/>
              <w:left w:val="nil"/>
              <w:bottom w:val="single" w:sz="4" w:space="0" w:color="auto"/>
              <w:right w:val="single" w:sz="4" w:space="0" w:color="auto"/>
            </w:tcBorders>
            <w:shd w:val="clear" w:color="000000" w:fill="D8D8D8"/>
            <w:noWrap/>
            <w:vAlign w:val="center"/>
            <w:hideMark/>
          </w:tcPr>
          <w:p w:rsidR="00176BD1" w:rsidRPr="0099662E" w:rsidRDefault="00176BD1" w:rsidP="00AB7C27">
            <w:pPr>
              <w:rPr>
                <w:rFonts w:ascii="Times New Roman" w:hAnsi="Times New Roman"/>
                <w:sz w:val="28"/>
                <w:szCs w:val="28"/>
              </w:rPr>
            </w:pPr>
            <w:r w:rsidRPr="0099662E">
              <w:rPr>
                <w:rFonts w:ascii="Times New Roman" w:hAnsi="Times New Roman"/>
                <w:sz w:val="28"/>
                <w:szCs w:val="28"/>
              </w:rPr>
              <w:t> </w:t>
            </w:r>
          </w:p>
        </w:tc>
      </w:tr>
    </w:tbl>
    <w:p w:rsidR="00176BD1" w:rsidRDefault="00176BD1" w:rsidP="00E56667">
      <w:pPr>
        <w:spacing w:after="0" w:line="240" w:lineRule="auto"/>
        <w:jc w:val="both"/>
        <w:rPr>
          <w:rFonts w:ascii="Times New Roman" w:hAnsi="Times New Roman"/>
          <w:sz w:val="24"/>
          <w:szCs w:val="24"/>
        </w:rPr>
      </w:pPr>
    </w:p>
    <w:p w:rsidR="008A1B05" w:rsidRPr="008A1B05" w:rsidRDefault="008A1B05" w:rsidP="00E56667">
      <w:pPr>
        <w:tabs>
          <w:tab w:val="left" w:pos="1374"/>
        </w:tabs>
        <w:spacing w:after="0" w:line="240" w:lineRule="auto"/>
        <w:jc w:val="both"/>
        <w:rPr>
          <w:rFonts w:ascii="Times New Roman" w:hAnsi="Times New Roman"/>
          <w:sz w:val="28"/>
          <w:szCs w:val="28"/>
        </w:rPr>
      </w:pPr>
      <w:r w:rsidRPr="008A1B05">
        <w:rPr>
          <w:rFonts w:ascii="Times New Roman" w:hAnsi="Times New Roman"/>
          <w:sz w:val="28"/>
          <w:szCs w:val="28"/>
        </w:rPr>
        <w:t>Tieslietu ministrs</w:t>
      </w:r>
      <w:r w:rsidRPr="008A1B05">
        <w:rPr>
          <w:rFonts w:ascii="Times New Roman" w:hAnsi="Times New Roman"/>
          <w:sz w:val="28"/>
          <w:szCs w:val="28"/>
        </w:rPr>
        <w:tab/>
      </w:r>
      <w:r w:rsidRPr="008A1B05">
        <w:rPr>
          <w:rFonts w:ascii="Times New Roman" w:hAnsi="Times New Roman"/>
          <w:sz w:val="28"/>
          <w:szCs w:val="28"/>
        </w:rPr>
        <w:tab/>
      </w:r>
      <w:r w:rsidRPr="008A1B05">
        <w:rPr>
          <w:rFonts w:ascii="Times New Roman" w:hAnsi="Times New Roman"/>
          <w:sz w:val="28"/>
          <w:szCs w:val="28"/>
        </w:rPr>
        <w:tab/>
      </w:r>
      <w:r w:rsidRPr="008A1B05">
        <w:rPr>
          <w:rFonts w:ascii="Times New Roman" w:hAnsi="Times New Roman"/>
          <w:sz w:val="28"/>
          <w:szCs w:val="28"/>
        </w:rPr>
        <w:tab/>
      </w:r>
      <w:r w:rsidRPr="008A1B05">
        <w:rPr>
          <w:rFonts w:ascii="Times New Roman" w:hAnsi="Times New Roman"/>
          <w:sz w:val="28"/>
          <w:szCs w:val="28"/>
        </w:rPr>
        <w:tab/>
      </w:r>
      <w:r w:rsidRPr="008A1B05">
        <w:rPr>
          <w:rFonts w:ascii="Times New Roman" w:hAnsi="Times New Roman"/>
          <w:sz w:val="28"/>
          <w:szCs w:val="28"/>
        </w:rPr>
        <w:tab/>
      </w:r>
      <w:r w:rsidRPr="008A1B05">
        <w:rPr>
          <w:rFonts w:ascii="Times New Roman" w:hAnsi="Times New Roman"/>
          <w:sz w:val="28"/>
          <w:szCs w:val="28"/>
        </w:rPr>
        <w:tab/>
      </w:r>
      <w:r w:rsidRPr="008A1B05">
        <w:rPr>
          <w:rFonts w:ascii="Times New Roman" w:hAnsi="Times New Roman"/>
          <w:sz w:val="28"/>
          <w:szCs w:val="28"/>
        </w:rPr>
        <w:tab/>
      </w:r>
      <w:r>
        <w:rPr>
          <w:rFonts w:ascii="Times New Roman" w:hAnsi="Times New Roman"/>
          <w:sz w:val="28"/>
          <w:szCs w:val="28"/>
        </w:rPr>
        <w:t xml:space="preserve"> </w:t>
      </w:r>
      <w:r w:rsidRPr="008A1B05">
        <w:rPr>
          <w:rFonts w:ascii="Times New Roman" w:hAnsi="Times New Roman"/>
          <w:sz w:val="28"/>
          <w:szCs w:val="28"/>
        </w:rPr>
        <w:t>A. </w:t>
      </w:r>
      <w:proofErr w:type="spellStart"/>
      <w:r w:rsidRPr="008A1B05">
        <w:rPr>
          <w:rFonts w:ascii="Times New Roman" w:hAnsi="Times New Roman"/>
          <w:sz w:val="28"/>
          <w:szCs w:val="28"/>
        </w:rPr>
        <w:t>Štokenbergs</w:t>
      </w:r>
      <w:proofErr w:type="spellEnd"/>
    </w:p>
    <w:p w:rsidR="00176BD1" w:rsidRPr="008664E6" w:rsidRDefault="00176BD1" w:rsidP="00176BD1">
      <w:pPr>
        <w:spacing w:after="0" w:line="240" w:lineRule="auto"/>
        <w:jc w:val="both"/>
        <w:rPr>
          <w:rFonts w:ascii="Times New Roman" w:hAnsi="Times New Roman"/>
          <w:sz w:val="20"/>
          <w:szCs w:val="20"/>
        </w:rPr>
      </w:pPr>
    </w:p>
    <w:p w:rsidR="00176BD1" w:rsidRPr="008664E6" w:rsidRDefault="0099662E" w:rsidP="00176BD1">
      <w:pPr>
        <w:pStyle w:val="Title"/>
        <w:jc w:val="both"/>
        <w:rPr>
          <w:b w:val="0"/>
          <w:sz w:val="20"/>
        </w:rPr>
      </w:pPr>
      <w:r>
        <w:rPr>
          <w:b w:val="0"/>
          <w:sz w:val="20"/>
        </w:rPr>
        <w:t>12</w:t>
      </w:r>
      <w:r w:rsidR="00176BD1">
        <w:rPr>
          <w:b w:val="0"/>
          <w:sz w:val="20"/>
        </w:rPr>
        <w:t>.</w:t>
      </w:r>
      <w:r>
        <w:rPr>
          <w:b w:val="0"/>
          <w:sz w:val="20"/>
        </w:rPr>
        <w:t>07</w:t>
      </w:r>
      <w:r w:rsidR="00176BD1">
        <w:rPr>
          <w:b w:val="0"/>
          <w:sz w:val="20"/>
        </w:rPr>
        <w:t>.201</w:t>
      </w:r>
      <w:r w:rsidR="008A1B05">
        <w:rPr>
          <w:b w:val="0"/>
          <w:sz w:val="20"/>
        </w:rPr>
        <w:t>1. 10</w:t>
      </w:r>
      <w:r w:rsidR="00176BD1" w:rsidRPr="008664E6">
        <w:rPr>
          <w:b w:val="0"/>
          <w:sz w:val="20"/>
        </w:rPr>
        <w:t>:</w:t>
      </w:r>
      <w:r w:rsidR="00E56667">
        <w:rPr>
          <w:b w:val="0"/>
          <w:sz w:val="20"/>
        </w:rPr>
        <w:t>42</w:t>
      </w:r>
    </w:p>
    <w:p w:rsidR="00176BD1" w:rsidRPr="008664E6" w:rsidRDefault="008A1B05" w:rsidP="00176BD1">
      <w:pPr>
        <w:pStyle w:val="Title"/>
        <w:tabs>
          <w:tab w:val="left" w:pos="780"/>
        </w:tabs>
        <w:jc w:val="both"/>
        <w:rPr>
          <w:b w:val="0"/>
          <w:sz w:val="20"/>
        </w:rPr>
      </w:pPr>
      <w:r>
        <w:rPr>
          <w:b w:val="0"/>
          <w:sz w:val="20"/>
        </w:rPr>
        <w:t>556</w:t>
      </w:r>
    </w:p>
    <w:p w:rsidR="00176BD1" w:rsidRPr="008664E6" w:rsidRDefault="00176BD1" w:rsidP="00176BD1">
      <w:pPr>
        <w:spacing w:after="0" w:line="240" w:lineRule="auto"/>
        <w:rPr>
          <w:rFonts w:ascii="Times New Roman" w:hAnsi="Times New Roman"/>
          <w:sz w:val="20"/>
          <w:szCs w:val="20"/>
        </w:rPr>
      </w:pPr>
      <w:r w:rsidRPr="008664E6">
        <w:rPr>
          <w:rFonts w:ascii="Times New Roman" w:hAnsi="Times New Roman"/>
          <w:sz w:val="20"/>
          <w:szCs w:val="20"/>
        </w:rPr>
        <w:t>E. Timpare</w:t>
      </w:r>
    </w:p>
    <w:p w:rsidR="00F236FB" w:rsidRPr="00E56667" w:rsidRDefault="00176BD1" w:rsidP="00E56667">
      <w:pPr>
        <w:pStyle w:val="Title"/>
        <w:tabs>
          <w:tab w:val="left" w:pos="780"/>
        </w:tabs>
        <w:jc w:val="both"/>
        <w:rPr>
          <w:b w:val="0"/>
          <w:sz w:val="20"/>
        </w:rPr>
      </w:pPr>
      <w:r w:rsidRPr="008664E6">
        <w:rPr>
          <w:b w:val="0"/>
          <w:sz w:val="20"/>
        </w:rPr>
        <w:t xml:space="preserve">67036829, </w:t>
      </w:r>
      <w:hyperlink r:id="rId6" w:history="1">
        <w:r w:rsidRPr="008664E6">
          <w:rPr>
            <w:rStyle w:val="Hyperlink"/>
            <w:b w:val="0"/>
            <w:sz w:val="20"/>
          </w:rPr>
          <w:t>evija.timpare@tm.gov.lv</w:t>
        </w:r>
      </w:hyperlink>
    </w:p>
    <w:sectPr w:rsidR="00F236FB" w:rsidRPr="00E56667" w:rsidSect="0099662E">
      <w:headerReference w:type="default" r:id="rId7"/>
      <w:footerReference w:type="default" r:id="rId8"/>
      <w:footerReference w:type="first" r:id="rId9"/>
      <w:pgSz w:w="11906" w:h="16838" w:code="9"/>
      <w:pgMar w:top="1418" w:right="1134"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C8" w:rsidRDefault="00CE30C8" w:rsidP="00CE30C8">
      <w:pPr>
        <w:spacing w:after="0" w:line="240" w:lineRule="auto"/>
      </w:pPr>
      <w:r>
        <w:separator/>
      </w:r>
    </w:p>
  </w:endnote>
  <w:endnote w:type="continuationSeparator" w:id="0">
    <w:p w:rsidR="00CE30C8" w:rsidRDefault="00CE30C8" w:rsidP="00CE3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67" w:rsidRDefault="00E56667" w:rsidP="00796660">
    <w:pPr>
      <w:pStyle w:val="Footer"/>
      <w:ind w:left="-284"/>
      <w:jc w:val="both"/>
      <w:rPr>
        <w:rFonts w:ascii="Times New Roman" w:hAnsi="Times New Roman"/>
        <w:sz w:val="20"/>
        <w:szCs w:val="20"/>
      </w:rPr>
    </w:pPr>
  </w:p>
  <w:p w:rsidR="00796660" w:rsidRPr="00796660" w:rsidRDefault="007F71EF" w:rsidP="00796660">
    <w:pPr>
      <w:pStyle w:val="Footer"/>
      <w:ind w:left="-284"/>
      <w:jc w:val="both"/>
      <w:rPr>
        <w:rFonts w:ascii="Times New Roman" w:hAnsi="Times New Roman"/>
        <w:sz w:val="20"/>
        <w:szCs w:val="20"/>
      </w:rPr>
    </w:pPr>
    <w:r>
      <w:rPr>
        <w:rFonts w:ascii="Times New Roman" w:hAnsi="Times New Roman"/>
        <w:sz w:val="20"/>
        <w:szCs w:val="20"/>
      </w:rPr>
      <w:t>TM</w:t>
    </w:r>
    <w:r w:rsidR="00CE30C8">
      <w:rPr>
        <w:rFonts w:ascii="Times New Roman" w:hAnsi="Times New Roman"/>
        <w:sz w:val="20"/>
        <w:szCs w:val="20"/>
      </w:rPr>
      <w:t>Zino</w:t>
    </w:r>
    <w:r>
      <w:rPr>
        <w:rFonts w:ascii="Times New Roman" w:hAnsi="Times New Roman"/>
        <w:sz w:val="20"/>
        <w:szCs w:val="20"/>
      </w:rPr>
      <w:t>p_</w:t>
    </w:r>
    <w:r w:rsidR="0099662E">
      <w:rPr>
        <w:rFonts w:ascii="Times New Roman" w:hAnsi="Times New Roman"/>
        <w:sz w:val="20"/>
        <w:szCs w:val="20"/>
      </w:rPr>
      <w:t>1207</w:t>
    </w:r>
    <w:r w:rsidR="00CE30C8">
      <w:rPr>
        <w:rFonts w:ascii="Times New Roman" w:hAnsi="Times New Roman"/>
        <w:sz w:val="20"/>
        <w:szCs w:val="20"/>
      </w:rPr>
      <w:t>11</w:t>
    </w:r>
    <w:r>
      <w:rPr>
        <w:rFonts w:ascii="Times New Roman" w:hAnsi="Times New Roman"/>
        <w:sz w:val="20"/>
        <w:szCs w:val="20"/>
      </w:rPr>
      <w:t xml:space="preserve">_parcelsana; Pielikums </w:t>
    </w:r>
    <w:r w:rsidR="00CE30C8">
      <w:rPr>
        <w:rFonts w:ascii="Times New Roman" w:hAnsi="Times New Roman"/>
        <w:sz w:val="20"/>
        <w:szCs w:val="20"/>
      </w:rPr>
      <w:t xml:space="preserve">informatīvajam ziņojumam </w:t>
    </w:r>
    <w:r>
      <w:rPr>
        <w:rFonts w:ascii="Times New Roman" w:hAnsi="Times New Roman"/>
        <w:sz w:val="20"/>
        <w:szCs w:val="20"/>
      </w:rPr>
      <w:t>„Par Administratīvās rajona tiesas Rīgas tiesu nama un Rīgas pilsētas Ziemeļu rajona tiesas pārvietošanu uz citām telpām”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67" w:rsidRDefault="00E56667" w:rsidP="00D55B6E">
    <w:pPr>
      <w:pStyle w:val="Footer"/>
      <w:ind w:left="-284"/>
      <w:jc w:val="both"/>
      <w:rPr>
        <w:rFonts w:ascii="Times New Roman" w:hAnsi="Times New Roman"/>
        <w:sz w:val="20"/>
        <w:szCs w:val="20"/>
      </w:rPr>
    </w:pPr>
  </w:p>
  <w:p w:rsidR="00D55B6E" w:rsidRPr="00D55B6E" w:rsidRDefault="0055659F" w:rsidP="00D55B6E">
    <w:pPr>
      <w:pStyle w:val="Footer"/>
      <w:ind w:left="-284"/>
      <w:jc w:val="both"/>
      <w:rPr>
        <w:rFonts w:ascii="Times New Roman" w:hAnsi="Times New Roman"/>
        <w:sz w:val="20"/>
        <w:szCs w:val="20"/>
      </w:rPr>
    </w:pPr>
    <w:r>
      <w:rPr>
        <w:rFonts w:ascii="Times New Roman" w:hAnsi="Times New Roman"/>
        <w:sz w:val="20"/>
        <w:szCs w:val="20"/>
      </w:rPr>
      <w:t>TMZinop_</w:t>
    </w:r>
    <w:r w:rsidR="0099662E">
      <w:rPr>
        <w:rFonts w:ascii="Times New Roman" w:hAnsi="Times New Roman"/>
        <w:sz w:val="20"/>
        <w:szCs w:val="20"/>
      </w:rPr>
      <w:t>1207</w:t>
    </w:r>
    <w:r w:rsidR="00CE30C8">
      <w:rPr>
        <w:rFonts w:ascii="Times New Roman" w:hAnsi="Times New Roman"/>
        <w:sz w:val="20"/>
        <w:szCs w:val="20"/>
      </w:rPr>
      <w:t>11_parcelsana; Pielikums informatīvajam ziņojumam „Par Administratīvās rajona tiesas Rīgas tiesu nama un Rīgas pilsētas Ziemeļu rajona tiesas pārvietošanu uz citām telpām”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C8" w:rsidRDefault="00CE30C8" w:rsidP="00CE30C8">
      <w:pPr>
        <w:spacing w:after="0" w:line="240" w:lineRule="auto"/>
      </w:pPr>
      <w:r>
        <w:separator/>
      </w:r>
    </w:p>
  </w:footnote>
  <w:footnote w:type="continuationSeparator" w:id="0">
    <w:p w:rsidR="00CE30C8" w:rsidRDefault="00CE30C8" w:rsidP="00CE3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63127"/>
      <w:docPartObj>
        <w:docPartGallery w:val="Page Numbers (Top of Page)"/>
        <w:docPartUnique/>
      </w:docPartObj>
    </w:sdtPr>
    <w:sdtContent>
      <w:p w:rsidR="00796660" w:rsidRPr="00796660" w:rsidRDefault="002B53F7">
        <w:pPr>
          <w:pStyle w:val="Header"/>
          <w:jc w:val="center"/>
          <w:rPr>
            <w:rFonts w:ascii="Times New Roman" w:hAnsi="Times New Roman"/>
          </w:rPr>
        </w:pPr>
        <w:r w:rsidRPr="00796660">
          <w:rPr>
            <w:rFonts w:ascii="Times New Roman" w:hAnsi="Times New Roman"/>
          </w:rPr>
          <w:fldChar w:fldCharType="begin"/>
        </w:r>
        <w:r w:rsidR="007F71EF" w:rsidRPr="00796660">
          <w:rPr>
            <w:rFonts w:ascii="Times New Roman" w:hAnsi="Times New Roman"/>
          </w:rPr>
          <w:instrText xml:space="preserve"> PAGE   \* MERGEFORMAT </w:instrText>
        </w:r>
        <w:r w:rsidRPr="00796660">
          <w:rPr>
            <w:rFonts w:ascii="Times New Roman" w:hAnsi="Times New Roman"/>
          </w:rPr>
          <w:fldChar w:fldCharType="separate"/>
        </w:r>
        <w:r w:rsidR="00E56667">
          <w:rPr>
            <w:rFonts w:ascii="Times New Roman" w:hAnsi="Times New Roman"/>
            <w:noProof/>
          </w:rPr>
          <w:t>5</w:t>
        </w:r>
        <w:r w:rsidRPr="00796660">
          <w:rPr>
            <w:rFonts w:ascii="Times New Roman" w:hAnsi="Times New Roman"/>
          </w:rPr>
          <w:fldChar w:fldCharType="end"/>
        </w:r>
      </w:p>
    </w:sdtContent>
  </w:sdt>
  <w:p w:rsidR="00796660" w:rsidRPr="00796660" w:rsidRDefault="00E56667">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6BD1"/>
    <w:rsid w:val="0006363F"/>
    <w:rsid w:val="000B0B81"/>
    <w:rsid w:val="000C46C4"/>
    <w:rsid w:val="000E59A6"/>
    <w:rsid w:val="00110AF7"/>
    <w:rsid w:val="00121F76"/>
    <w:rsid w:val="001255FF"/>
    <w:rsid w:val="00163D30"/>
    <w:rsid w:val="00176BD1"/>
    <w:rsid w:val="00183BFC"/>
    <w:rsid w:val="00197180"/>
    <w:rsid w:val="001F17A0"/>
    <w:rsid w:val="0021717E"/>
    <w:rsid w:val="002173AE"/>
    <w:rsid w:val="00225D74"/>
    <w:rsid w:val="002374ED"/>
    <w:rsid w:val="00286447"/>
    <w:rsid w:val="002A36E5"/>
    <w:rsid w:val="002B53F7"/>
    <w:rsid w:val="00307E0E"/>
    <w:rsid w:val="003178F5"/>
    <w:rsid w:val="00332F56"/>
    <w:rsid w:val="00371A4B"/>
    <w:rsid w:val="00375D16"/>
    <w:rsid w:val="003840FD"/>
    <w:rsid w:val="003B1E97"/>
    <w:rsid w:val="003B259C"/>
    <w:rsid w:val="003B3B44"/>
    <w:rsid w:val="003C5E0D"/>
    <w:rsid w:val="003E37BD"/>
    <w:rsid w:val="00434044"/>
    <w:rsid w:val="0046300E"/>
    <w:rsid w:val="00485BC7"/>
    <w:rsid w:val="004B5F21"/>
    <w:rsid w:val="004C2B0B"/>
    <w:rsid w:val="004C2CF3"/>
    <w:rsid w:val="005069AC"/>
    <w:rsid w:val="0051283B"/>
    <w:rsid w:val="0055659F"/>
    <w:rsid w:val="00574243"/>
    <w:rsid w:val="005757F8"/>
    <w:rsid w:val="005A63FB"/>
    <w:rsid w:val="005B6EB6"/>
    <w:rsid w:val="005E73AB"/>
    <w:rsid w:val="00614473"/>
    <w:rsid w:val="00620F5B"/>
    <w:rsid w:val="00631C7A"/>
    <w:rsid w:val="006506F4"/>
    <w:rsid w:val="006550AC"/>
    <w:rsid w:val="00666FCF"/>
    <w:rsid w:val="00672839"/>
    <w:rsid w:val="00673C8B"/>
    <w:rsid w:val="00687BB3"/>
    <w:rsid w:val="006E1335"/>
    <w:rsid w:val="006F48DF"/>
    <w:rsid w:val="00722CC2"/>
    <w:rsid w:val="00743974"/>
    <w:rsid w:val="0075742C"/>
    <w:rsid w:val="00770C79"/>
    <w:rsid w:val="00794816"/>
    <w:rsid w:val="007A0223"/>
    <w:rsid w:val="007A261C"/>
    <w:rsid w:val="007B35AD"/>
    <w:rsid w:val="007D786D"/>
    <w:rsid w:val="007F45E0"/>
    <w:rsid w:val="007F71EF"/>
    <w:rsid w:val="00815992"/>
    <w:rsid w:val="00825B63"/>
    <w:rsid w:val="00840156"/>
    <w:rsid w:val="00852C8E"/>
    <w:rsid w:val="008A1B05"/>
    <w:rsid w:val="008B2B47"/>
    <w:rsid w:val="008B4D66"/>
    <w:rsid w:val="008B5B5B"/>
    <w:rsid w:val="008C5D77"/>
    <w:rsid w:val="00902EEF"/>
    <w:rsid w:val="009137A2"/>
    <w:rsid w:val="009158BD"/>
    <w:rsid w:val="009249CC"/>
    <w:rsid w:val="00933D38"/>
    <w:rsid w:val="009351AA"/>
    <w:rsid w:val="0095052D"/>
    <w:rsid w:val="00977BD7"/>
    <w:rsid w:val="0099662E"/>
    <w:rsid w:val="009A1C13"/>
    <w:rsid w:val="009A774D"/>
    <w:rsid w:val="009B0258"/>
    <w:rsid w:val="009E0A87"/>
    <w:rsid w:val="009F02F0"/>
    <w:rsid w:val="009F07EA"/>
    <w:rsid w:val="009F0DB9"/>
    <w:rsid w:val="009F709D"/>
    <w:rsid w:val="00A46DED"/>
    <w:rsid w:val="00A51C39"/>
    <w:rsid w:val="00A53040"/>
    <w:rsid w:val="00A55E91"/>
    <w:rsid w:val="00A86D5E"/>
    <w:rsid w:val="00A9168B"/>
    <w:rsid w:val="00AB3C08"/>
    <w:rsid w:val="00AC27C9"/>
    <w:rsid w:val="00AD60C7"/>
    <w:rsid w:val="00AF622A"/>
    <w:rsid w:val="00B07887"/>
    <w:rsid w:val="00B26876"/>
    <w:rsid w:val="00B63952"/>
    <w:rsid w:val="00BA7E38"/>
    <w:rsid w:val="00BB3D77"/>
    <w:rsid w:val="00BC3204"/>
    <w:rsid w:val="00BD1B47"/>
    <w:rsid w:val="00BF110F"/>
    <w:rsid w:val="00C23A6B"/>
    <w:rsid w:val="00C27732"/>
    <w:rsid w:val="00C3551D"/>
    <w:rsid w:val="00C90E14"/>
    <w:rsid w:val="00CA5F4A"/>
    <w:rsid w:val="00CB1780"/>
    <w:rsid w:val="00CC094E"/>
    <w:rsid w:val="00CC3006"/>
    <w:rsid w:val="00CC4DE1"/>
    <w:rsid w:val="00CD0AC5"/>
    <w:rsid w:val="00CD5F36"/>
    <w:rsid w:val="00CD7D04"/>
    <w:rsid w:val="00CE30C8"/>
    <w:rsid w:val="00CE33A0"/>
    <w:rsid w:val="00CF0DC4"/>
    <w:rsid w:val="00D16476"/>
    <w:rsid w:val="00D22BE7"/>
    <w:rsid w:val="00D313A8"/>
    <w:rsid w:val="00D651B3"/>
    <w:rsid w:val="00D72247"/>
    <w:rsid w:val="00D82450"/>
    <w:rsid w:val="00D94138"/>
    <w:rsid w:val="00DC684E"/>
    <w:rsid w:val="00DC6E28"/>
    <w:rsid w:val="00E55826"/>
    <w:rsid w:val="00E56667"/>
    <w:rsid w:val="00E76AD7"/>
    <w:rsid w:val="00EA07CB"/>
    <w:rsid w:val="00EA577F"/>
    <w:rsid w:val="00EB198E"/>
    <w:rsid w:val="00EB77B3"/>
    <w:rsid w:val="00ED281A"/>
    <w:rsid w:val="00EF75CA"/>
    <w:rsid w:val="00F04904"/>
    <w:rsid w:val="00F227B0"/>
    <w:rsid w:val="00F236FB"/>
    <w:rsid w:val="00F35B4F"/>
    <w:rsid w:val="00F5091F"/>
    <w:rsid w:val="00F5181E"/>
    <w:rsid w:val="00F5443E"/>
    <w:rsid w:val="00F546AB"/>
    <w:rsid w:val="00F611BF"/>
    <w:rsid w:val="00F77280"/>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D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BD1"/>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176B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6BD1"/>
    <w:rPr>
      <w:rFonts w:ascii="Calibri" w:eastAsia="Calibri" w:hAnsi="Calibri"/>
      <w:sz w:val="22"/>
      <w:szCs w:val="22"/>
    </w:rPr>
  </w:style>
  <w:style w:type="paragraph" w:styleId="Footer">
    <w:name w:val="footer"/>
    <w:basedOn w:val="Normal"/>
    <w:link w:val="FooterChar"/>
    <w:uiPriority w:val="99"/>
    <w:unhideWhenUsed/>
    <w:rsid w:val="00176B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6BD1"/>
    <w:rPr>
      <w:rFonts w:ascii="Calibri" w:eastAsia="Calibri" w:hAnsi="Calibri"/>
      <w:sz w:val="22"/>
      <w:szCs w:val="22"/>
    </w:rPr>
  </w:style>
  <w:style w:type="character" w:styleId="Hyperlink">
    <w:name w:val="Hyperlink"/>
    <w:basedOn w:val="DefaultParagraphFont"/>
    <w:uiPriority w:val="99"/>
    <w:unhideWhenUsed/>
    <w:rsid w:val="00176BD1"/>
    <w:rPr>
      <w:color w:val="0000FF"/>
      <w:u w:val="single"/>
    </w:rPr>
  </w:style>
  <w:style w:type="paragraph" w:styleId="Title">
    <w:name w:val="Title"/>
    <w:basedOn w:val="Normal"/>
    <w:link w:val="TitleChar"/>
    <w:qFormat/>
    <w:rsid w:val="00176BD1"/>
    <w:pPr>
      <w:spacing w:after="0" w:line="240" w:lineRule="auto"/>
      <w:jc w:val="center"/>
    </w:pPr>
    <w:rPr>
      <w:rFonts w:ascii="Times New Roman" w:eastAsia="Times New Roman" w:hAnsi="Times New Roman"/>
      <w:b/>
      <w:sz w:val="24"/>
      <w:szCs w:val="20"/>
      <w:lang w:eastAsia="lv-LV"/>
    </w:rPr>
  </w:style>
  <w:style w:type="character" w:customStyle="1" w:styleId="TitleChar">
    <w:name w:val="Title Char"/>
    <w:basedOn w:val="DefaultParagraphFont"/>
    <w:link w:val="Title"/>
    <w:rsid w:val="00176BD1"/>
    <w:rPr>
      <w:rFonts w:eastAsia="Times New Roman"/>
      <w:b/>
      <w:szCs w:val="20"/>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ija.timpare@t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2808</Words>
  <Characters>1601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Administratīvās rajona tiesas Rīgas tiesu nama un Rīgas pilsētas Ziemeļu rajona tiesas pārvietošanu uz citām telpām</vt:lpstr>
    </vt:vector>
  </TitlesOfParts>
  <Company>Tieslietu Ministrija</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Administratīvās rajona tiesas Rīgas tiesu nama un Rīgas pilsētas Ziemeļu rajona tiesas pārvietošanu uz citām telpām</dc:title>
  <dc:subject>Informatīvā ziņojuma pielikums</dc:subject>
  <dc:creator>Evija Timpare</dc:creator>
  <cp:keywords/>
  <dc:description>evija.timpare@tm.gov.lv_x000d_
67036829</dc:description>
  <cp:lastModifiedBy>et1401</cp:lastModifiedBy>
  <cp:revision>8</cp:revision>
  <dcterms:created xsi:type="dcterms:W3CDTF">2011-04-20T07:37:00Z</dcterms:created>
  <dcterms:modified xsi:type="dcterms:W3CDTF">2011-07-12T07:42:00Z</dcterms:modified>
</cp:coreProperties>
</file>