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57" w:rsidRDefault="00921457" w:rsidP="00921457">
      <w:pPr>
        <w:jc w:val="center"/>
        <w:rPr>
          <w:b/>
          <w:sz w:val="28"/>
          <w:szCs w:val="28"/>
        </w:rPr>
      </w:pPr>
      <w:bookmarkStart w:id="0" w:name="_GoBack"/>
      <w:bookmarkEnd w:id="0"/>
      <w:r w:rsidRPr="006C59C5">
        <w:rPr>
          <w:b/>
          <w:bCs/>
          <w:sz w:val="28"/>
          <w:szCs w:val="28"/>
        </w:rPr>
        <w:t>Ministru kabineta rīkojuma projekta „</w:t>
      </w:r>
      <w:r w:rsidRPr="006C59C5">
        <w:rPr>
          <w:b/>
          <w:sz w:val="28"/>
          <w:szCs w:val="28"/>
        </w:rPr>
        <w:t xml:space="preserve">Grozījums </w:t>
      </w:r>
    </w:p>
    <w:p w:rsidR="00921457" w:rsidRDefault="00921457" w:rsidP="00921457">
      <w:pPr>
        <w:jc w:val="center"/>
        <w:rPr>
          <w:b/>
          <w:sz w:val="28"/>
          <w:szCs w:val="28"/>
        </w:rPr>
      </w:pPr>
      <w:r w:rsidRPr="006C59C5">
        <w:rPr>
          <w:b/>
          <w:sz w:val="28"/>
          <w:szCs w:val="28"/>
        </w:rPr>
        <w:t>Ministru kabineta 2009.</w:t>
      </w:r>
      <w:r>
        <w:rPr>
          <w:b/>
          <w:sz w:val="28"/>
          <w:szCs w:val="28"/>
        </w:rPr>
        <w:t> </w:t>
      </w:r>
      <w:r w:rsidRPr="006C59C5">
        <w:rPr>
          <w:b/>
          <w:sz w:val="28"/>
          <w:szCs w:val="28"/>
        </w:rPr>
        <w:t xml:space="preserve">gada </w:t>
      </w:r>
      <w:r>
        <w:rPr>
          <w:b/>
          <w:sz w:val="28"/>
          <w:szCs w:val="28"/>
        </w:rPr>
        <w:t>19. novembra rīkojumā Nr. 797</w:t>
      </w:r>
      <w:r w:rsidRPr="006C59C5">
        <w:rPr>
          <w:b/>
          <w:sz w:val="28"/>
          <w:szCs w:val="28"/>
        </w:rPr>
        <w:t xml:space="preserve"> „Par </w:t>
      </w:r>
    </w:p>
    <w:p w:rsidR="00921457" w:rsidRDefault="00921457" w:rsidP="00921457">
      <w:pPr>
        <w:jc w:val="center"/>
        <w:rPr>
          <w:b/>
          <w:sz w:val="28"/>
          <w:szCs w:val="28"/>
        </w:rPr>
      </w:pPr>
      <w:r>
        <w:rPr>
          <w:b/>
          <w:sz w:val="28"/>
          <w:szCs w:val="28"/>
        </w:rPr>
        <w:t>Koncepciju par Civillikuma Mantojuma tiesību daļas modernizāciju</w:t>
      </w:r>
      <w:r w:rsidRPr="006C59C5">
        <w:rPr>
          <w:b/>
          <w:sz w:val="28"/>
          <w:szCs w:val="28"/>
        </w:rPr>
        <w:t>””</w:t>
      </w:r>
      <w:r>
        <w:rPr>
          <w:b/>
          <w:sz w:val="28"/>
          <w:szCs w:val="28"/>
        </w:rPr>
        <w:t xml:space="preserve"> </w:t>
      </w:r>
    </w:p>
    <w:p w:rsidR="00921457" w:rsidRDefault="00921457" w:rsidP="00921457">
      <w:pPr>
        <w:jc w:val="center"/>
        <w:rPr>
          <w:b/>
          <w:bCs/>
          <w:sz w:val="28"/>
          <w:szCs w:val="28"/>
        </w:rPr>
      </w:pPr>
      <w:r>
        <w:rPr>
          <w:b/>
          <w:bCs/>
          <w:sz w:val="28"/>
          <w:szCs w:val="28"/>
        </w:rPr>
        <w:t xml:space="preserve">sākotnējās ietekmes novērtējuma </w:t>
      </w:r>
    </w:p>
    <w:p w:rsidR="00921457" w:rsidRPr="006813A5" w:rsidRDefault="00921457" w:rsidP="00921457">
      <w:pPr>
        <w:jc w:val="center"/>
        <w:rPr>
          <w:b/>
          <w:bCs/>
          <w:sz w:val="28"/>
          <w:szCs w:val="28"/>
        </w:rPr>
      </w:pPr>
      <w:r>
        <w:rPr>
          <w:b/>
          <w:bCs/>
          <w:sz w:val="28"/>
          <w:szCs w:val="28"/>
        </w:rPr>
        <w:t>ziņojums (</w:t>
      </w:r>
      <w:r w:rsidRPr="00804F4F">
        <w:rPr>
          <w:b/>
          <w:bCs/>
          <w:sz w:val="28"/>
          <w:szCs w:val="28"/>
        </w:rPr>
        <w:t>anotācija</w:t>
      </w:r>
      <w:r>
        <w:rPr>
          <w:b/>
          <w:bCs/>
          <w:sz w:val="28"/>
          <w:szCs w:val="28"/>
        </w:rPr>
        <w:t>)</w:t>
      </w:r>
      <w:r w:rsidRPr="00804F4F">
        <w:rPr>
          <w:b/>
          <w:bCs/>
          <w:sz w:val="28"/>
          <w:szCs w:val="28"/>
        </w:rPr>
        <w:t> </w:t>
      </w:r>
    </w:p>
    <w:p w:rsidR="00921457" w:rsidRPr="006C59C5" w:rsidRDefault="00921457" w:rsidP="00921457"/>
    <w:tbl>
      <w:tblPr>
        <w:tblW w:w="491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2"/>
        <w:gridCol w:w="2360"/>
        <w:gridCol w:w="6326"/>
      </w:tblGrid>
      <w:tr w:rsidR="00921457" w:rsidRPr="006C59C5" w:rsidTr="00FE68D3">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921457" w:rsidRPr="006C59C5" w:rsidRDefault="00921457" w:rsidP="00FE68D3">
            <w:pPr>
              <w:tabs>
                <w:tab w:val="left" w:pos="2190"/>
              </w:tabs>
              <w:spacing w:before="100" w:beforeAutospacing="1" w:after="100" w:afterAutospacing="1"/>
              <w:jc w:val="center"/>
              <w:rPr>
                <w:b/>
                <w:bCs/>
              </w:rPr>
            </w:pPr>
            <w:r w:rsidRPr="006C59C5">
              <w:rPr>
                <w:b/>
                <w:bCs/>
              </w:rPr>
              <w:t>I. Tiesību akta projekta izstrādes nepieciešamība</w:t>
            </w:r>
          </w:p>
        </w:tc>
      </w:tr>
      <w:tr w:rsidR="00921457" w:rsidRPr="006C59C5" w:rsidTr="00FE68D3">
        <w:tc>
          <w:tcPr>
            <w:tcW w:w="157"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1.</w:t>
            </w:r>
          </w:p>
        </w:tc>
        <w:tc>
          <w:tcPr>
            <w:tcW w:w="1316" w:type="pct"/>
            <w:tcBorders>
              <w:top w:val="outset" w:sz="6" w:space="0" w:color="000000"/>
              <w:left w:val="outset" w:sz="6" w:space="0" w:color="000000"/>
              <w:bottom w:val="outset" w:sz="6" w:space="0" w:color="000000"/>
              <w:right w:val="outset" w:sz="6" w:space="0" w:color="000000"/>
            </w:tcBorders>
            <w:hideMark/>
          </w:tcPr>
          <w:p w:rsidR="00921457" w:rsidRPr="00657094" w:rsidRDefault="00921457" w:rsidP="00FE68D3">
            <w:pPr>
              <w:spacing w:before="100" w:beforeAutospacing="1" w:after="100" w:afterAutospacing="1"/>
              <w:rPr>
                <w:b/>
              </w:rPr>
            </w:pPr>
            <w:r w:rsidRPr="00657094">
              <w:rPr>
                <w:b/>
              </w:rPr>
              <w:t>Pamatojums</w:t>
            </w:r>
          </w:p>
        </w:tc>
        <w:tc>
          <w:tcPr>
            <w:tcW w:w="3527" w:type="pct"/>
            <w:tcBorders>
              <w:top w:val="outset" w:sz="6" w:space="0" w:color="000000"/>
              <w:left w:val="outset" w:sz="6" w:space="0" w:color="000000"/>
              <w:bottom w:val="outset" w:sz="6" w:space="0" w:color="000000"/>
              <w:right w:val="outset" w:sz="6" w:space="0" w:color="000000"/>
            </w:tcBorders>
            <w:hideMark/>
          </w:tcPr>
          <w:p w:rsidR="00FD34EF" w:rsidRDefault="00FD34EF" w:rsidP="00FD34EF">
            <w:pPr>
              <w:ind w:firstLine="397"/>
              <w:jc w:val="both"/>
            </w:pPr>
            <w:proofErr w:type="spellStart"/>
            <w:r>
              <w:t>Pārr</w:t>
            </w:r>
            <w:r w:rsidR="00735E42">
              <w:t>e</w:t>
            </w:r>
            <w:r>
              <w:t>soru</w:t>
            </w:r>
            <w:proofErr w:type="spellEnd"/>
            <w:r>
              <w:t xml:space="preserve"> koordinācijas centra 2012.gada 13.aprīļa atzinums Nr.12-4/35 (VSS-339)</w:t>
            </w:r>
            <w:r w:rsidR="00A830E4">
              <w:t>.</w:t>
            </w:r>
          </w:p>
          <w:p w:rsidR="00A830E4" w:rsidRPr="006C59C5" w:rsidRDefault="00A830E4" w:rsidP="00FD34EF">
            <w:pPr>
              <w:ind w:firstLine="397"/>
              <w:jc w:val="both"/>
            </w:pPr>
          </w:p>
        </w:tc>
      </w:tr>
      <w:tr w:rsidR="00921457" w:rsidRPr="006C59C5" w:rsidTr="00FE68D3">
        <w:tc>
          <w:tcPr>
            <w:tcW w:w="157"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2.</w:t>
            </w:r>
          </w:p>
        </w:tc>
        <w:tc>
          <w:tcPr>
            <w:tcW w:w="1316" w:type="pct"/>
            <w:tcBorders>
              <w:top w:val="outset" w:sz="6" w:space="0" w:color="000000"/>
              <w:left w:val="outset" w:sz="6" w:space="0" w:color="000000"/>
              <w:bottom w:val="outset" w:sz="6" w:space="0" w:color="000000"/>
              <w:right w:val="outset" w:sz="6" w:space="0" w:color="000000"/>
            </w:tcBorders>
            <w:hideMark/>
          </w:tcPr>
          <w:p w:rsidR="00921457" w:rsidRPr="00657094" w:rsidRDefault="00921457" w:rsidP="00FE68D3">
            <w:pPr>
              <w:spacing w:before="100" w:beforeAutospacing="1" w:after="100" w:afterAutospacing="1"/>
              <w:rPr>
                <w:b/>
              </w:rPr>
            </w:pPr>
            <w:r w:rsidRPr="00657094">
              <w:rPr>
                <w:b/>
              </w:rPr>
              <w:t>Pašreizējā situācija un problēmas</w:t>
            </w:r>
          </w:p>
        </w:tc>
        <w:tc>
          <w:tcPr>
            <w:tcW w:w="3527" w:type="pct"/>
            <w:tcBorders>
              <w:top w:val="outset" w:sz="6" w:space="0" w:color="000000"/>
              <w:left w:val="outset" w:sz="6" w:space="0" w:color="000000"/>
              <w:bottom w:val="outset" w:sz="6" w:space="0" w:color="000000"/>
              <w:right w:val="outset" w:sz="6" w:space="0" w:color="000000"/>
            </w:tcBorders>
            <w:hideMark/>
          </w:tcPr>
          <w:p w:rsidR="00921457" w:rsidRPr="00515058" w:rsidRDefault="00921457" w:rsidP="00FE68D3">
            <w:pPr>
              <w:ind w:firstLine="395"/>
              <w:jc w:val="both"/>
              <w:rPr>
                <w:color w:val="000000"/>
              </w:rPr>
            </w:pPr>
            <w:r w:rsidRPr="00515058">
              <w:t xml:space="preserve">Ministru kabineta 2009.gada </w:t>
            </w:r>
            <w:r>
              <w:t>19. novembra</w:t>
            </w:r>
            <w:r w:rsidRPr="00515058">
              <w:t xml:space="preserve"> rīko</w:t>
            </w:r>
            <w:r>
              <w:t>juma Nr. 797</w:t>
            </w:r>
            <w:r w:rsidRPr="00515058">
              <w:t xml:space="preserve"> „Par </w:t>
            </w:r>
            <w:r>
              <w:t>Koncepciju par Civillikuma Mantojuma tiesību daļas modernizāciju” (turpmāk – rīkojums Nr. 797</w:t>
            </w:r>
            <w:r w:rsidRPr="00515058">
              <w:t xml:space="preserve">) </w:t>
            </w:r>
            <w:r>
              <w:t>3. punkts paredz Tieslietu ministrijai izveidot darba grupu, lai izstrādātu ar koncepcijas īstenošanu saistīto normatīvo aktu projektus. Savukārt rīkojuma 4. </w:t>
            </w:r>
            <w:r w:rsidRPr="00515058">
              <w:t xml:space="preserve">punkts paredz </w:t>
            </w:r>
            <w:r>
              <w:t xml:space="preserve">rīkojuma Nr. 797 4.punktā minētajai darba grupai izstrādāt </w:t>
            </w:r>
            <w:r w:rsidRPr="00515058">
              <w:rPr>
                <w:spacing w:val="-2"/>
              </w:rPr>
              <w:t xml:space="preserve"> un tieslietu ministram </w:t>
            </w:r>
            <w:r w:rsidRPr="00515058">
              <w:t xml:space="preserve">līdz </w:t>
            </w:r>
            <w:r>
              <w:t>2010. gada 30. jūnijam iesniegt noteiktā kārtībā Ministru kabinetā likumprojektus, kas nepieciešami koncepcijas kopsavilkumā ietvertā risinājuma 2.varianta īstenošanai.</w:t>
            </w:r>
          </w:p>
          <w:p w:rsidR="00921457" w:rsidRDefault="00921457" w:rsidP="00FE68D3">
            <w:pPr>
              <w:pStyle w:val="naisf"/>
              <w:spacing w:before="0" w:after="0"/>
              <w:ind w:firstLine="493"/>
            </w:pPr>
            <w:r>
              <w:t>Lai īstenotu rīkojumā Nr. 797</w:t>
            </w:r>
            <w:r w:rsidRPr="00515058">
              <w:t xml:space="preserve"> noteikto, ar tieslietu ministra rīkojumu (2009.</w:t>
            </w:r>
            <w:r>
              <w:t xml:space="preserve"> </w:t>
            </w:r>
            <w:r w:rsidRPr="00515058">
              <w:t xml:space="preserve">gada </w:t>
            </w:r>
            <w:r>
              <w:t>23. decembra rīkojums Nr. 1-1/435</w:t>
            </w:r>
            <w:r w:rsidRPr="00515058">
              <w:t xml:space="preserve"> „Par darba grupas </w:t>
            </w:r>
            <w:r>
              <w:t>izveidošanu ar koncepcijas par Civillikuma Mantojuma tiesību daļas modernizāciju īstenošanu saistīto normatīvo aktu projektu izstrādei</w:t>
            </w:r>
            <w:r w:rsidRPr="00515058">
              <w:t>”) ir izveidota darba grupa</w:t>
            </w:r>
            <w:r>
              <w:t xml:space="preserve"> (turpmāk – darba grupa)</w:t>
            </w:r>
            <w:r w:rsidRPr="004268E7">
              <w:t xml:space="preserve"> normatīvo aktu projektu, kas saistīti ar </w:t>
            </w:r>
            <w:r>
              <w:t>k</w:t>
            </w:r>
            <w:r w:rsidRPr="004268E7">
              <w:t xml:space="preserve">oncepcijas par Civillikuma Mantojuma tiesību daļas modernizācijas īstenošanu, izstrādei. Darba grupas sastāvā tika iekļauti pārstāvji no Tieslietu ministrijas, Finanšu ministrijas, Labklājības ministrijas, Latvijas Universitātes, Latvijas zvērinātu notāru padomes, Latvijas zvērinātu tiesu izpildītāju padomes, kā arī tiesneši, zvērināti notāri un zvērināti advokāti.  </w:t>
            </w:r>
          </w:p>
          <w:p w:rsidR="00921457" w:rsidRDefault="00921457" w:rsidP="00FE68D3">
            <w:pPr>
              <w:pStyle w:val="naisf"/>
              <w:spacing w:before="0" w:after="0"/>
              <w:ind w:firstLine="493"/>
            </w:pPr>
            <w:r w:rsidRPr="00657094">
              <w:t xml:space="preserve">Savukārt saskaņā ar Ministru kabineta 2012. gada 16. februāra rīkojuma Nr. 84 „Par Valdības rīcības plānu Deklarācijas par Valda </w:t>
            </w:r>
            <w:proofErr w:type="spellStart"/>
            <w:r w:rsidRPr="00657094">
              <w:t>Dombrovska</w:t>
            </w:r>
            <w:proofErr w:type="spellEnd"/>
            <w:r w:rsidRPr="00657094">
              <w:t xml:space="preserve"> vadītā Ministru kabineta iecerēto darbību īstenošanai” 119.2.apakšpunktā noteiktajam izstrādāt likumprojektus, lai īstenotu Koncepciju par </w:t>
            </w:r>
            <w:hyperlink r:id="rId9" w:tgtFrame="_blank" w:history="1">
              <w:r w:rsidRPr="00865BF8">
                <w:rPr>
                  <w:rStyle w:val="Hipersaite"/>
                  <w:color w:val="auto"/>
                  <w:u w:val="none"/>
                </w:rPr>
                <w:t>Civillikuma</w:t>
              </w:r>
            </w:hyperlink>
            <w:r w:rsidRPr="00657094">
              <w:t xml:space="preserve"> Mantojuma tiesību daļas modernizāciju, atsakoties no novecojušiem tiesību institūtiem, kuri vairs nespēj pilnībā apmierināt mūsdienu sabiedrības vajadzības, novērš</w:t>
            </w:r>
            <w:r>
              <w:t>ot atsevišķu normu neatbilstību</w:t>
            </w:r>
            <w:r w:rsidR="00FE68D3">
              <w:t>,</w:t>
            </w:r>
            <w:r>
              <w:t xml:space="preserve"> </w:t>
            </w:r>
            <w:r w:rsidRPr="00657094">
              <w:t>iesniedzami Ministru kabinetā līdz 2012. gada 1.septembrim.</w:t>
            </w:r>
          </w:p>
          <w:p w:rsidR="00921457" w:rsidRDefault="00921457" w:rsidP="00FE68D3">
            <w:pPr>
              <w:pStyle w:val="naisf"/>
              <w:spacing w:before="0" w:after="0"/>
              <w:ind w:firstLine="493"/>
            </w:pPr>
            <w:r w:rsidRPr="00711967">
              <w:t>Līdz šim brīdim, strādājot darba grupā</w:t>
            </w:r>
            <w:r w:rsidRPr="00865BF8">
              <w:t>, ir skatīti visi koncepcijā</w:t>
            </w:r>
            <w:r w:rsidRPr="00711967">
              <w:t xml:space="preserve"> minētie jautājumi: laulāto mantošana, radinieku un adoptēto mantošana, bezmantinieku manta, neatraidāmie mantinieki un to neatņemamā daļa, testamenta forma (publiskie testamenti, priviliģēti testamenti) un substitūcija, legāti (iegūšana un atraidīšana; izpildīšana), līgumiskā mantošana, mantojuma apsardzība un aizgādnība un mantojuma pieņemšana, dalīšana un </w:t>
            </w:r>
            <w:r w:rsidRPr="00711967">
              <w:lastRenderedPageBreak/>
              <w:t>atraidīšana; transmisija.</w:t>
            </w:r>
          </w:p>
          <w:p w:rsidR="00921457" w:rsidRPr="00711967" w:rsidRDefault="00921457" w:rsidP="00FE68D3">
            <w:pPr>
              <w:pStyle w:val="naisf"/>
              <w:spacing w:before="0" w:after="0"/>
              <w:ind w:firstLine="493"/>
            </w:pPr>
            <w:r w:rsidRPr="00711967">
              <w:t>Šobrīd darba grupā ir panākta vienošanās un izstrādāti grozījumi saistībā ar šādiem Civillikum</w:t>
            </w:r>
            <w:r w:rsidR="00FE68D3">
              <w:t>a Mantojuma tiesību daļā minētajie</w:t>
            </w:r>
            <w:r w:rsidRPr="00711967">
              <w:t>m jautājumiem:</w:t>
            </w:r>
          </w:p>
          <w:p w:rsidR="00921457" w:rsidRPr="00711967" w:rsidRDefault="00921457" w:rsidP="00FE68D3">
            <w:pPr>
              <w:pStyle w:val="Komentrateksts"/>
              <w:numPr>
                <w:ilvl w:val="0"/>
                <w:numId w:val="1"/>
              </w:numPr>
              <w:spacing w:after="0"/>
              <w:ind w:left="714" w:hanging="357"/>
              <w:rPr>
                <w:rFonts w:ascii="Times New Roman" w:hAnsi="Times New Roman"/>
                <w:sz w:val="24"/>
                <w:szCs w:val="24"/>
              </w:rPr>
            </w:pPr>
            <w:r w:rsidRPr="00711967">
              <w:rPr>
                <w:rFonts w:ascii="Times New Roman" w:hAnsi="Times New Roman"/>
                <w:sz w:val="24"/>
                <w:szCs w:val="24"/>
              </w:rPr>
              <w:t>Laulāto mantošana;</w:t>
            </w:r>
          </w:p>
          <w:p w:rsidR="00921457" w:rsidRPr="00711967" w:rsidRDefault="00921457" w:rsidP="00FE68D3">
            <w:pPr>
              <w:pStyle w:val="Komentrateksts"/>
              <w:numPr>
                <w:ilvl w:val="0"/>
                <w:numId w:val="1"/>
              </w:numPr>
              <w:spacing w:after="0"/>
              <w:ind w:left="714" w:hanging="357"/>
              <w:rPr>
                <w:rFonts w:ascii="Times New Roman" w:hAnsi="Times New Roman"/>
                <w:sz w:val="24"/>
                <w:szCs w:val="24"/>
              </w:rPr>
            </w:pPr>
            <w:r w:rsidRPr="00711967">
              <w:rPr>
                <w:rFonts w:ascii="Times New Roman" w:hAnsi="Times New Roman"/>
                <w:sz w:val="24"/>
                <w:szCs w:val="24"/>
              </w:rPr>
              <w:t>Neatņemamās daļas tiesīgie;</w:t>
            </w:r>
          </w:p>
          <w:p w:rsidR="00921457" w:rsidRPr="00711967" w:rsidRDefault="00921457" w:rsidP="00FE68D3">
            <w:pPr>
              <w:pStyle w:val="Komentrateksts"/>
              <w:numPr>
                <w:ilvl w:val="0"/>
                <w:numId w:val="1"/>
              </w:numPr>
              <w:spacing w:after="0"/>
              <w:ind w:left="714" w:hanging="357"/>
              <w:jc w:val="both"/>
              <w:rPr>
                <w:rFonts w:ascii="Times New Roman" w:hAnsi="Times New Roman"/>
                <w:sz w:val="24"/>
                <w:szCs w:val="24"/>
              </w:rPr>
            </w:pPr>
            <w:r w:rsidRPr="00711967">
              <w:rPr>
                <w:rFonts w:ascii="Times New Roman" w:hAnsi="Times New Roman"/>
                <w:sz w:val="24"/>
                <w:szCs w:val="24"/>
              </w:rPr>
              <w:t>Testamenti, izņemot substitūcijas jautājumu, kas saistīts ar mantojuma pieņemšanas tiesisko regulējumu;</w:t>
            </w:r>
          </w:p>
          <w:p w:rsidR="00921457" w:rsidRPr="00711967" w:rsidRDefault="00921457" w:rsidP="00FE68D3">
            <w:pPr>
              <w:pStyle w:val="Komentrateksts"/>
              <w:numPr>
                <w:ilvl w:val="0"/>
                <w:numId w:val="1"/>
              </w:numPr>
              <w:spacing w:after="0"/>
              <w:ind w:left="714" w:hanging="357"/>
              <w:rPr>
                <w:rFonts w:ascii="Times New Roman" w:hAnsi="Times New Roman"/>
                <w:sz w:val="24"/>
                <w:szCs w:val="24"/>
              </w:rPr>
            </w:pPr>
            <w:r w:rsidRPr="00711967">
              <w:rPr>
                <w:rFonts w:ascii="Times New Roman" w:hAnsi="Times New Roman"/>
                <w:sz w:val="24"/>
                <w:szCs w:val="24"/>
              </w:rPr>
              <w:t>Līgumiskā mantošana;</w:t>
            </w:r>
          </w:p>
          <w:p w:rsidR="00921457" w:rsidRDefault="00921457" w:rsidP="00FE68D3">
            <w:pPr>
              <w:pStyle w:val="Komentrateksts"/>
              <w:numPr>
                <w:ilvl w:val="0"/>
                <w:numId w:val="1"/>
              </w:numPr>
              <w:spacing w:after="0"/>
              <w:ind w:left="714" w:hanging="357"/>
              <w:rPr>
                <w:rFonts w:ascii="Times New Roman" w:hAnsi="Times New Roman"/>
                <w:sz w:val="24"/>
                <w:szCs w:val="24"/>
              </w:rPr>
            </w:pPr>
            <w:r w:rsidRPr="00711967">
              <w:rPr>
                <w:rFonts w:ascii="Times New Roman" w:hAnsi="Times New Roman"/>
                <w:sz w:val="24"/>
                <w:szCs w:val="24"/>
              </w:rPr>
              <w:t>Mantojuma aizgādnība.</w:t>
            </w:r>
          </w:p>
          <w:p w:rsidR="00921457" w:rsidRDefault="00921457" w:rsidP="00FE68D3">
            <w:pPr>
              <w:pStyle w:val="Komentrateksts"/>
              <w:spacing w:after="0"/>
              <w:ind w:firstLine="284"/>
              <w:jc w:val="both"/>
              <w:rPr>
                <w:rFonts w:ascii="Times New Roman" w:hAnsi="Times New Roman"/>
                <w:sz w:val="24"/>
                <w:szCs w:val="24"/>
              </w:rPr>
            </w:pPr>
            <w:r>
              <w:rPr>
                <w:rFonts w:ascii="Times New Roman" w:hAnsi="Times New Roman"/>
                <w:sz w:val="24"/>
                <w:szCs w:val="24"/>
              </w:rPr>
              <w:t>Augstāk minēti grozījumi ir izstrādāti un izsludināti 2012.gada 29. marta Valsts sekretāru sanāksmē</w:t>
            </w:r>
            <w:r w:rsidR="00865BF8">
              <w:rPr>
                <w:rFonts w:ascii="Times New Roman" w:hAnsi="Times New Roman"/>
                <w:sz w:val="24"/>
                <w:szCs w:val="24"/>
              </w:rPr>
              <w:t>:</w:t>
            </w:r>
          </w:p>
          <w:p w:rsidR="00921457" w:rsidRDefault="00921457" w:rsidP="00FE68D3">
            <w:pPr>
              <w:pStyle w:val="Komentrateksts"/>
              <w:spacing w:after="0"/>
              <w:ind w:firstLine="284"/>
              <w:jc w:val="both"/>
              <w:rPr>
                <w:rFonts w:ascii="Times New Roman" w:hAnsi="Times New Roman"/>
                <w:sz w:val="24"/>
                <w:szCs w:val="24"/>
              </w:rPr>
            </w:pPr>
            <w:r>
              <w:rPr>
                <w:rFonts w:ascii="Times New Roman" w:hAnsi="Times New Roman"/>
                <w:sz w:val="24"/>
                <w:szCs w:val="24"/>
              </w:rPr>
              <w:t>- likumprojekts „Grozījumi Civillikumā” (VSS-346);</w:t>
            </w:r>
          </w:p>
          <w:p w:rsidR="00921457" w:rsidRDefault="00921457" w:rsidP="00FE68D3">
            <w:pPr>
              <w:pStyle w:val="Komentrateksts"/>
              <w:spacing w:after="0"/>
              <w:ind w:firstLine="284"/>
              <w:jc w:val="both"/>
              <w:rPr>
                <w:rFonts w:ascii="Times New Roman" w:hAnsi="Times New Roman"/>
                <w:sz w:val="24"/>
                <w:szCs w:val="24"/>
              </w:rPr>
            </w:pPr>
            <w:r>
              <w:rPr>
                <w:rFonts w:ascii="Times New Roman" w:hAnsi="Times New Roman"/>
                <w:sz w:val="24"/>
                <w:szCs w:val="24"/>
              </w:rPr>
              <w:t>- likumprojekts „Grozījumi Bāriņtiesu likumā” (VSS-344);</w:t>
            </w:r>
          </w:p>
          <w:p w:rsidR="00921457" w:rsidRDefault="00921457" w:rsidP="00FE68D3">
            <w:pPr>
              <w:pStyle w:val="Komentrateksts"/>
              <w:spacing w:after="0"/>
              <w:ind w:firstLine="284"/>
              <w:jc w:val="both"/>
              <w:rPr>
                <w:rFonts w:ascii="Times New Roman" w:hAnsi="Times New Roman"/>
                <w:sz w:val="24"/>
                <w:szCs w:val="24"/>
              </w:rPr>
            </w:pPr>
            <w:r>
              <w:rPr>
                <w:rFonts w:ascii="Times New Roman" w:hAnsi="Times New Roman"/>
                <w:sz w:val="24"/>
                <w:szCs w:val="24"/>
              </w:rPr>
              <w:t>- likumprojekts „Grozījumi Notariāta likumā” (VSS-345);</w:t>
            </w:r>
          </w:p>
          <w:p w:rsidR="00921457" w:rsidRPr="00581B0A" w:rsidRDefault="00921457" w:rsidP="00FE68D3">
            <w:pPr>
              <w:pStyle w:val="Komentrateksts"/>
              <w:spacing w:after="0"/>
              <w:ind w:firstLine="284"/>
              <w:jc w:val="both"/>
              <w:rPr>
                <w:rFonts w:ascii="Times New Roman" w:hAnsi="Times New Roman"/>
                <w:sz w:val="24"/>
                <w:szCs w:val="24"/>
              </w:rPr>
            </w:pPr>
            <w:r>
              <w:rPr>
                <w:rFonts w:ascii="Times New Roman" w:hAnsi="Times New Roman"/>
                <w:sz w:val="24"/>
                <w:szCs w:val="24"/>
              </w:rPr>
              <w:t xml:space="preserve">- </w:t>
            </w:r>
            <w:r w:rsidR="00865BF8">
              <w:rPr>
                <w:rFonts w:ascii="Times New Roman" w:hAnsi="Times New Roman"/>
                <w:sz w:val="24"/>
                <w:szCs w:val="24"/>
              </w:rPr>
              <w:t>likumprojekts „</w:t>
            </w:r>
            <w:r w:rsidRPr="00711967">
              <w:rPr>
                <w:rFonts w:ascii="Times New Roman" w:hAnsi="Times New Roman"/>
                <w:sz w:val="24"/>
                <w:szCs w:val="24"/>
              </w:rPr>
              <w:t xml:space="preserve">Grozījumi likumā „Par atjaunotā Latvijas Republikas 1937.gada Civillikuma ievada, mantojuma tiesību un </w:t>
            </w:r>
            <w:r w:rsidRPr="00581B0A">
              <w:rPr>
                <w:rFonts w:ascii="Times New Roman" w:hAnsi="Times New Roman"/>
                <w:sz w:val="24"/>
                <w:szCs w:val="24"/>
              </w:rPr>
              <w:t>lietu tiesību daļas spēkā stāšanos un kārtību”” (VSS-347).</w:t>
            </w:r>
          </w:p>
          <w:p w:rsidR="00921457" w:rsidRPr="00581B0A" w:rsidRDefault="00921457" w:rsidP="00FE68D3">
            <w:pPr>
              <w:ind w:firstLine="720"/>
              <w:jc w:val="both"/>
            </w:pPr>
            <w:r w:rsidRPr="00581B0A">
              <w:t>Ņemot vērā darba grupā notikuš</w:t>
            </w:r>
            <w:r w:rsidR="00865BF8">
              <w:t>ā</w:t>
            </w:r>
            <w:r w:rsidRPr="00581B0A">
              <w:t>s diskusijas par mantojuma pieņemšanas jautājumiem, Tieslietu ministrija piedāvāja darba grupas locekļiem iepazīties un izvērtēt iespēju mainīt pastāvošo mantojuma pieņemšanas sistēmu, paredzot, ka mantojuma lieta tiek ierosināta katras personas miršanas gadījumā. Šā ierosinājuma pozitīvais aspekts – tiesiskā noteiktība visos līmeņos – gan privātpersonu, gan valsts līmenī (piemēram, jebkurā nāves gadījumā ierosināta un pabeigta mantojuma lieta – noteikts vai nu mantinieks vai manta atzīta par bezmantinieka mantu, vai mantojuma masa atzīta par bankrotējušu. Šādos gadījumos arī kreditoram ir skaidrība attiecībā uz to, vai viņa saistība tiks segta un kas to segs).</w:t>
            </w:r>
          </w:p>
          <w:p w:rsidR="00921457" w:rsidRPr="00581B0A" w:rsidRDefault="00921457" w:rsidP="00FE68D3">
            <w:pPr>
              <w:ind w:firstLine="720"/>
              <w:jc w:val="both"/>
            </w:pPr>
            <w:r w:rsidRPr="00581B0A">
              <w:t xml:space="preserve">Darba grupa piedāvāto Tieslietu ministrijas variantu, kas būtiski skartu mantojuma pieņemšanas sistēmas maiņu, neatbalstīja, norādot, ka jaunas mantojuma pieņemšanas sistēmas izstādei </w:t>
            </w:r>
            <w:r w:rsidRPr="00FD5400">
              <w:t>nepieciešama padziļināta izpēte</w:t>
            </w:r>
            <w:r w:rsidRPr="00581B0A">
              <w:t>. Jauns mantojuma pieņemšanas regulējums var skart tik būtiskus jautājumus kā mantojuma izsludināšana, u</w:t>
            </w:r>
            <w:r w:rsidR="00FE68D3">
              <w:t>zaicinājumu nosūtīšana, īpaši ta</w:t>
            </w:r>
            <w:r w:rsidRPr="00581B0A">
              <w:t xml:space="preserve">s ietekmēs termiņus, kuros jāpiesākas uz mantojumu (attiecībā gan uz mantiniekiem, gan kreditoriem), inventāra tiesisko regulējumu, līgumisko un testamentāro mantošanu (jo būs laicīgi jāiesniedz atbilstoši dokumenti), kā arī mantojuma masas maksātnespējas jautājumus. Vienlaikus jauns mantojuma pieņemšanas regulējums varētu ietekmēt </w:t>
            </w:r>
            <w:r w:rsidR="0002561D">
              <w:t>kreditorus paredzot</w:t>
            </w:r>
            <w:r w:rsidRPr="00581B0A">
              <w:t>, ka kreditoru laicīgi (noteiktajā termiņā) nepieteiktās pretenzijas</w:t>
            </w:r>
            <w:r w:rsidR="009A7A0F">
              <w:t xml:space="preserve"> tiek</w:t>
            </w:r>
            <w:r w:rsidRPr="00581B0A">
              <w:t xml:space="preserve"> dzēsta</w:t>
            </w:r>
            <w:r w:rsidR="009A7A0F">
              <w:t>s</w:t>
            </w:r>
            <w:r w:rsidRPr="00581B0A">
              <w:t>. Tāpat mantojuma pieņemšanas sistēmas regulējuma maiņas dēļ būtu pārskatāma arī tajā iesaistīto subj</w:t>
            </w:r>
            <w:r w:rsidR="00FE68D3">
              <w:t>ektu (piemēram, zvērināti notāru</w:t>
            </w:r>
            <w:r w:rsidRPr="00581B0A">
              <w:t>, zvērināt</w:t>
            </w:r>
            <w:r w:rsidR="00485BF0">
              <w:t>u</w:t>
            </w:r>
            <w:r w:rsidRPr="00581B0A">
              <w:t xml:space="preserve"> tiesu izpildītāj</w:t>
            </w:r>
            <w:r w:rsidR="00FE68D3">
              <w:t>u, dzimtsarakstu nodaļu, pašvaldību</w:t>
            </w:r>
            <w:r w:rsidRPr="00581B0A">
              <w:t xml:space="preserve">) kompetence. Ņemot vērā šā jautājuma komplicēto raksturu, kā arī nepieciešamību iegūt sabiedrības viedokli par mantojuma pieņemšanas sistēmas maiņu, tika nolemts rast risinājumu šim fundamentālajam </w:t>
            </w:r>
            <w:r w:rsidRPr="00581B0A">
              <w:lastRenderedPageBreak/>
              <w:t>jautājumam tā tālākajā izpētē.</w:t>
            </w:r>
          </w:p>
          <w:p w:rsidR="00921457" w:rsidRPr="00581B0A" w:rsidRDefault="00921457" w:rsidP="00FE68D3">
            <w:pPr>
              <w:ind w:firstLine="720"/>
              <w:jc w:val="both"/>
            </w:pPr>
            <w:r w:rsidRPr="00581B0A">
              <w:t>Turklāt minētā regulējuma īstenošanai, iespējams, būs nepieciešami valsts budžeta līdzekļi, tādēļ tā izpētei jānoris līdztekus ar izvērtējumu par tā īstenošanas iespējam.</w:t>
            </w:r>
          </w:p>
          <w:p w:rsidR="00921457" w:rsidRPr="00581B0A" w:rsidRDefault="00921457" w:rsidP="00FE68D3">
            <w:pPr>
              <w:ind w:firstLine="720"/>
              <w:jc w:val="both"/>
            </w:pPr>
            <w:r w:rsidRPr="00581B0A">
              <w:t>Ņemot vērā to, ka nepieciešams:</w:t>
            </w:r>
          </w:p>
          <w:p w:rsidR="00921457" w:rsidRPr="00581B0A" w:rsidRDefault="00921457" w:rsidP="00FE68D3">
            <w:pPr>
              <w:ind w:firstLine="720"/>
              <w:jc w:val="both"/>
            </w:pPr>
            <w:r w:rsidRPr="00581B0A">
              <w:t xml:space="preserve">1) izvērtēt mantojuma pieņemšanas sistēmas atbilstību mūsdienu prasībām, padziļināti izpētot sistēmas maiņas ietekmi; </w:t>
            </w:r>
          </w:p>
          <w:p w:rsidR="00921457" w:rsidRPr="00581B0A" w:rsidRDefault="00921457" w:rsidP="00FE68D3">
            <w:pPr>
              <w:ind w:firstLine="720"/>
              <w:jc w:val="both"/>
            </w:pPr>
            <w:r w:rsidRPr="00581B0A">
              <w:t>2) noskaidrot šādu grozījumu lietderību un samērīgumu;</w:t>
            </w:r>
          </w:p>
          <w:p w:rsidR="00921457" w:rsidRPr="00581B0A" w:rsidRDefault="00921457" w:rsidP="00FE68D3">
            <w:pPr>
              <w:ind w:firstLine="720"/>
              <w:jc w:val="both"/>
            </w:pPr>
            <w:r w:rsidRPr="00581B0A">
              <w:t>3)</w:t>
            </w:r>
            <w:r w:rsidR="00FE68D3">
              <w:t xml:space="preserve"> </w:t>
            </w:r>
            <w:r w:rsidRPr="00581B0A">
              <w:t>iesaistīt sabiedrību jautājuma izvērtēšanā attiecībā uz mantojuma pieņemšanas jautājumiem;</w:t>
            </w:r>
          </w:p>
          <w:p w:rsidR="00921457" w:rsidRPr="00581B0A" w:rsidRDefault="00921457" w:rsidP="00FE68D3">
            <w:pPr>
              <w:ind w:firstLine="720"/>
              <w:jc w:val="both"/>
            </w:pPr>
            <w:r w:rsidRPr="00581B0A">
              <w:t>4) izvērtēt valsts un pašvaldības budžeta līdzekļu piesaisti un to izmantošanu,</w:t>
            </w:r>
          </w:p>
          <w:p w:rsidR="00921457" w:rsidRPr="00581B0A" w:rsidRDefault="00921457" w:rsidP="00FE68D3">
            <w:pPr>
              <w:ind w:firstLine="720"/>
              <w:jc w:val="both"/>
            </w:pPr>
            <w:r w:rsidRPr="00581B0A">
              <w:t>termiņš jautājumu izvērtēšanai un attiecīgā regulējuma izstrādei jāpagarina.</w:t>
            </w:r>
          </w:p>
          <w:p w:rsidR="00921457" w:rsidRPr="00581B0A" w:rsidRDefault="00FE68D3" w:rsidP="00FE68D3">
            <w:pPr>
              <w:ind w:firstLine="720"/>
              <w:jc w:val="both"/>
            </w:pPr>
            <w:r>
              <w:t>Patlaban izskatīšanai n</w:t>
            </w:r>
            <w:r w:rsidR="00921457" w:rsidRPr="00581B0A">
              <w:t>etiek virzīti šādi koncepcijā minēti jautājumi, kas cieši saistīti ar mantojuma pieņemšanas sistēmu: legāti (iegūšana un atraidīšana; izpildīšana), līgumiskā mantošana, mantojuma pieņemšana, dalīšana un atraidīšana, transmisija, inventāra tiesības.</w:t>
            </w:r>
          </w:p>
          <w:p w:rsidR="00921457" w:rsidRPr="00581B0A" w:rsidRDefault="00921457" w:rsidP="00FE68D3">
            <w:pPr>
              <w:ind w:firstLine="720"/>
              <w:jc w:val="both"/>
            </w:pPr>
            <w:r>
              <w:t xml:space="preserve">Līdz ar to nepieciešams pagarināt grozījumu par </w:t>
            </w:r>
            <w:r w:rsidRPr="00581B0A">
              <w:t>mantojuma pieņemšanas t</w:t>
            </w:r>
            <w:r>
              <w:t>iesiskā regulējuma pārskatīšanu izstrādes termiņu</w:t>
            </w:r>
            <w:r w:rsidRPr="00581B0A">
              <w:t xml:space="preserve"> līdz 2014.gada </w:t>
            </w:r>
            <w:r w:rsidR="00FD55B8">
              <w:t>1.</w:t>
            </w:r>
            <w:r w:rsidRPr="00581B0A">
              <w:t xml:space="preserve">aprīlim. </w:t>
            </w:r>
          </w:p>
          <w:p w:rsidR="00921457" w:rsidRPr="006C59C5" w:rsidRDefault="00921457" w:rsidP="00FE68D3">
            <w:pPr>
              <w:jc w:val="both"/>
            </w:pPr>
          </w:p>
        </w:tc>
      </w:tr>
      <w:tr w:rsidR="00921457" w:rsidRPr="006C59C5" w:rsidTr="00FE68D3">
        <w:tc>
          <w:tcPr>
            <w:tcW w:w="157"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lastRenderedPageBreak/>
              <w:t>3.</w:t>
            </w:r>
          </w:p>
        </w:tc>
        <w:tc>
          <w:tcPr>
            <w:tcW w:w="131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jc w:val="both"/>
              <w:rPr>
                <w:b/>
              </w:rPr>
            </w:pPr>
            <w:r w:rsidRPr="00711967">
              <w:rPr>
                <w:b/>
              </w:rPr>
              <w:t>Saistītie politikas ietekmes novērtējumi un pētījumi</w:t>
            </w:r>
          </w:p>
        </w:tc>
        <w:tc>
          <w:tcPr>
            <w:tcW w:w="3527" w:type="pct"/>
            <w:tcBorders>
              <w:top w:val="outset" w:sz="6" w:space="0" w:color="000000"/>
              <w:left w:val="outset" w:sz="6" w:space="0" w:color="000000"/>
              <w:bottom w:val="outset" w:sz="6" w:space="0" w:color="000000"/>
              <w:right w:val="outset" w:sz="6" w:space="0" w:color="000000"/>
            </w:tcBorders>
            <w:hideMark/>
          </w:tcPr>
          <w:p w:rsidR="00921457" w:rsidRPr="001307CC" w:rsidRDefault="00921457" w:rsidP="00FE68D3">
            <w:pPr>
              <w:ind w:firstLine="493"/>
              <w:jc w:val="both"/>
            </w:pPr>
            <w:proofErr w:type="spellStart"/>
            <w:r>
              <w:t>I.Šermukšņa</w:t>
            </w:r>
            <w:proofErr w:type="spellEnd"/>
            <w:r>
              <w:t xml:space="preserve">, </w:t>
            </w:r>
            <w:proofErr w:type="spellStart"/>
            <w:r>
              <w:t>P.Bulava</w:t>
            </w:r>
            <w:proofErr w:type="spellEnd"/>
            <w:r>
              <w:t xml:space="preserve">, </w:t>
            </w:r>
            <w:proofErr w:type="spellStart"/>
            <w:r>
              <w:t>J.Solovjakova</w:t>
            </w:r>
            <w:proofErr w:type="spellEnd"/>
            <w:r>
              <w:t xml:space="preserve">, E. </w:t>
            </w:r>
            <w:proofErr w:type="spellStart"/>
            <w:r>
              <w:t>Virko</w:t>
            </w:r>
            <w:proofErr w:type="spellEnd"/>
            <w:r>
              <w:t xml:space="preserve"> veiktais pētījums „Identificētie problēmu jautājumi Latvijas Republikas mantojuma tiesību regulējumā”. Ar pētījumu un tajā izdarītajiem secinājumiem iespējams iepazīties Tieslietu ministrijas mājas lapā: </w:t>
            </w:r>
          </w:p>
          <w:p w:rsidR="00921457" w:rsidRPr="006C59C5" w:rsidRDefault="00A7638F" w:rsidP="00FE68D3">
            <w:pPr>
              <w:jc w:val="both"/>
            </w:pPr>
            <w:hyperlink r:id="rId10" w:history="1">
              <w:r w:rsidR="00921457" w:rsidRPr="00177B43">
                <w:rPr>
                  <w:rStyle w:val="Hipersaite"/>
                </w:rPr>
                <w:t>http://www.tm.gov.lv/lv/ministrija/imateriali/petijumi.html</w:t>
              </w:r>
            </w:hyperlink>
          </w:p>
        </w:tc>
      </w:tr>
      <w:tr w:rsidR="00921457" w:rsidRPr="006C59C5" w:rsidTr="00FE68D3">
        <w:tc>
          <w:tcPr>
            <w:tcW w:w="157"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4.</w:t>
            </w:r>
          </w:p>
        </w:tc>
        <w:tc>
          <w:tcPr>
            <w:tcW w:w="131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Tiesiskā regulējuma mērķis un būtība</w:t>
            </w:r>
          </w:p>
        </w:tc>
        <w:tc>
          <w:tcPr>
            <w:tcW w:w="3527" w:type="pct"/>
            <w:tcBorders>
              <w:top w:val="outset" w:sz="6" w:space="0" w:color="000000"/>
              <w:left w:val="outset" w:sz="6" w:space="0" w:color="000000"/>
              <w:bottom w:val="outset" w:sz="6" w:space="0" w:color="000000"/>
              <w:right w:val="outset" w:sz="6" w:space="0" w:color="000000"/>
            </w:tcBorders>
            <w:hideMark/>
          </w:tcPr>
          <w:p w:rsidR="00921457" w:rsidRPr="004D270E" w:rsidRDefault="00921457" w:rsidP="00FE68D3">
            <w:pPr>
              <w:spacing w:before="100" w:beforeAutospacing="1" w:after="100" w:afterAutospacing="1"/>
              <w:ind w:firstLine="395"/>
              <w:jc w:val="both"/>
              <w:rPr>
                <w:color w:val="000000"/>
              </w:rPr>
            </w:pPr>
            <w:r w:rsidRPr="00E84966">
              <w:rPr>
                <w:color w:val="000000"/>
              </w:rPr>
              <w:t>Ministru kabineta rīkojuma projekts</w:t>
            </w:r>
            <w:r>
              <w:rPr>
                <w:color w:val="000000"/>
              </w:rPr>
              <w:t xml:space="preserve"> „Grozījums Ministru kabineta 2009.gada 19. novembra rīkojumā Nr. 797 „Par Koncepciju par Civillikuma Mantojuma tiesību daļas modernizāciju””</w:t>
            </w:r>
            <w:r w:rsidRPr="00E84966">
              <w:rPr>
                <w:color w:val="000000"/>
              </w:rPr>
              <w:t xml:space="preserve"> </w:t>
            </w:r>
            <w:r>
              <w:rPr>
                <w:color w:val="000000"/>
              </w:rPr>
              <w:t xml:space="preserve"> (turpmāk – Rīkojuma projekts) </w:t>
            </w:r>
            <w:r w:rsidRPr="00E84966">
              <w:rPr>
                <w:color w:val="000000"/>
              </w:rPr>
              <w:t>paredz</w:t>
            </w:r>
            <w:r>
              <w:rPr>
                <w:color w:val="000000"/>
              </w:rPr>
              <w:t xml:space="preserve"> </w:t>
            </w:r>
            <w:r>
              <w:t>p</w:t>
            </w:r>
            <w:r w:rsidRPr="003A0740">
              <w:t xml:space="preserve">agarināt </w:t>
            </w:r>
            <w:r>
              <w:t>rīkojuma Nr. 797 4</w:t>
            </w:r>
            <w:r w:rsidRPr="003A0740">
              <w:rPr>
                <w:color w:val="2A2A2A"/>
              </w:rPr>
              <w:t>.punktā</w:t>
            </w:r>
            <w:r w:rsidRPr="003A0740">
              <w:rPr>
                <w:bCs/>
              </w:rPr>
              <w:t xml:space="preserve"> dotā uz</w:t>
            </w:r>
            <w:r>
              <w:rPr>
                <w:bCs/>
              </w:rPr>
              <w:t>devuma izpildes termiņu līdz 2014</w:t>
            </w:r>
            <w:r w:rsidRPr="003A0740">
              <w:rPr>
                <w:bCs/>
              </w:rPr>
              <w:t xml:space="preserve">.gada </w:t>
            </w:r>
            <w:r>
              <w:rPr>
                <w:bCs/>
              </w:rPr>
              <w:t>1.aprīlim.</w:t>
            </w:r>
          </w:p>
        </w:tc>
      </w:tr>
      <w:tr w:rsidR="00921457" w:rsidRPr="006C59C5" w:rsidTr="00FE68D3">
        <w:tc>
          <w:tcPr>
            <w:tcW w:w="157"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5.</w:t>
            </w:r>
          </w:p>
        </w:tc>
        <w:tc>
          <w:tcPr>
            <w:tcW w:w="131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Projekta izstrādē iesaistītās institūcijas</w:t>
            </w:r>
          </w:p>
        </w:tc>
        <w:tc>
          <w:tcPr>
            <w:tcW w:w="3527" w:type="pct"/>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t>Tieslietu ministrija.</w:t>
            </w:r>
          </w:p>
        </w:tc>
      </w:tr>
      <w:tr w:rsidR="00921457" w:rsidRPr="006C59C5" w:rsidTr="00FE68D3">
        <w:tc>
          <w:tcPr>
            <w:tcW w:w="157"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6.</w:t>
            </w:r>
          </w:p>
        </w:tc>
        <w:tc>
          <w:tcPr>
            <w:tcW w:w="131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Iemesli, kādēļ netika nodrošināta sabiedrības līdzdalība</w:t>
            </w:r>
          </w:p>
        </w:tc>
        <w:tc>
          <w:tcPr>
            <w:tcW w:w="3527" w:type="pct"/>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rsidRPr="00D44801">
              <w:t>Rīkojuma projekts tieši neskar sabiedrības intereses.</w:t>
            </w:r>
          </w:p>
        </w:tc>
      </w:tr>
      <w:tr w:rsidR="00921457" w:rsidRPr="006C59C5" w:rsidTr="00FE68D3">
        <w:tc>
          <w:tcPr>
            <w:tcW w:w="157"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7.</w:t>
            </w:r>
          </w:p>
        </w:tc>
        <w:tc>
          <w:tcPr>
            <w:tcW w:w="131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Cita informācija</w:t>
            </w:r>
          </w:p>
        </w:tc>
        <w:tc>
          <w:tcPr>
            <w:tcW w:w="3527" w:type="pct"/>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t>Nav.</w:t>
            </w:r>
          </w:p>
        </w:tc>
      </w:tr>
    </w:tbl>
    <w:p w:rsidR="00921457" w:rsidRDefault="00921457" w:rsidP="00921457">
      <w:pPr>
        <w:spacing w:before="100" w:beforeAutospacing="1" w:after="100" w:afterAutospacing="1"/>
      </w:pPr>
      <w:r w:rsidRPr="006C59C5">
        <w:t> </w:t>
      </w:r>
      <w:r>
        <w:t>Anotācijas II - VI</w:t>
      </w:r>
      <w:r w:rsidRPr="00D44801">
        <w:t xml:space="preserve"> sadaļa – nav attiecināms.</w:t>
      </w:r>
      <w:r w:rsidRPr="006C59C5">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09"/>
        <w:gridCol w:w="5417"/>
        <w:gridCol w:w="3305"/>
      </w:tblGrid>
      <w:tr w:rsidR="00921457" w:rsidRPr="006C59C5" w:rsidTr="00FE68D3">
        <w:tc>
          <w:tcPr>
            <w:tcW w:w="0" w:type="auto"/>
            <w:gridSpan w:val="3"/>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jc w:val="center"/>
              <w:rPr>
                <w:b/>
                <w:bCs/>
              </w:rPr>
            </w:pPr>
            <w:r w:rsidRPr="006C59C5">
              <w:rPr>
                <w:b/>
                <w:bCs/>
              </w:rPr>
              <w:t>VII. Tiesību akta projekta izpildes nodrošināšana un tās ietekme uz institūcijām</w:t>
            </w:r>
          </w:p>
        </w:tc>
      </w:tr>
      <w:tr w:rsidR="00921457" w:rsidRPr="006C59C5" w:rsidTr="00FE68D3">
        <w:tc>
          <w:tcPr>
            <w:tcW w:w="0" w:type="auto"/>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1.</w:t>
            </w:r>
          </w:p>
        </w:tc>
        <w:tc>
          <w:tcPr>
            <w:tcW w:w="296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t>Tieslietu ministrija.</w:t>
            </w:r>
          </w:p>
        </w:tc>
      </w:tr>
      <w:tr w:rsidR="00921457" w:rsidRPr="006C59C5" w:rsidTr="00FE68D3">
        <w:tc>
          <w:tcPr>
            <w:tcW w:w="0" w:type="auto"/>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2.</w:t>
            </w:r>
          </w:p>
        </w:tc>
        <w:tc>
          <w:tcPr>
            <w:tcW w:w="296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rsidRPr="00D44801">
              <w:t>Nav attiecināms</w:t>
            </w:r>
            <w:r>
              <w:t>.</w:t>
            </w:r>
          </w:p>
        </w:tc>
      </w:tr>
      <w:tr w:rsidR="00921457" w:rsidRPr="006C59C5" w:rsidTr="00FE68D3">
        <w:tc>
          <w:tcPr>
            <w:tcW w:w="0" w:type="auto"/>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lastRenderedPageBreak/>
              <w:t>3.</w:t>
            </w:r>
          </w:p>
        </w:tc>
        <w:tc>
          <w:tcPr>
            <w:tcW w:w="296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Projekta izpildes ietekme uz pārvaldes institucionālo struktūru.</w:t>
            </w:r>
          </w:p>
          <w:p w:rsidR="00921457" w:rsidRPr="00711967" w:rsidRDefault="00921457" w:rsidP="00FE68D3">
            <w:pPr>
              <w:spacing w:before="100" w:beforeAutospacing="1" w:after="100" w:afterAutospacing="1"/>
              <w:rPr>
                <w:b/>
              </w:rPr>
            </w:pPr>
            <w:r w:rsidRPr="00711967">
              <w:rPr>
                <w:b/>
              </w:rPr>
              <w:t>Jaunu institūciju izveide</w:t>
            </w:r>
          </w:p>
        </w:tc>
        <w:tc>
          <w:tcPr>
            <w:tcW w:w="0" w:type="auto"/>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rsidRPr="00D44801">
              <w:t>Nav attiecināms</w:t>
            </w:r>
            <w:r>
              <w:t>.</w:t>
            </w:r>
          </w:p>
        </w:tc>
      </w:tr>
      <w:tr w:rsidR="00921457" w:rsidRPr="006C59C5" w:rsidTr="00FE68D3">
        <w:tc>
          <w:tcPr>
            <w:tcW w:w="0" w:type="auto"/>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4.</w:t>
            </w:r>
          </w:p>
        </w:tc>
        <w:tc>
          <w:tcPr>
            <w:tcW w:w="296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Projekta izpildes ietekme uz pārvaldes institucionālo struktūru.</w:t>
            </w:r>
          </w:p>
          <w:p w:rsidR="00921457" w:rsidRPr="00711967" w:rsidRDefault="00921457" w:rsidP="00FE68D3">
            <w:pPr>
              <w:spacing w:before="100" w:beforeAutospacing="1" w:after="100" w:afterAutospacing="1"/>
              <w:rPr>
                <w:b/>
              </w:rPr>
            </w:pPr>
            <w:r w:rsidRPr="00711967">
              <w:rPr>
                <w:b/>
              </w:rPr>
              <w:t>Esošu institūciju likvidācija</w:t>
            </w:r>
          </w:p>
        </w:tc>
        <w:tc>
          <w:tcPr>
            <w:tcW w:w="0" w:type="auto"/>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rsidRPr="00D44801">
              <w:t>Nav attiecināms</w:t>
            </w:r>
            <w:r>
              <w:t>.</w:t>
            </w:r>
          </w:p>
        </w:tc>
      </w:tr>
      <w:tr w:rsidR="00921457" w:rsidRPr="006C59C5" w:rsidTr="00FE68D3">
        <w:tc>
          <w:tcPr>
            <w:tcW w:w="0" w:type="auto"/>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5.</w:t>
            </w:r>
          </w:p>
        </w:tc>
        <w:tc>
          <w:tcPr>
            <w:tcW w:w="296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Projekta izpildes ietekme uz pārvaldes institucionālo struktūru.</w:t>
            </w:r>
          </w:p>
          <w:p w:rsidR="00921457" w:rsidRPr="00711967" w:rsidRDefault="00921457" w:rsidP="00FE68D3">
            <w:pPr>
              <w:spacing w:before="100" w:beforeAutospacing="1" w:after="100" w:afterAutospacing="1"/>
              <w:rPr>
                <w:b/>
              </w:rPr>
            </w:pPr>
            <w:r w:rsidRPr="00711967">
              <w:rPr>
                <w:b/>
              </w:rPr>
              <w:t>Esošu institūciju reorganizācija</w:t>
            </w:r>
          </w:p>
        </w:tc>
        <w:tc>
          <w:tcPr>
            <w:tcW w:w="0" w:type="auto"/>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rsidRPr="00D44801">
              <w:t>Nav attiecināms</w:t>
            </w:r>
            <w:r>
              <w:t>.</w:t>
            </w:r>
          </w:p>
        </w:tc>
      </w:tr>
      <w:tr w:rsidR="00921457" w:rsidRPr="006C59C5" w:rsidTr="00FE68D3">
        <w:tc>
          <w:tcPr>
            <w:tcW w:w="0" w:type="auto"/>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6.</w:t>
            </w:r>
          </w:p>
        </w:tc>
        <w:tc>
          <w:tcPr>
            <w:tcW w:w="2966" w:type="pct"/>
            <w:tcBorders>
              <w:top w:val="outset" w:sz="6" w:space="0" w:color="000000"/>
              <w:left w:val="outset" w:sz="6" w:space="0" w:color="000000"/>
              <w:bottom w:val="outset" w:sz="6" w:space="0" w:color="000000"/>
              <w:right w:val="outset" w:sz="6" w:space="0" w:color="000000"/>
            </w:tcBorders>
            <w:hideMark/>
          </w:tcPr>
          <w:p w:rsidR="00921457" w:rsidRPr="00711967" w:rsidRDefault="00921457" w:rsidP="00FE68D3">
            <w:pPr>
              <w:spacing w:before="100" w:beforeAutospacing="1" w:after="100" w:afterAutospacing="1"/>
              <w:rPr>
                <w:b/>
              </w:rPr>
            </w:pPr>
            <w:r w:rsidRPr="00711967">
              <w:rPr>
                <w:b/>
              </w:rPr>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921457" w:rsidRPr="006C59C5" w:rsidRDefault="00921457" w:rsidP="00FE68D3">
            <w:pPr>
              <w:spacing w:before="100" w:beforeAutospacing="1" w:after="100" w:afterAutospacing="1"/>
            </w:pPr>
            <w:r>
              <w:t>Nav.</w:t>
            </w:r>
          </w:p>
        </w:tc>
      </w:tr>
    </w:tbl>
    <w:p w:rsidR="00921457" w:rsidRDefault="00921457" w:rsidP="00921457"/>
    <w:p w:rsidR="00921457" w:rsidRDefault="00921457" w:rsidP="00921457"/>
    <w:p w:rsidR="00921457" w:rsidRPr="004268E7" w:rsidRDefault="00921457" w:rsidP="00921457">
      <w:pPr>
        <w:jc w:val="both"/>
        <w:rPr>
          <w:bCs/>
        </w:rPr>
      </w:pPr>
      <w:r w:rsidRPr="004268E7">
        <w:rPr>
          <w:bCs/>
        </w:rPr>
        <w:t>Tieslietu ministrs</w:t>
      </w:r>
      <w:r w:rsidRPr="004268E7">
        <w:rPr>
          <w:bCs/>
        </w:rPr>
        <w:tab/>
      </w:r>
      <w:r w:rsidRPr="004268E7">
        <w:rPr>
          <w:bCs/>
        </w:rPr>
        <w:tab/>
      </w:r>
      <w:r w:rsidRPr="004268E7">
        <w:rPr>
          <w:bCs/>
        </w:rPr>
        <w:tab/>
      </w:r>
      <w:r w:rsidRPr="004268E7">
        <w:rPr>
          <w:bCs/>
        </w:rPr>
        <w:tab/>
      </w:r>
      <w:r w:rsidRPr="004268E7">
        <w:rPr>
          <w:bCs/>
        </w:rPr>
        <w:tab/>
      </w:r>
      <w:r w:rsidRPr="004268E7">
        <w:rPr>
          <w:bCs/>
        </w:rPr>
        <w:tab/>
      </w:r>
      <w:r w:rsidRPr="004268E7">
        <w:rPr>
          <w:bCs/>
        </w:rPr>
        <w:tab/>
      </w:r>
      <w:r w:rsidRPr="004268E7">
        <w:rPr>
          <w:bCs/>
        </w:rPr>
        <w:tab/>
      </w:r>
      <w:r w:rsidR="00F85DA4">
        <w:rPr>
          <w:bCs/>
        </w:rPr>
        <w:t xml:space="preserve">J. </w:t>
      </w:r>
      <w:proofErr w:type="spellStart"/>
      <w:r w:rsidR="00F85DA4">
        <w:rPr>
          <w:bCs/>
        </w:rPr>
        <w:t>Bordāns</w:t>
      </w:r>
      <w:proofErr w:type="spellEnd"/>
    </w:p>
    <w:p w:rsidR="00921457" w:rsidRPr="004268E7" w:rsidRDefault="00921457" w:rsidP="00921457">
      <w:pPr>
        <w:jc w:val="both"/>
        <w:rPr>
          <w:bCs/>
        </w:rPr>
      </w:pPr>
    </w:p>
    <w:p w:rsidR="00921457" w:rsidRDefault="00921457" w:rsidP="00921457">
      <w:pPr>
        <w:jc w:val="both"/>
        <w:rPr>
          <w:bCs/>
          <w:sz w:val="20"/>
          <w:szCs w:val="20"/>
        </w:rPr>
      </w:pPr>
    </w:p>
    <w:p w:rsidR="00921457" w:rsidRPr="004268E7" w:rsidRDefault="00921457" w:rsidP="00921457">
      <w:pPr>
        <w:jc w:val="both"/>
        <w:rPr>
          <w:bCs/>
          <w:sz w:val="20"/>
          <w:szCs w:val="20"/>
        </w:rPr>
      </w:pPr>
    </w:p>
    <w:p w:rsidR="00A830E4" w:rsidRDefault="00A830E4" w:rsidP="00921457">
      <w:pPr>
        <w:jc w:val="both"/>
        <w:rPr>
          <w:sz w:val="20"/>
          <w:szCs w:val="20"/>
        </w:rPr>
      </w:pPr>
      <w:r>
        <w:rPr>
          <w:sz w:val="20"/>
          <w:szCs w:val="20"/>
          <w:lang w:val="ru-RU"/>
        </w:rPr>
        <w:t>17.07.2012 9:49</w:t>
      </w:r>
    </w:p>
    <w:p w:rsidR="00FF48D5" w:rsidRDefault="00485BF0" w:rsidP="00921457">
      <w:pPr>
        <w:jc w:val="both"/>
        <w:rPr>
          <w:sz w:val="20"/>
          <w:szCs w:val="20"/>
        </w:rPr>
      </w:pPr>
      <w:r>
        <w:rPr>
          <w:sz w:val="20"/>
          <w:szCs w:val="20"/>
        </w:rPr>
        <w:t>Paipala</w:t>
      </w:r>
    </w:p>
    <w:p w:rsidR="00921457" w:rsidRPr="004268E7" w:rsidRDefault="00A830E4" w:rsidP="00921457">
      <w:pPr>
        <w:jc w:val="both"/>
        <w:rPr>
          <w:sz w:val="20"/>
          <w:szCs w:val="20"/>
        </w:rPr>
      </w:pPr>
      <w:r>
        <w:rPr>
          <w:sz w:val="20"/>
          <w:szCs w:val="20"/>
        </w:rPr>
        <w:t>960</w:t>
      </w:r>
    </w:p>
    <w:p w:rsidR="00921457" w:rsidRPr="004268E7" w:rsidRDefault="00F85DA4" w:rsidP="00921457">
      <w:pPr>
        <w:tabs>
          <w:tab w:val="left" w:pos="7560"/>
        </w:tabs>
        <w:ind w:right="-483"/>
        <w:rPr>
          <w:sz w:val="20"/>
          <w:szCs w:val="20"/>
        </w:rPr>
      </w:pPr>
      <w:r>
        <w:rPr>
          <w:sz w:val="20"/>
          <w:szCs w:val="20"/>
        </w:rPr>
        <w:t>67046107</w:t>
      </w:r>
      <w:r w:rsidR="00921457" w:rsidRPr="001307CC">
        <w:rPr>
          <w:sz w:val="20"/>
          <w:szCs w:val="20"/>
        </w:rPr>
        <w:t xml:space="preserve">, </w:t>
      </w:r>
      <w:hyperlink r:id="rId11" w:history="1">
        <w:r w:rsidR="00921457" w:rsidRPr="00177B43">
          <w:rPr>
            <w:rStyle w:val="Hipersaite"/>
            <w:sz w:val="20"/>
            <w:szCs w:val="20"/>
          </w:rPr>
          <w:t>olga.paipala@tm.gov.lv</w:t>
        </w:r>
      </w:hyperlink>
    </w:p>
    <w:p w:rsidR="00921457" w:rsidRDefault="00921457" w:rsidP="00921457">
      <w:pPr>
        <w:jc w:val="both"/>
        <w:rPr>
          <w:sz w:val="20"/>
          <w:szCs w:val="20"/>
        </w:rPr>
      </w:pPr>
    </w:p>
    <w:p w:rsidR="00921457" w:rsidRDefault="00921457" w:rsidP="00921457"/>
    <w:p w:rsidR="000B7C7F" w:rsidRDefault="000B7C7F"/>
    <w:sectPr w:rsidR="000B7C7F" w:rsidSect="00B413F1">
      <w:headerReference w:type="default" r:id="rId12"/>
      <w:footerReference w:type="default" r:id="rId13"/>
      <w:footerReference w:type="first" r:id="rId14"/>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27" w:rsidRDefault="00C77827" w:rsidP="00921457">
      <w:r>
        <w:separator/>
      </w:r>
    </w:p>
  </w:endnote>
  <w:endnote w:type="continuationSeparator" w:id="0">
    <w:p w:rsidR="00C77827" w:rsidRDefault="00C77827" w:rsidP="0092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D" w:rsidRDefault="0002561D" w:rsidP="00B413F1">
    <w:pPr>
      <w:pStyle w:val="Kjene"/>
      <w:jc w:val="both"/>
    </w:pPr>
    <w:r>
      <w:rPr>
        <w:sz w:val="20"/>
        <w:szCs w:val="20"/>
      </w:rPr>
      <w:t>TManot_1</w:t>
    </w:r>
    <w:r w:rsidR="00735E42">
      <w:rPr>
        <w:sz w:val="20"/>
        <w:szCs w:val="20"/>
      </w:rPr>
      <w:t>7</w:t>
    </w:r>
    <w:r>
      <w:rPr>
        <w:sz w:val="20"/>
        <w:szCs w:val="20"/>
      </w:rPr>
      <w:t>0712_Mant797</w:t>
    </w:r>
    <w:r w:rsidRPr="006813A5">
      <w:rPr>
        <w:sz w:val="20"/>
        <w:szCs w:val="20"/>
      </w:rPr>
      <w:t>; Ministru kabineta rīkojuma projekta</w:t>
    </w:r>
    <w:r>
      <w:t xml:space="preserve"> </w:t>
    </w:r>
    <w:r w:rsidRPr="006813A5">
      <w:rPr>
        <w:bCs/>
        <w:sz w:val="20"/>
        <w:szCs w:val="20"/>
      </w:rPr>
      <w:t>„</w:t>
    </w:r>
    <w:r w:rsidRPr="006813A5">
      <w:rPr>
        <w:sz w:val="20"/>
        <w:szCs w:val="20"/>
      </w:rPr>
      <w:t>Grozījums Ministru kabineta 2009.</w:t>
    </w:r>
    <w:r>
      <w:rPr>
        <w:sz w:val="20"/>
        <w:szCs w:val="20"/>
      </w:rPr>
      <w:t xml:space="preserve"> </w:t>
    </w:r>
    <w:r w:rsidRPr="006813A5">
      <w:rPr>
        <w:sz w:val="20"/>
        <w:szCs w:val="20"/>
      </w:rPr>
      <w:t xml:space="preserve">gada </w:t>
    </w:r>
    <w:r w:rsidRPr="008D42DD">
      <w:rPr>
        <w:sz w:val="20"/>
        <w:szCs w:val="20"/>
      </w:rPr>
      <w:t>19.novembra rīkojumā Nr. 797</w:t>
    </w:r>
    <w:r w:rsidRPr="006813A5">
      <w:rPr>
        <w:sz w:val="20"/>
        <w:szCs w:val="20"/>
      </w:rPr>
      <w:t xml:space="preserve"> „Par </w:t>
    </w:r>
    <w:r>
      <w:rPr>
        <w:sz w:val="20"/>
        <w:szCs w:val="20"/>
      </w:rPr>
      <w:t>Koncepciju par Civillikuma Mantojuma tiesību daļas modernizāciju</w:t>
    </w:r>
    <w:r w:rsidRPr="006813A5">
      <w:rPr>
        <w:sz w:val="20"/>
        <w:szCs w:val="20"/>
      </w:rPr>
      <w:t xml:space="preserve">”” </w:t>
    </w:r>
    <w:r w:rsidRPr="006813A5">
      <w:rPr>
        <w:bCs/>
        <w:sz w:val="20"/>
        <w:szCs w:val="20"/>
      </w:rPr>
      <w:t>sākotnējās ietekmes novērtējuma ziņojums (anotācija) </w:t>
    </w:r>
    <w:r w:rsidRPr="006813A5">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D" w:rsidRDefault="0002561D" w:rsidP="00B413F1">
    <w:pPr>
      <w:pStyle w:val="Kjene"/>
      <w:jc w:val="both"/>
    </w:pPr>
    <w:r>
      <w:rPr>
        <w:sz w:val="20"/>
        <w:szCs w:val="20"/>
      </w:rPr>
      <w:t>TManot_</w:t>
    </w:r>
    <w:r w:rsidR="00735E42">
      <w:rPr>
        <w:sz w:val="20"/>
        <w:szCs w:val="20"/>
      </w:rPr>
      <w:t>170712</w:t>
    </w:r>
    <w:r>
      <w:rPr>
        <w:sz w:val="20"/>
        <w:szCs w:val="20"/>
      </w:rPr>
      <w:t>_Mant797</w:t>
    </w:r>
    <w:r w:rsidRPr="006813A5">
      <w:rPr>
        <w:sz w:val="20"/>
        <w:szCs w:val="20"/>
      </w:rPr>
      <w:t xml:space="preserve">; </w:t>
    </w:r>
    <w:bookmarkStart w:id="1" w:name="OLE_LINK3"/>
    <w:bookmarkStart w:id="2" w:name="OLE_LINK4"/>
    <w:r w:rsidRPr="006813A5">
      <w:rPr>
        <w:sz w:val="20"/>
        <w:szCs w:val="20"/>
      </w:rPr>
      <w:t>Ministru kabineta rīkojuma projekta</w:t>
    </w:r>
    <w:r>
      <w:t xml:space="preserve"> </w:t>
    </w:r>
    <w:r w:rsidRPr="006813A5">
      <w:rPr>
        <w:bCs/>
        <w:sz w:val="20"/>
        <w:szCs w:val="20"/>
      </w:rPr>
      <w:t>„</w:t>
    </w:r>
    <w:r w:rsidRPr="006813A5">
      <w:rPr>
        <w:sz w:val="20"/>
        <w:szCs w:val="20"/>
      </w:rPr>
      <w:t>Grozījums Ministru kabineta 2009.</w:t>
    </w:r>
    <w:r>
      <w:rPr>
        <w:sz w:val="20"/>
        <w:szCs w:val="20"/>
      </w:rPr>
      <w:t xml:space="preserve"> </w:t>
    </w:r>
    <w:r w:rsidRPr="006813A5">
      <w:rPr>
        <w:sz w:val="20"/>
        <w:szCs w:val="20"/>
      </w:rPr>
      <w:t xml:space="preserve">gada </w:t>
    </w:r>
    <w:r w:rsidRPr="008D42DD">
      <w:rPr>
        <w:sz w:val="20"/>
        <w:szCs w:val="20"/>
      </w:rPr>
      <w:t>19.novembra rīkojumā Nr. 797</w:t>
    </w:r>
    <w:r w:rsidRPr="006813A5">
      <w:rPr>
        <w:sz w:val="20"/>
        <w:szCs w:val="20"/>
      </w:rPr>
      <w:t xml:space="preserve"> „Par </w:t>
    </w:r>
    <w:r>
      <w:rPr>
        <w:sz w:val="20"/>
        <w:szCs w:val="20"/>
      </w:rPr>
      <w:t>Koncepciju par Civillikuma Mantojuma tiesību daļas modernizāciju</w:t>
    </w:r>
    <w:r w:rsidRPr="006813A5">
      <w:rPr>
        <w:sz w:val="20"/>
        <w:szCs w:val="20"/>
      </w:rPr>
      <w:t xml:space="preserve">”” </w:t>
    </w:r>
    <w:r w:rsidRPr="006813A5">
      <w:rPr>
        <w:bCs/>
        <w:sz w:val="20"/>
        <w:szCs w:val="20"/>
      </w:rPr>
      <w:t>sākotnējās ietekmes novērtējuma ziņojums (anotācija)</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27" w:rsidRDefault="00C77827" w:rsidP="00921457">
      <w:r>
        <w:separator/>
      </w:r>
    </w:p>
  </w:footnote>
  <w:footnote w:type="continuationSeparator" w:id="0">
    <w:p w:rsidR="00C77827" w:rsidRDefault="00C77827" w:rsidP="0092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D" w:rsidRDefault="00A7638F">
    <w:pPr>
      <w:pStyle w:val="Galvene"/>
      <w:jc w:val="center"/>
    </w:pPr>
    <w:r>
      <w:fldChar w:fldCharType="begin"/>
    </w:r>
    <w:r w:rsidR="0002561D">
      <w:instrText xml:space="preserve"> PAGE   \* MERGEFORMAT </w:instrText>
    </w:r>
    <w:r>
      <w:fldChar w:fldCharType="separate"/>
    </w:r>
    <w:r w:rsidR="00B413F1">
      <w:rPr>
        <w:noProof/>
      </w:rPr>
      <w:t>2</w:t>
    </w:r>
    <w:r>
      <w:rPr>
        <w:noProof/>
      </w:rPr>
      <w:fldChar w:fldCharType="end"/>
    </w:r>
  </w:p>
  <w:p w:rsidR="0002561D" w:rsidRDefault="0002561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176"/>
    <w:multiLevelType w:val="hybridMultilevel"/>
    <w:tmpl w:val="A2028D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57"/>
    <w:rsid w:val="0002561D"/>
    <w:rsid w:val="000B7C7F"/>
    <w:rsid w:val="001570E7"/>
    <w:rsid w:val="00485BF0"/>
    <w:rsid w:val="00735E42"/>
    <w:rsid w:val="007E0585"/>
    <w:rsid w:val="00865BF8"/>
    <w:rsid w:val="00921457"/>
    <w:rsid w:val="009A7A0F"/>
    <w:rsid w:val="00A7638F"/>
    <w:rsid w:val="00A830E4"/>
    <w:rsid w:val="00B413F1"/>
    <w:rsid w:val="00C77827"/>
    <w:rsid w:val="00F85DA4"/>
    <w:rsid w:val="00FD34EF"/>
    <w:rsid w:val="00FD5400"/>
    <w:rsid w:val="00FD55B8"/>
    <w:rsid w:val="00FE68D3"/>
    <w:rsid w:val="00FF48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145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21457"/>
    <w:pPr>
      <w:tabs>
        <w:tab w:val="center" w:pos="4153"/>
        <w:tab w:val="right" w:pos="8306"/>
      </w:tabs>
    </w:pPr>
  </w:style>
  <w:style w:type="character" w:customStyle="1" w:styleId="GalveneRakstz">
    <w:name w:val="Galvene Rakstz."/>
    <w:basedOn w:val="Noklusjumarindkopasfonts"/>
    <w:link w:val="Galvene"/>
    <w:uiPriority w:val="99"/>
    <w:rsid w:val="00921457"/>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921457"/>
    <w:pPr>
      <w:tabs>
        <w:tab w:val="center" w:pos="4153"/>
        <w:tab w:val="right" w:pos="8306"/>
      </w:tabs>
    </w:pPr>
  </w:style>
  <w:style w:type="character" w:customStyle="1" w:styleId="KjeneRakstz">
    <w:name w:val="Kājene Rakstz."/>
    <w:basedOn w:val="Noklusjumarindkopasfonts"/>
    <w:link w:val="Kjene"/>
    <w:uiPriority w:val="99"/>
    <w:rsid w:val="00921457"/>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21457"/>
    <w:rPr>
      <w:color w:val="0000FF" w:themeColor="hyperlink"/>
      <w:u w:val="single"/>
    </w:rPr>
  </w:style>
  <w:style w:type="paragraph" w:customStyle="1" w:styleId="naisf">
    <w:name w:val="naisf"/>
    <w:basedOn w:val="Parasts"/>
    <w:rsid w:val="00921457"/>
    <w:pPr>
      <w:spacing w:before="75" w:after="75"/>
      <w:ind w:firstLine="375"/>
      <w:jc w:val="both"/>
    </w:pPr>
  </w:style>
  <w:style w:type="paragraph" w:styleId="Komentrateksts">
    <w:name w:val="annotation text"/>
    <w:basedOn w:val="Parasts"/>
    <w:link w:val="KomentratekstsRakstz"/>
    <w:uiPriority w:val="99"/>
    <w:unhideWhenUsed/>
    <w:rsid w:val="00921457"/>
    <w:pPr>
      <w:spacing w:after="20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rsid w:val="00921457"/>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FF48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48D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145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21457"/>
    <w:pPr>
      <w:tabs>
        <w:tab w:val="center" w:pos="4153"/>
        <w:tab w:val="right" w:pos="8306"/>
      </w:tabs>
    </w:pPr>
  </w:style>
  <w:style w:type="character" w:customStyle="1" w:styleId="GalveneRakstz">
    <w:name w:val="Galvene Rakstz."/>
    <w:basedOn w:val="Noklusjumarindkopasfonts"/>
    <w:link w:val="Galvene"/>
    <w:uiPriority w:val="99"/>
    <w:rsid w:val="00921457"/>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921457"/>
    <w:pPr>
      <w:tabs>
        <w:tab w:val="center" w:pos="4153"/>
        <w:tab w:val="right" w:pos="8306"/>
      </w:tabs>
    </w:pPr>
  </w:style>
  <w:style w:type="character" w:customStyle="1" w:styleId="KjeneRakstz">
    <w:name w:val="Kājene Rakstz."/>
    <w:basedOn w:val="Noklusjumarindkopasfonts"/>
    <w:link w:val="Kjene"/>
    <w:uiPriority w:val="99"/>
    <w:rsid w:val="00921457"/>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21457"/>
    <w:rPr>
      <w:color w:val="0000FF" w:themeColor="hyperlink"/>
      <w:u w:val="single"/>
    </w:rPr>
  </w:style>
  <w:style w:type="paragraph" w:customStyle="1" w:styleId="naisf">
    <w:name w:val="naisf"/>
    <w:basedOn w:val="Parasts"/>
    <w:rsid w:val="00921457"/>
    <w:pPr>
      <w:spacing w:before="75" w:after="75"/>
      <w:ind w:firstLine="375"/>
      <w:jc w:val="both"/>
    </w:pPr>
  </w:style>
  <w:style w:type="paragraph" w:styleId="Komentrateksts">
    <w:name w:val="annotation text"/>
    <w:basedOn w:val="Parasts"/>
    <w:link w:val="KomentratekstsRakstz"/>
    <w:uiPriority w:val="99"/>
    <w:unhideWhenUsed/>
    <w:rsid w:val="00921457"/>
    <w:pPr>
      <w:spacing w:after="20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rsid w:val="00921457"/>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FF48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48D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ga.paipala@t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gov.lv/lv/ministrija/imateriali/petijumi.html" TargetMode="External"/><Relationship Id="rId4" Type="http://schemas.microsoft.com/office/2007/relationships/stylesWithEffects" Target="stylesWithEffects.xml"/><Relationship Id="rId9" Type="http://schemas.openxmlformats.org/officeDocument/2006/relationships/hyperlink" Target="http://www.likumi.lv/doc.php?id=225418"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4FE8-93C2-4C65-B9CC-8D2E7E88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5314</Words>
  <Characters>3029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rīkojuma projekta „Grozījums Ministru kabineta 2009. gada 19.novembra rīkojumā Nr. 797 „Par Koncepciju par Civillikuma Mantojuma tiesību daļas modernizāciju”” sākotnējās ietekmes novērtējuma ziņojums (anotācija)  </vt:lpstr>
    </vt:vector>
  </TitlesOfParts>
  <Company>Tieslietu Sektors</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2009. gada 19.novembra rīkojumā Nr. 797 „Par Koncepciju par Civillikuma Mantojuma tiesību daļas modernizāciju”” sākotnējās ietekmes novērtējuma ziņojums (anotācija)</dc:title>
  <dc:subject>Anotācija</dc:subject>
  <dc:creator>Olga Paipala</dc:creator>
  <dc:description>olga.paipala@tm.gov.lv
67046107</dc:description>
  <cp:lastModifiedBy>Olga Paipala</cp:lastModifiedBy>
  <cp:revision>3</cp:revision>
  <cp:lastPrinted>2012-07-12T11:55:00Z</cp:lastPrinted>
  <dcterms:created xsi:type="dcterms:W3CDTF">2012-07-17T09:21:00Z</dcterms:created>
  <dcterms:modified xsi:type="dcterms:W3CDTF">2012-07-17T09:21:00Z</dcterms:modified>
</cp:coreProperties>
</file>