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DE1" w:rsidRPr="004268E7" w:rsidRDefault="006E6DE1" w:rsidP="006E6DE1">
      <w:pPr>
        <w:pStyle w:val="naislab"/>
        <w:spacing w:before="0" w:after="0"/>
        <w:jc w:val="center"/>
        <w:outlineLvl w:val="0"/>
        <w:rPr>
          <w:b/>
          <w:sz w:val="28"/>
          <w:szCs w:val="28"/>
        </w:rPr>
      </w:pPr>
      <w:r w:rsidRPr="004268E7">
        <w:rPr>
          <w:b/>
          <w:sz w:val="28"/>
          <w:szCs w:val="28"/>
        </w:rPr>
        <w:t>Likumprojekta „Grozījumi Civillikumā”</w:t>
      </w:r>
      <w:r w:rsidRPr="004268E7">
        <w:rPr>
          <w:b/>
        </w:rPr>
        <w:t xml:space="preserve"> </w:t>
      </w:r>
      <w:r w:rsidRPr="004268E7">
        <w:rPr>
          <w:b/>
          <w:sz w:val="28"/>
          <w:szCs w:val="28"/>
        </w:rPr>
        <w:t xml:space="preserve">sākotnējās ietekmes novērtējuma </w:t>
      </w:r>
      <w:smartTag w:uri="schemas-tilde-lv/tildestengine" w:element="veidnes">
        <w:smartTagPr>
          <w:attr w:name="text" w:val="ziņojums"/>
          <w:attr w:name="baseform" w:val="ziņojums"/>
          <w:attr w:name="id" w:val="-1"/>
        </w:smartTagPr>
        <w:r w:rsidRPr="004268E7">
          <w:rPr>
            <w:b/>
            <w:sz w:val="28"/>
            <w:szCs w:val="28"/>
          </w:rPr>
          <w:t>ziņojums</w:t>
        </w:r>
      </w:smartTag>
      <w:r w:rsidRPr="004268E7">
        <w:rPr>
          <w:b/>
          <w:sz w:val="28"/>
          <w:szCs w:val="28"/>
        </w:rPr>
        <w:t xml:space="preserve">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9"/>
        <w:gridCol w:w="2665"/>
        <w:gridCol w:w="6601"/>
      </w:tblGrid>
      <w:tr w:rsidR="006E6DE1" w:rsidRPr="004268E7" w:rsidTr="00BA70AA">
        <w:tc>
          <w:tcPr>
            <w:tcW w:w="9725" w:type="dxa"/>
            <w:gridSpan w:val="3"/>
            <w:vAlign w:val="center"/>
          </w:tcPr>
          <w:p w:rsidR="006E6DE1" w:rsidRPr="004268E7" w:rsidRDefault="006E6DE1" w:rsidP="00BA70AA">
            <w:pPr>
              <w:pStyle w:val="naisnod"/>
              <w:spacing w:before="0" w:after="0"/>
            </w:pPr>
            <w:r w:rsidRPr="004268E7">
              <w:t>I. Tiesību akta projekta izstrādes nepieciešamība</w:t>
            </w:r>
          </w:p>
        </w:tc>
      </w:tr>
      <w:tr w:rsidR="006E6DE1" w:rsidRPr="004268E7" w:rsidTr="00BA70AA">
        <w:trPr>
          <w:trHeight w:val="630"/>
        </w:trPr>
        <w:tc>
          <w:tcPr>
            <w:tcW w:w="459" w:type="dxa"/>
          </w:tcPr>
          <w:p w:rsidR="006E6DE1" w:rsidRPr="004268E7" w:rsidRDefault="006E6DE1" w:rsidP="00BA70AA">
            <w:pPr>
              <w:pStyle w:val="naiskr"/>
              <w:spacing w:before="0" w:after="0"/>
              <w:rPr>
                <w:b/>
              </w:rPr>
            </w:pPr>
            <w:r w:rsidRPr="004268E7">
              <w:rPr>
                <w:b/>
                <w:sz w:val="22"/>
                <w:szCs w:val="22"/>
              </w:rPr>
              <w:t>1.</w:t>
            </w:r>
          </w:p>
        </w:tc>
        <w:tc>
          <w:tcPr>
            <w:tcW w:w="2665" w:type="dxa"/>
          </w:tcPr>
          <w:p w:rsidR="006E6DE1" w:rsidRPr="004268E7" w:rsidRDefault="006E6DE1" w:rsidP="00BA70AA">
            <w:pPr>
              <w:pStyle w:val="naiskr"/>
              <w:spacing w:before="0" w:after="0"/>
              <w:ind w:hanging="10"/>
              <w:rPr>
                <w:b/>
              </w:rPr>
            </w:pPr>
            <w:r w:rsidRPr="004268E7">
              <w:rPr>
                <w:b/>
                <w:sz w:val="22"/>
                <w:szCs w:val="22"/>
              </w:rPr>
              <w:t>Pamatojums</w:t>
            </w:r>
          </w:p>
        </w:tc>
        <w:tc>
          <w:tcPr>
            <w:tcW w:w="6601" w:type="dxa"/>
          </w:tcPr>
          <w:p w:rsidR="006E6DE1" w:rsidRDefault="006E6DE1" w:rsidP="00BA70AA">
            <w:pPr>
              <w:pStyle w:val="naisf"/>
              <w:spacing w:before="0" w:after="0"/>
              <w:ind w:firstLine="527"/>
            </w:pPr>
            <w:r w:rsidRPr="004268E7">
              <w:t>Ministru kabineta 2009. gada 19. novembra rīkojums Nr. 797 „</w:t>
            </w:r>
            <w:r w:rsidRPr="004268E7">
              <w:rPr>
                <w:bCs/>
              </w:rPr>
              <w:t>Par Koncepciju par Civillikuma Mantojuma tiesību daļas modernizāciju</w:t>
            </w:r>
            <w:r w:rsidRPr="004268E7">
              <w:t>”.</w:t>
            </w:r>
          </w:p>
          <w:p w:rsidR="006E6DE1" w:rsidRPr="006E6DE1" w:rsidRDefault="006E6DE1" w:rsidP="00BA70AA">
            <w:pPr>
              <w:pStyle w:val="naisf"/>
              <w:spacing w:before="0" w:after="0"/>
              <w:ind w:firstLine="527"/>
            </w:pPr>
            <w:r w:rsidRPr="006E6DE1">
              <w:t xml:space="preserve">Valdības rīcības plāna Deklarācijas par Valda </w:t>
            </w:r>
            <w:proofErr w:type="spellStart"/>
            <w:r w:rsidRPr="006E6DE1">
              <w:t>Dombrovska</w:t>
            </w:r>
            <w:proofErr w:type="spellEnd"/>
            <w:r w:rsidRPr="006E6DE1">
              <w:t xml:space="preserve"> vadītā Ministru kabineta iecerēto darbību īstenošanai (apstiprināts ar Ministru kabineta 2012.gada 16.februāra rīkojumu Nr.84) 119.2.apakšpunkts.</w:t>
            </w:r>
          </w:p>
        </w:tc>
      </w:tr>
      <w:tr w:rsidR="006E6DE1" w:rsidRPr="004268E7" w:rsidTr="00BA70AA">
        <w:trPr>
          <w:trHeight w:val="472"/>
        </w:trPr>
        <w:tc>
          <w:tcPr>
            <w:tcW w:w="459" w:type="dxa"/>
          </w:tcPr>
          <w:p w:rsidR="006E6DE1" w:rsidRPr="004268E7" w:rsidRDefault="006E6DE1" w:rsidP="00BA70AA">
            <w:pPr>
              <w:pStyle w:val="naiskr"/>
              <w:spacing w:before="0" w:after="0"/>
              <w:rPr>
                <w:b/>
              </w:rPr>
            </w:pPr>
            <w:r w:rsidRPr="004268E7">
              <w:rPr>
                <w:b/>
                <w:sz w:val="22"/>
                <w:szCs w:val="22"/>
              </w:rPr>
              <w:t>2.</w:t>
            </w:r>
          </w:p>
        </w:tc>
        <w:tc>
          <w:tcPr>
            <w:tcW w:w="2665" w:type="dxa"/>
          </w:tcPr>
          <w:p w:rsidR="006E6DE1" w:rsidRPr="004268E7" w:rsidRDefault="006E6DE1" w:rsidP="00BA70AA">
            <w:pPr>
              <w:pStyle w:val="naiskr"/>
              <w:tabs>
                <w:tab w:val="left" w:pos="170"/>
              </w:tabs>
              <w:spacing w:before="0" w:after="0"/>
              <w:rPr>
                <w:b/>
              </w:rPr>
            </w:pPr>
            <w:r w:rsidRPr="004268E7">
              <w:rPr>
                <w:b/>
                <w:sz w:val="22"/>
                <w:szCs w:val="22"/>
              </w:rPr>
              <w:t>Pašreizējā situācija un problēmas</w:t>
            </w:r>
          </w:p>
        </w:tc>
        <w:tc>
          <w:tcPr>
            <w:tcW w:w="6601" w:type="dxa"/>
          </w:tcPr>
          <w:p w:rsidR="006E6DE1" w:rsidRPr="004268E7" w:rsidRDefault="006E6DE1" w:rsidP="00BA70AA">
            <w:pPr>
              <w:ind w:firstLine="493"/>
              <w:jc w:val="both"/>
              <w:rPr>
                <w:rFonts w:eastAsia="Calibri"/>
              </w:rPr>
            </w:pPr>
            <w:r w:rsidRPr="004268E7">
              <w:rPr>
                <w:rFonts w:eastAsia="Calibri"/>
              </w:rPr>
              <w:t>Civiltiesību nozares pamats ir 1937. gadā pieņemtais Civillikums.</w:t>
            </w:r>
            <w:r w:rsidRPr="004268E7">
              <w:t xml:space="preserve"> Civillikumā</w:t>
            </w:r>
            <w:r w:rsidRPr="004268E7">
              <w:rPr>
                <w:rFonts w:eastAsia="Calibri"/>
              </w:rPr>
              <w:t xml:space="preserve"> ietvert</w:t>
            </w:r>
            <w:r w:rsidRPr="004268E7">
              <w:t>ai</w:t>
            </w:r>
            <w:r w:rsidRPr="004268E7">
              <w:rPr>
                <w:rFonts w:eastAsia="Calibri"/>
              </w:rPr>
              <w:t>s regulējums attiecībā uz šajā likumprojektā „Grozījumi Civillikumā” ietvertajām normām</w:t>
            </w:r>
            <w:r w:rsidRPr="004268E7">
              <w:t xml:space="preserve"> ir novecojis </w:t>
            </w:r>
            <w:r w:rsidRPr="004268E7">
              <w:rPr>
                <w:rFonts w:eastAsia="Calibri"/>
              </w:rPr>
              <w:t xml:space="preserve">un vairs nespēj pilnībā apmierināt mūsdienu sabiedrības vajadzības. </w:t>
            </w:r>
          </w:p>
          <w:p w:rsidR="006E6DE1" w:rsidRPr="004268E7" w:rsidRDefault="006E6DE1" w:rsidP="00BA70AA">
            <w:pPr>
              <w:pStyle w:val="naisf"/>
              <w:spacing w:before="0" w:after="0"/>
              <w:ind w:firstLine="527"/>
            </w:pPr>
            <w:r w:rsidRPr="004268E7">
              <w:t>Izvērtējot problēmu jautājumus Latvijas Republikas</w:t>
            </w:r>
            <w:r>
              <w:t xml:space="preserve"> Civillikuma</w:t>
            </w:r>
            <w:r w:rsidRPr="004268E7">
              <w:t xml:space="preserve"> Mantojuma tiesību regulējumā, konstatēts, ka problēmas skar šādus Civillikuma Mantojuma tiesību daļas institūtus: laulāto mantošana, radinieku un adoptēto mantošana, neatraidāmie mantinieki un to neatņemamā daļa, testamenta forma (publiskie testamenti, priviliģēti testamenti) un mantojuma aizgādnība. Problēmu izklāsts definēts ar Ministru kabineta 2009. gada 19. novembra rīkojumu Nr. 797 „</w:t>
            </w:r>
            <w:r w:rsidRPr="004268E7">
              <w:rPr>
                <w:bCs/>
              </w:rPr>
              <w:t>Par Koncepciju par Civillikuma Mantojuma tiesību daļas modernizāciju</w:t>
            </w:r>
            <w:r w:rsidRPr="004268E7">
              <w:t>” apstiprinātajā koncepcijā (turpmāk – Koncepcija).</w:t>
            </w:r>
          </w:p>
          <w:p w:rsidR="006E6DE1" w:rsidRPr="004268E7" w:rsidRDefault="006E6DE1" w:rsidP="00BA70AA">
            <w:pPr>
              <w:pStyle w:val="naisf"/>
              <w:spacing w:before="0" w:after="0"/>
              <w:ind w:firstLine="455"/>
              <w:rPr>
                <w:rFonts w:eastAsia="Calibri"/>
              </w:rPr>
            </w:pPr>
            <w:r w:rsidRPr="004268E7">
              <w:rPr>
                <w:rFonts w:eastAsia="Calibri"/>
              </w:rPr>
              <w:t xml:space="preserve">1) Mantojuma aizgādnības būtība ir radīt efektīvu mehānismu, kas nodrošinātu pilnvērtīgu mantojuma darbību līdz brīdim, kamēr to pārņem mantinieki. Diemžēl patreizējais mantojuma aizgādnības nodibināšanas regulējums ar tiesas līdzdalību ir laikietilpīgs un sarežģīts, kas nenodrošina mantojuma aizgādnības nodibināšanas primāro funkciju – operatīvu rīcību. </w:t>
            </w:r>
          </w:p>
          <w:p w:rsidR="006E6DE1" w:rsidRPr="004268E7" w:rsidRDefault="006E6DE1" w:rsidP="00BA70AA">
            <w:pPr>
              <w:ind w:firstLine="425"/>
              <w:jc w:val="both"/>
            </w:pPr>
            <w:r w:rsidRPr="004268E7">
              <w:t xml:space="preserve">2) Apstiprināšana mantojuma tiesībās notiek tikai attiecībā uz tiem mantiniekiem, kas ieradušies un kā tādi pieteikušies mantojuma iestādē, un tā sava lēmuma pieņemšanas gaitā rēķinās tikai ar šīm, savas intereses pieteikušām, personām. Pārdzīvojušā laulātā daļai būtu jābūt atkarīgai no tā, cik bērnu patiešām palicis, nevis no tā, cik no viņiem pieteikušies. </w:t>
            </w:r>
          </w:p>
          <w:p w:rsidR="006E6DE1" w:rsidRPr="004268E7" w:rsidRDefault="006E6DE1" w:rsidP="00BA70AA">
            <w:pPr>
              <w:ind w:firstLine="425"/>
              <w:jc w:val="both"/>
            </w:pPr>
            <w:r w:rsidRPr="004268E7">
              <w:t>Praksē rodas situācija, ka</w:t>
            </w:r>
            <w:r>
              <w:t>,</w:t>
            </w:r>
            <w:r w:rsidRPr="004268E7">
              <w:t xml:space="preserve"> neraugoties uz to, ka pārējie lejupējie neizmanto savas tiesības, gadījumos, kad bērni ir četri un vairāk, laulātajam jebkurā gadījumā būtu piemērojama Civillikuma 393. pantā stingri noteiktā viena ceturtā daļa. </w:t>
            </w:r>
          </w:p>
          <w:p w:rsidR="006E6DE1" w:rsidRPr="004268E7" w:rsidRDefault="006E6DE1" w:rsidP="00BA70AA">
            <w:pPr>
              <w:ind w:firstLine="493"/>
              <w:jc w:val="both"/>
            </w:pPr>
            <w:r w:rsidRPr="004268E7">
              <w:t xml:space="preserve">Saistībā ar laulāto kopmantas izdalīšanas prezumpciju, norādāms, ka dalījums uz pusēm nav automātisks, tas ir piemērojams tikai šaubu gadījumā, kad nav iespējams noteikt citādu kopmantas daļu sadalījumu. </w:t>
            </w:r>
            <w:r w:rsidRPr="004268E7">
              <w:rPr>
                <w:sz w:val="28"/>
                <w:szCs w:val="28"/>
              </w:rPr>
              <w:t xml:space="preserve"> </w:t>
            </w:r>
            <w:r w:rsidRPr="004268E7">
              <w:t>Ņemot vērā to, ka notārs neveic pierādījumu izvērtēšanu un nelemj par īpašuma tiesību priekšmetu piederību, jānoteic, ka mantojuma masā ietilpstošās kopmantas sadale notiek prasības kārtībā.</w:t>
            </w:r>
          </w:p>
          <w:p w:rsidR="006E6DE1" w:rsidRPr="004268E7" w:rsidRDefault="006E6DE1" w:rsidP="00BA70AA">
            <w:pPr>
              <w:pStyle w:val="naisf"/>
              <w:spacing w:before="0" w:after="0"/>
              <w:ind w:firstLine="455"/>
              <w:rPr>
                <w:rFonts w:eastAsia="Calibri"/>
              </w:rPr>
            </w:pPr>
            <w:r w:rsidRPr="004268E7">
              <w:t>3) Darbā grupā</w:t>
            </w:r>
            <w:r>
              <w:t xml:space="preserve"> (kas izveidotā ar</w:t>
            </w:r>
            <w:r w:rsidRPr="004268E7">
              <w:t xml:space="preserve"> tieslietu ministra 2009. gada 23. decembra rīkojumu Nr. 1-1/435 normatīvo aktu projektu, kas </w:t>
            </w:r>
            <w:r w:rsidRPr="004268E7">
              <w:lastRenderedPageBreak/>
              <w:t>saistīti ar Koncepcijas par Civillikuma Mantojuma tiesību daļas modernizācijas īstenošanu, izstrādei</w:t>
            </w:r>
            <w:r>
              <w:t>)</w:t>
            </w:r>
            <w:r w:rsidRPr="004268E7">
              <w:t xml:space="preserve"> tika apspriesta iespēja izņemt adoptēto mantošanu no Civillikuma Mantojuma tiesību daļas kā tādas (piemēram, kā Igaunijā), bet šis priekšlikums neguva atbalstu</w:t>
            </w:r>
            <w:r w:rsidRPr="004268E7">
              <w:rPr>
                <w:rFonts w:eastAsia="Calibri"/>
              </w:rPr>
              <w:t xml:space="preserve"> un darbā grupā tika izlemts, šādus grozījumus nevirzīt.</w:t>
            </w:r>
          </w:p>
          <w:p w:rsidR="006E6DE1" w:rsidRPr="002E0770" w:rsidRDefault="006E6DE1" w:rsidP="00BA70AA">
            <w:pPr>
              <w:pStyle w:val="naisf"/>
              <w:spacing w:before="0" w:after="0"/>
              <w:ind w:firstLine="455"/>
              <w:rPr>
                <w:rStyle w:val="header--char"/>
                <w:rFonts w:eastAsia="Calibri"/>
                <w:u w:val="single"/>
              </w:rPr>
            </w:pPr>
            <w:r w:rsidRPr="004268E7">
              <w:t>Adoptēto mantošana ir ļoti sāpīgs jautājums, kurš, diemžēl, pretēji Civillikum</w:t>
            </w:r>
            <w:r>
              <w:t>ā</w:t>
            </w:r>
            <w:r w:rsidRPr="004268E7">
              <w:t xml:space="preserve"> esošajam adopcijas regulējumam, bet atbilstoši esošai Civillikuma 401.panta redakcijai tiek arī risināts tiesā (piemēram, Latvijas Republikas Augstākās tiesas Senāta 2011. gada 14. septembra spriedums lietā </w:t>
            </w:r>
            <w:proofErr w:type="spellStart"/>
            <w:r w:rsidRPr="004268E7">
              <w:t>Nr.SKC-250</w:t>
            </w:r>
            <w:proofErr w:type="spellEnd"/>
            <w:r w:rsidRPr="004268E7">
              <w:t xml:space="preserve">/2011 un  Latvijas Republikas Augstākās tiesas Senāta 2011. gada 14. septembra spriedums lietā </w:t>
            </w:r>
            <w:proofErr w:type="spellStart"/>
            <w:r w:rsidRPr="004268E7">
              <w:t>Nr.SKC-223</w:t>
            </w:r>
            <w:proofErr w:type="spellEnd"/>
            <w:r w:rsidRPr="004268E7">
              <w:t xml:space="preserve">/2011). Ar šādu praksi tiek atbalstīta pieeja, ka adoptētie bērni mantojuma tiesībās netiek pielīdzināti laulībā dzimušajiem bērniem, kas ir pretrunā ar Civillikuma 173.pantu, pretrunā ar Eiropas Konvenciju par bērnu adopciju, kas Latvijai ir saistoša, pretrunā ar Eiropas Cilvēktiesību tiesas 2004.gada 13.jūlija spriedumu lietā </w:t>
            </w:r>
            <w:r w:rsidRPr="004268E7">
              <w:rPr>
                <w:rStyle w:val="header--char"/>
              </w:rPr>
              <w:t>PLA un PUNCERNAU v. ANDORRA. Civillikuma 401.pants savu redakciju ieguva 1937.gadā, un ar nelieliem grozījumiem ir saglabājies arī tagad, nezināmu iemeslu dēļ fundamentāli un būtiski grozot adopcijas regulējumu Ģimenes tiesībās, Mantojuma tiesībās esošais 401.pants saglabājās būtībā 1937.gada redakcijā (izņemot atsauci uz adopcijas līgumu</w:t>
            </w:r>
            <w:r w:rsidRPr="002E0770">
              <w:rPr>
                <w:rStyle w:val="header--char"/>
              </w:rPr>
              <w:t>)</w:t>
            </w:r>
            <w:r>
              <w:rPr>
                <w:rStyle w:val="header--char"/>
              </w:rPr>
              <w:t xml:space="preserve">, </w:t>
            </w:r>
            <w:r w:rsidRPr="00462931">
              <w:rPr>
                <w:rStyle w:val="header--char"/>
              </w:rPr>
              <w:t>līdz ar to minēto pantu paredzēts grozīt</w:t>
            </w:r>
            <w:r w:rsidRPr="002E0770">
              <w:rPr>
                <w:rStyle w:val="header--char"/>
              </w:rPr>
              <w:t xml:space="preserve">. </w:t>
            </w:r>
          </w:p>
          <w:p w:rsidR="006E6DE1" w:rsidRDefault="006E6DE1" w:rsidP="00BA70AA">
            <w:pPr>
              <w:ind w:firstLine="425"/>
              <w:jc w:val="both"/>
            </w:pPr>
            <w:r w:rsidRPr="004268E7">
              <w:t>4) Civillikumā iekļautais termins „neatraidāmais mantinieks” nav atbilstošs tiesību normās ietvertajai šī institūta būtībai. Tāpat arī abi attiecīgās Civillikuma nodaļas sākumā minētie termini „neatraidāmais mantinieks” un „neatņemamā daļa” ir pretrunā jau viens ar otru</w:t>
            </w:r>
            <w:r w:rsidRPr="00462931">
              <w:t xml:space="preserve">, jo  neatraidāmais mantinieks neatbild par mantojuma atstājēja parādiem un saistībām, viņa daļu aprēķina tikai no mantojuma atstājēja skaidras (aktīvas) mantas, </w:t>
            </w:r>
            <w:r w:rsidRPr="00462931">
              <w:rPr>
                <w:sz w:val="28"/>
                <w:szCs w:val="28"/>
              </w:rPr>
              <w:t xml:space="preserve"> </w:t>
            </w:r>
            <w:r w:rsidRPr="00462931">
              <w:t>savukārt termins „neatņemamā daļa” ir pilnīgi atbilstošs materiālajai šī institūta izpratnei, kas arī ietverta Civillikuma 422.-426. pantā.</w:t>
            </w:r>
            <w:r w:rsidRPr="004268E7">
              <w:t xml:space="preserve"> Termins „neatraidāmais mantinieks” – norāda uz formālo izpratni, jo pats vārds „mantinieks” nozīmē personas tiesību iestāties mirušā mantisko attiecību kopībā. Jānorāda, ka neatraidāmais mantinieks pēc likuma jēgas drīkst pretendēt nevis uz noteiktu mantojuma daļu kā tādu, bet tikai uz sev pienākošās daļas vērtību (Civillikuma 425. panta pirmā daļa). Neatraidāmais mantinieks tādā veidā nekļūst par līdzmantinieku.</w:t>
            </w:r>
          </w:p>
          <w:p w:rsidR="006E6DE1" w:rsidRPr="00462931" w:rsidRDefault="006E6DE1" w:rsidP="00BA70AA">
            <w:pPr>
              <w:ind w:firstLine="425"/>
              <w:jc w:val="both"/>
            </w:pPr>
            <w:r w:rsidRPr="004268E7">
              <w:t>5) Civillikuma 406. pants nosaka, ka situācijā, kad vienā šķirā atkrīt mantot aicinātie, mantojuma tiesība pāriet uz nākamo šķiru.  Atkrišana ir mantojuma atraidīšana pēc aicinājuma mantot un mantojuma atraušana necienīgām personām</w:t>
            </w:r>
            <w:r>
              <w:t xml:space="preserve">. </w:t>
            </w:r>
            <w:r w:rsidRPr="00462931">
              <w:t>Līdz ar Civillikuma 406., 782., un 834.pantu savstarpējo mijiedarbību nepieciešams veikt attiecīgus grozījumus, jo ar šādu regulējumu beidzot tiktu izslēgta iespēja pieņemt atšķirīgus risinājumus tiesiskās situācijās, kur ir jābūt tikai vienam risinājumam.</w:t>
            </w:r>
          </w:p>
          <w:p w:rsidR="006E6DE1" w:rsidRPr="00462931" w:rsidRDefault="006E6DE1" w:rsidP="00BA70AA">
            <w:pPr>
              <w:ind w:firstLine="567"/>
              <w:jc w:val="both"/>
            </w:pPr>
            <w:r w:rsidRPr="004268E7">
              <w:t>6) Ievērojot to, ka Latvijas konsuli ārzemēs faktiski neveic Civil</w:t>
            </w:r>
            <w:r>
              <w:t>likuma Mantojuma tiesību daļas Trešās nodaļas Piektajā</w:t>
            </w:r>
            <w:r w:rsidRPr="004268E7">
              <w:t xml:space="preserve"> apakšnodaļā noteikto funkciju publiskā testamenta taisīšanas jomā, turklāt publiskā testamenta taisīšana pie konsula </w:t>
            </w:r>
            <w:r w:rsidRPr="004268E7">
              <w:lastRenderedPageBreak/>
              <w:t xml:space="preserve">nav paredzēta arī Ministru kabineta 2008. gada 21. aprīļa noteikumos Nr. 283 „Noteikumi par notariālo funkciju veikšanu Latvijas Republikas diplomātiskajās un konsulārajās pārstāvniecībās”, </w:t>
            </w:r>
            <w:r>
              <w:t xml:space="preserve">likumprojekts paredz </w:t>
            </w:r>
            <w:r w:rsidRPr="004268E7">
              <w:t>Civillikumā atteikties no šo funkciju Latvijas konsuliem ārzemēs pildīšanas deleģējuma.</w:t>
            </w:r>
            <w:r>
              <w:t xml:space="preserve"> </w:t>
            </w:r>
            <w:r w:rsidRPr="00462931">
              <w:t>Vienlaikus tiks izslēgts Civillikuma Mantojuma tiesību daļas Trešajā nodaļā ietvertais deleģējums Latvijas konsuliem ārzemēs pieņemt glabāšanā privātos testamentus.</w:t>
            </w:r>
          </w:p>
          <w:p w:rsidR="006E6DE1" w:rsidRPr="004268E7" w:rsidRDefault="006E6DE1" w:rsidP="00BA70AA">
            <w:pPr>
              <w:ind w:firstLine="567"/>
              <w:jc w:val="both"/>
            </w:pPr>
            <w:r w:rsidRPr="004268E7">
              <w:t>7) Civillikumā ietvertā prasība pēc obligātas liecinieku klātbūtnes pie publiska testamenta taisīšanas vispārējos gadījumos ir lieka un publiska testamenta sastādīšanu apgrūtinoša prasība.</w:t>
            </w:r>
          </w:p>
          <w:p w:rsidR="006E6DE1" w:rsidRDefault="006E6DE1" w:rsidP="00BA70AA">
            <w:pPr>
              <w:ind w:firstLine="493"/>
              <w:jc w:val="both"/>
            </w:pPr>
            <w:r w:rsidRPr="004268E7">
              <w:t xml:space="preserve">8) </w:t>
            </w:r>
            <w:r w:rsidRPr="004268E7">
              <w:rPr>
                <w:rFonts w:eastAsia="Calibri"/>
              </w:rPr>
              <w:t xml:space="preserve"> Problēma pastāv, ka</w:t>
            </w:r>
            <w:r>
              <w:t xml:space="preserve"> vecāks</w:t>
            </w:r>
            <w:r w:rsidRPr="004268E7">
              <w:t>, k</w:t>
            </w:r>
            <w:r>
              <w:t>uram</w:t>
            </w:r>
            <w:r w:rsidRPr="004268E7">
              <w:t xml:space="preserve"> atņemtas aizgādības tiesības ar spēkā stājušos tiesas spriedumu un ir pienākums uzturēt bērnu,  var pieteikties uz bērna atstāto mantojumu.</w:t>
            </w:r>
          </w:p>
          <w:p w:rsidR="006E6DE1" w:rsidRPr="00462931" w:rsidRDefault="006E6DE1" w:rsidP="00BA70AA">
            <w:pPr>
              <w:ind w:firstLine="493"/>
              <w:jc w:val="both"/>
            </w:pPr>
            <w:r w:rsidRPr="00462931">
              <w:t>9)  Cilvēki pārprot priviliģēto testamentu institūta pielietošanas iespējas un pamatojumu. Šāda veida testamenti taisāmi tikai ārkārtēju apstākļu dēļ. Īpaši jāuzver tas, ka mutiskais testaments izteicams divu liecinieku klātbūtnē un  jāņem vērā arī to apstākli, ka šāda veida testamenti nav droši, jo nav iespējams pārliecināties par to, ka testaments patiešām izsaka testatora patieso novēlējumu un ka tas nav viltojums, ko zvērinātām notāram nav iespējams pārbaudīt</w:t>
            </w:r>
            <w:r w:rsidR="00462931">
              <w:t>.</w:t>
            </w:r>
          </w:p>
          <w:p w:rsidR="006E6DE1" w:rsidRPr="009B7B03" w:rsidRDefault="006E6DE1" w:rsidP="00BA70AA">
            <w:pPr>
              <w:ind w:firstLine="493"/>
              <w:jc w:val="both"/>
              <w:rPr>
                <w:u w:val="single"/>
              </w:rPr>
            </w:pPr>
          </w:p>
        </w:tc>
      </w:tr>
      <w:tr w:rsidR="006E6DE1" w:rsidRPr="004268E7" w:rsidTr="00BA70AA">
        <w:trPr>
          <w:trHeight w:val="1071"/>
        </w:trPr>
        <w:tc>
          <w:tcPr>
            <w:tcW w:w="459" w:type="dxa"/>
          </w:tcPr>
          <w:p w:rsidR="006E6DE1" w:rsidRPr="004268E7" w:rsidRDefault="006E6DE1" w:rsidP="00BA70AA">
            <w:pPr>
              <w:pStyle w:val="naiskr"/>
              <w:spacing w:before="0" w:after="0"/>
              <w:rPr>
                <w:b/>
              </w:rPr>
            </w:pPr>
            <w:r w:rsidRPr="004268E7">
              <w:rPr>
                <w:b/>
                <w:sz w:val="22"/>
                <w:szCs w:val="22"/>
              </w:rPr>
              <w:lastRenderedPageBreak/>
              <w:t>3.</w:t>
            </w:r>
          </w:p>
        </w:tc>
        <w:tc>
          <w:tcPr>
            <w:tcW w:w="2665" w:type="dxa"/>
          </w:tcPr>
          <w:p w:rsidR="006E6DE1" w:rsidRPr="001307CC" w:rsidRDefault="006E6DE1" w:rsidP="00BA70AA">
            <w:pPr>
              <w:pStyle w:val="naiskr"/>
              <w:spacing w:before="0" w:after="0"/>
              <w:ind w:right="182"/>
              <w:jc w:val="both"/>
              <w:rPr>
                <w:b/>
              </w:rPr>
            </w:pPr>
            <w:r w:rsidRPr="001307CC">
              <w:rPr>
                <w:b/>
                <w:sz w:val="22"/>
                <w:szCs w:val="22"/>
              </w:rPr>
              <w:t>Saistītie politikas ietekmes novērtējumi un pētījumi</w:t>
            </w:r>
          </w:p>
        </w:tc>
        <w:tc>
          <w:tcPr>
            <w:tcW w:w="6601" w:type="dxa"/>
          </w:tcPr>
          <w:p w:rsidR="006E6DE1" w:rsidRPr="001307CC" w:rsidRDefault="006E6DE1" w:rsidP="00BA70AA">
            <w:pPr>
              <w:ind w:firstLine="493"/>
              <w:jc w:val="both"/>
            </w:pPr>
            <w:proofErr w:type="spellStart"/>
            <w:r>
              <w:t>I.Šermukšņa</w:t>
            </w:r>
            <w:proofErr w:type="spellEnd"/>
            <w:r>
              <w:t xml:space="preserve">, </w:t>
            </w:r>
            <w:proofErr w:type="spellStart"/>
            <w:r>
              <w:t>P.Bulava</w:t>
            </w:r>
            <w:proofErr w:type="spellEnd"/>
            <w:r>
              <w:t xml:space="preserve">, </w:t>
            </w:r>
            <w:proofErr w:type="spellStart"/>
            <w:r>
              <w:t>J.Solovjakova</w:t>
            </w:r>
            <w:proofErr w:type="spellEnd"/>
            <w:r>
              <w:t xml:space="preserve">, E. </w:t>
            </w:r>
            <w:proofErr w:type="spellStart"/>
            <w:r>
              <w:t>Virko</w:t>
            </w:r>
            <w:proofErr w:type="spellEnd"/>
            <w:r>
              <w:t xml:space="preserve"> veiktais pētījums „Identificētie problēmu jautājumi Latvijas Republikas mantojuma tiesību regulējumā”. Ar pētījumu un tajā izdarītajiem secinājumiem iespējams iepazīties Tieslietu ministrijas mājas lapā: </w:t>
            </w:r>
          </w:p>
          <w:p w:rsidR="006E6DE1" w:rsidRPr="00E7362C" w:rsidRDefault="00DF4912" w:rsidP="00BA70AA">
            <w:pPr>
              <w:jc w:val="both"/>
            </w:pPr>
            <w:hyperlink r:id="rId6" w:history="1">
              <w:r w:rsidR="006E6DE1" w:rsidRPr="00177B43">
                <w:rPr>
                  <w:rStyle w:val="Hipersaite"/>
                </w:rPr>
                <w:t>http://www.tm.gov.lv/lv/ministrija/imateriali/petijumi.html</w:t>
              </w:r>
            </w:hyperlink>
          </w:p>
        </w:tc>
      </w:tr>
      <w:tr w:rsidR="006E6DE1" w:rsidRPr="004268E7" w:rsidTr="00BA70AA">
        <w:trPr>
          <w:trHeight w:val="384"/>
        </w:trPr>
        <w:tc>
          <w:tcPr>
            <w:tcW w:w="459" w:type="dxa"/>
          </w:tcPr>
          <w:p w:rsidR="006E6DE1" w:rsidRPr="004268E7" w:rsidRDefault="006E6DE1" w:rsidP="00BA70AA">
            <w:pPr>
              <w:pStyle w:val="naiskr"/>
              <w:spacing w:before="0" w:after="0"/>
              <w:rPr>
                <w:b/>
              </w:rPr>
            </w:pPr>
            <w:r w:rsidRPr="004268E7">
              <w:rPr>
                <w:b/>
                <w:sz w:val="22"/>
                <w:szCs w:val="22"/>
              </w:rPr>
              <w:t>4.</w:t>
            </w:r>
          </w:p>
        </w:tc>
        <w:tc>
          <w:tcPr>
            <w:tcW w:w="2665" w:type="dxa"/>
          </w:tcPr>
          <w:p w:rsidR="006E6DE1" w:rsidRPr="004268E7" w:rsidRDefault="006E6DE1" w:rsidP="00BA70AA">
            <w:pPr>
              <w:pStyle w:val="naiskr"/>
              <w:spacing w:before="0" w:after="0"/>
              <w:rPr>
                <w:b/>
              </w:rPr>
            </w:pPr>
            <w:r w:rsidRPr="004268E7">
              <w:rPr>
                <w:b/>
                <w:sz w:val="22"/>
                <w:szCs w:val="22"/>
              </w:rPr>
              <w:t>Tiesiskā regulējuma mērķis un būtība</w:t>
            </w:r>
          </w:p>
        </w:tc>
        <w:tc>
          <w:tcPr>
            <w:tcW w:w="6601" w:type="dxa"/>
          </w:tcPr>
          <w:p w:rsidR="006E6DE1" w:rsidRDefault="006E6DE1" w:rsidP="00BA70AA">
            <w:pPr>
              <w:ind w:firstLine="493"/>
              <w:jc w:val="both"/>
              <w:rPr>
                <w:rFonts w:eastAsia="Calibri"/>
              </w:rPr>
            </w:pPr>
            <w:r w:rsidRPr="004268E7">
              <w:t xml:space="preserve">Likumprojekta mērķis Mantojuma tiesību regulējumā ir Mantojuma tiesību daļas modernizācija, atsakoties no novecojušiem tiesību institūtiem, kuri </w:t>
            </w:r>
            <w:r w:rsidRPr="004268E7">
              <w:rPr>
                <w:rFonts w:eastAsia="Calibri"/>
              </w:rPr>
              <w:t>vairs nespēj pilnībā apmierināt mūsdienu sabiedrības vajadzības, novēršot atsevišķu normu neatbilstību.</w:t>
            </w:r>
            <w:r w:rsidRPr="004268E7">
              <w:t xml:space="preserve"> </w:t>
            </w:r>
            <w:r w:rsidRPr="004268E7">
              <w:rPr>
                <w:rFonts w:eastAsia="Calibri"/>
              </w:rPr>
              <w:t>Šā mērķa sasniegšanai likumprojekts paredz izdarīt šādus grozījumus Civillikuma Mantojuma tiesību daļā:</w:t>
            </w:r>
          </w:p>
          <w:p w:rsidR="006E6DE1" w:rsidRPr="00607491" w:rsidRDefault="006E6DE1" w:rsidP="00BA70AA">
            <w:pPr>
              <w:ind w:firstLine="493"/>
              <w:jc w:val="both"/>
            </w:pPr>
            <w:r w:rsidRPr="00607491">
              <w:t xml:space="preserve">1) atteikties no lieciniekiem pie publiska testamenta taisīšanas. Attiecībā uz tiem, kas nespēj vai neprot parakstīties, regulējums ir paredzēts Notariāta likuma 72.pantā, kurā paredzēts, ka personas, kas neprot vai nespēj parakstīties, uzdod to savā vietā izdarīt citai personai, ko ar savu parakstu apliecina šī persona un zvērināts notārs. Šajā gadījumā ir vajadzīgi Civillikuma 1494. pantā norādītie liecinieki. Turklāt arī Bāriņtiesu likuma 74.pants noteic, ka, ja persona neprot vai nevar rakstīt, divu liecinieku klātbūtnē parakstās cita persona, kurai šī persona to uztic, un par to izdara atzīmi apliecinājuma uzrakstā.  Savukārt attiecībā uz tām personām, kuru identitāti nevar noskaidrot, spēkā ir  Notariāta likuma 76.pants, kas noteic, ka, ja zvērināts notārs nepazīst personu, kurai jātaisa akts vai apliecinājums vai kura jāidentificē citā sakarā, viņš noskaidro šīs personas identitāti pēc pases vai personas apliecības. Ja minētā persona nevar šādu dokumentu uzrādīt, zvērināts notārs noskaidro tās identitāti pēc citiem ticamiem dokumentiem, ja nepieciešams, papildinot trūkstošās ziņas pēc divu liecinieku liecībām. Aktā vai apliecinājumā jānorāda, kādā veidā ir noskaidrota personas </w:t>
            </w:r>
            <w:r w:rsidRPr="00607491">
              <w:lastRenderedPageBreak/>
              <w:t>identitāte. Liecinieki, kuri apliecina zvērinātam notāram nepazīstamas personas identitāti, dod parakstu par kriminālatbildību par apzināti nepatiesu liecību. Tāpat piemērojami Notariāta likuma 95. – 99. panti attiecībā uz kurliem, mēmiem vai akliem;</w:t>
            </w:r>
          </w:p>
          <w:p w:rsidR="006E6DE1" w:rsidRPr="00607491" w:rsidRDefault="006E6DE1" w:rsidP="00BA70AA">
            <w:pPr>
              <w:ind w:firstLine="426"/>
              <w:jc w:val="both"/>
              <w:rPr>
                <w:bCs/>
              </w:rPr>
            </w:pPr>
            <w:r w:rsidRPr="00607491">
              <w:t xml:space="preserve">2)  paplašināt mantinieku uzskaitījumu Civillikuma 396. panta otrajā daļā, to tieši attiecinot arī uz pusbrāļiem/pusmāsām vai to bērniem; </w:t>
            </w:r>
          </w:p>
          <w:p w:rsidR="006E6DE1" w:rsidRPr="00462931" w:rsidRDefault="006E6DE1" w:rsidP="00BA70AA">
            <w:pPr>
              <w:ind w:firstLine="493"/>
              <w:jc w:val="both"/>
              <w:rPr>
                <w:bCs/>
              </w:rPr>
            </w:pPr>
            <w:r w:rsidRPr="00607491">
              <w:rPr>
                <w:bCs/>
              </w:rPr>
              <w:t>3)</w:t>
            </w:r>
            <w:r w:rsidRPr="00607491">
              <w:t xml:space="preserve"> </w:t>
            </w:r>
            <w:r w:rsidRPr="00462931">
              <w:t>paplašināt mantojuma atraušanas gadījumus Civillikuma 405.pantā.</w:t>
            </w:r>
            <w:r w:rsidRPr="00607491">
              <w:t xml:space="preserve"> Civillikuma 405. pants noteic, ka zemākas šķiras mantinieks nemanto, kamēr ir dzīvs kāds augstākas šķiras mantinieks. Pantā lietotais vārds „dzīvs” rada būtisku pretrunu ar turpmākiem Civillikuma pantiem. Ar atkrišanu ir saprotama ne tikai mantot aicinātā nāve. Mantot aicinātais var izmantot savas tiesības un atteikties no mantošanas (mantojumu atraidīt), un tādā gadījumā, ja attiecīgajā šķirā nav citu līdzmantinieku, mantojums pāriet uz nākošās šķiras mantiniekiem. Turklāt Civillikuma 405. panta teksts liedz mantot zemākas šķiras mantiniekam jau tāpēc vien, ka kāds augstākas šķiras mantinieks ir „dzīvs”, pat ja pēdējais nepiesakās. </w:t>
            </w:r>
            <w:r w:rsidRPr="00607491">
              <w:rPr>
                <w:u w:val="single"/>
              </w:rPr>
              <w:t xml:space="preserve"> </w:t>
            </w:r>
            <w:r w:rsidRPr="00462931">
              <w:t xml:space="preserve">Pašlaik Civillikuma 406. pants noteic, ka situācijā, kad vienā šķirā atkrīt mantot aicinātie, mantojuma tiesība pāriet uz nākamo šķiru.  Atkrišana ir mantojuma atraidīšana pēc aicinājuma mantot un mantojuma atraušana necienīgām personām, tādēļ nepieciešams veikt attiecīgu grozījumu; </w:t>
            </w:r>
          </w:p>
          <w:p w:rsidR="006E6DE1" w:rsidRPr="00607491" w:rsidRDefault="006E6DE1" w:rsidP="00BA70AA">
            <w:pPr>
              <w:ind w:firstLine="426"/>
              <w:jc w:val="both"/>
            </w:pPr>
            <w:r w:rsidRPr="00462931">
              <w:t xml:space="preserve">4) mainīt Civillikuma regulējumu attiecībā uz kārtību, kādā notiek  atteikšanās no mantojuma. Šobrīd Civillikuma 688.pants noteic, ka </w:t>
            </w:r>
            <w:r w:rsidRPr="00607491">
              <w:t xml:space="preserve">ar mantojuma atklāšanos mantiniekam tiek izteikts </w:t>
            </w:r>
            <w:smartTag w:uri="schemas-tilde-lv/tildestengine" w:element="veidnes">
              <w:smartTagPr>
                <w:attr w:name="text" w:val="aicinājums"/>
                <w:attr w:name="id" w:val="-1"/>
                <w:attr w:name="baseform" w:val="aicinājum|s"/>
              </w:smartTagPr>
              <w:r w:rsidRPr="00607491">
                <w:t>aicinājums</w:t>
              </w:r>
            </w:smartTag>
            <w:r w:rsidRPr="00607491">
              <w:t xml:space="preserve"> pieņemt mantojumu, no kura mantinieks var atteikties. Ņemot vērā to, ka mantojuma atklāšanās brīdī nav iespējams vēl noteikt precīzu mantojuma dalīšanas kārtību, jo mantinieku loks, starp kuriem notiek mantojuma dalīšana, nav zināms mantojuma atklāšanās brīdī, bet gan tikai pēc mantot aicināto gribas izteikuma par mantojuma pieņemšanu,  nepieciešami attiecīgi precizējumi;</w:t>
            </w:r>
          </w:p>
          <w:p w:rsidR="006E6DE1" w:rsidRPr="00462931" w:rsidRDefault="006E6DE1" w:rsidP="00BA70AA">
            <w:pPr>
              <w:ind w:firstLine="493"/>
              <w:jc w:val="both"/>
              <w:rPr>
                <w:bCs/>
              </w:rPr>
            </w:pPr>
            <w:r w:rsidRPr="00607491">
              <w:t xml:space="preserve">5) precīzāk izteikt Civillikumā ietverto institūtu būtību, paredzot atteikties no termina „neatraidāmais mantinieks” lietošanas, t.i., vārdus „neatraidāmais mantinieks” aizvietojot ar vārdiem „neatņemamās daļas tiesīgais”, </w:t>
            </w:r>
            <w:r w:rsidRPr="00462931">
              <w:t xml:space="preserve">kā arī precizēt </w:t>
            </w:r>
            <w:r w:rsidRPr="00462931">
              <w:rPr>
                <w:bCs/>
              </w:rPr>
              <w:t>terminoloģijas (vārda „palikušo”) lietošanu;</w:t>
            </w:r>
          </w:p>
          <w:p w:rsidR="006E6DE1" w:rsidRPr="00607491" w:rsidRDefault="006E6DE1" w:rsidP="00BA70AA">
            <w:pPr>
              <w:ind w:firstLine="493"/>
              <w:jc w:val="both"/>
            </w:pPr>
            <w:r w:rsidRPr="00607491">
              <w:t xml:space="preserve">6) izslēgt Civillikuma 642. pantā ietverto nosacījumu par neatraidāmo mantinieku tiesībām apstrīdēt mantojuma </w:t>
            </w:r>
            <w:smartTag w:uri="schemas-tilde-lv/tildestengine" w:element="veidnes">
              <w:smartTagPr>
                <w:attr w:name="text" w:val="līgumu"/>
                <w:attr w:name="id" w:val="-1"/>
                <w:attr w:name="baseform" w:val="līgum|s"/>
              </w:smartTagPr>
              <w:r w:rsidRPr="00607491">
                <w:t>līgumu</w:t>
              </w:r>
            </w:smartTag>
            <w:r w:rsidRPr="00607491">
              <w:t xml:space="preserve"> mantojuma atstājējam vēl dzīvam esot. Tiesību uz neatņemamo daļu „neatraidāmais mantinieks” var izlietot tikai pēc mantojuma atstājēja nāves;</w:t>
            </w:r>
          </w:p>
          <w:p w:rsidR="006E6DE1" w:rsidRPr="00607491" w:rsidRDefault="006E6DE1" w:rsidP="00BA70AA">
            <w:pPr>
              <w:ind w:firstLine="493"/>
              <w:jc w:val="both"/>
              <w:rPr>
                <w:bCs/>
              </w:rPr>
            </w:pPr>
            <w:r w:rsidRPr="00607491">
              <w:t>7) atrisināt jautājumu par publiska testamenta taisīšanas iespēju pie konsula, atsakoties no šīs funkcijas deleģējuma Civillikumā;</w:t>
            </w:r>
          </w:p>
          <w:p w:rsidR="006E6DE1" w:rsidRPr="00462931" w:rsidRDefault="006E6DE1" w:rsidP="00BA70AA">
            <w:pPr>
              <w:ind w:firstLine="493"/>
              <w:jc w:val="both"/>
            </w:pPr>
            <w:r w:rsidRPr="00462931">
              <w:t>8) precizēt privāta testamenta institūtu, paredzot, ka privāts</w:t>
            </w:r>
            <w:r w:rsidRPr="00607491">
              <w:rPr>
                <w:u w:val="single"/>
              </w:rPr>
              <w:t xml:space="preserve"> </w:t>
            </w:r>
            <w:r w:rsidRPr="00462931">
              <w:t>testaments taisāms rakstiski, mantojuma atstājējam pašrocīgi visu testamentu uzrakstot un parakstot. Vienlaikus ir paredzēts, ka konsuli nepieņem glabāšanā privātos testamentus;</w:t>
            </w:r>
          </w:p>
          <w:p w:rsidR="006E6DE1" w:rsidRPr="00462931" w:rsidRDefault="006E6DE1" w:rsidP="00BA70AA">
            <w:pPr>
              <w:ind w:firstLine="493"/>
              <w:jc w:val="both"/>
            </w:pPr>
            <w:r w:rsidRPr="00462931">
              <w:t>9) atteikties no priviliģētajiem testamentiem;</w:t>
            </w:r>
          </w:p>
          <w:p w:rsidR="006E6DE1" w:rsidRPr="00607491" w:rsidRDefault="006E6DE1" w:rsidP="00BA70AA">
            <w:pPr>
              <w:ind w:firstLine="493"/>
              <w:jc w:val="both"/>
            </w:pPr>
            <w:r w:rsidRPr="00607491">
              <w:t xml:space="preserve">10) nodot mantojuma aizgādnības nodibināšanas funkciju </w:t>
            </w:r>
            <w:r w:rsidRPr="00607491">
              <w:lastRenderedPageBreak/>
              <w:t>zvērinātiem notāriem, jo patreizējais mantojuma aizgādnības nodibināšanas regulējums ar tiesas līdzdalību ir laikietilpīgs un sarežģīts, kas nenodrošina mantojuma aizgādnības nodibināšanas primāro funkciju – operatīvu rīcību;</w:t>
            </w:r>
          </w:p>
          <w:p w:rsidR="006E6DE1" w:rsidRPr="00607491" w:rsidRDefault="006E6DE1" w:rsidP="00BA70AA">
            <w:pPr>
              <w:ind w:firstLine="493"/>
              <w:jc w:val="both"/>
            </w:pPr>
            <w:r w:rsidRPr="00607491">
              <w:t>11) noteikt, ka bērns varēs mantot no vecāka, kuram atņemtas aizgādnības tiesības, jo aizgādnības tiesību atņemšanas neatņem pienākumu uzturēt bērnu. Vienlaikus tiek precizēts tiesiskais regulējums attiecībā uz nepilngadīga bērna atstāto mantojumu gadījumā, kad vecākam atņemtas aizgādnības tiesības. Civillikuma Ģimenes tiesību daļas izpratnē bērns ir nepilngadīgs tik ilgi, kamēr viņš sasniedz astoņpadsmit gadu vecumu. Sasniedzot astoņpadsmit gadu vecumu, persona var rīkoties un novēlēt savu mantu, izsakot savu gribu. Tāpēc ir noteikts jauns mantojuma atraušanas pamats</w:t>
            </w:r>
            <w:r>
              <w:t xml:space="preserve">, gadījumā, ja ir atņemtas aizgādnības tiesības ar spēkā stājušos tiesas spriedumu </w:t>
            </w:r>
            <w:r w:rsidRPr="00607491">
              <w:t xml:space="preserve">(jo aizgādības tiesību atņemšana var būt par pamatu, lai personu atzītu par necienīgu mantinieku). Tāpat, lai nodrošinātu lielāku iespēju, ka prasība par mantojuma atraušanu tiek celta, </w:t>
            </w:r>
            <w:r>
              <w:t>tiek papildināts Civillikuma 826.pants ar iespēju prokuroram celt prasību 824.panta 8.punkta gadījumā</w:t>
            </w:r>
            <w:r w:rsidRPr="00607491">
              <w:t>. Ar šo grozījumu mantojuma atraušana vecākam, kuram atņemtas aizgādības tiesības, vairs nepaliktu tikai cita mantinieka tiesība (jo tā ir tiesība, nevis pienākums), bet šādas tiesības būtu arī prokuroram;</w:t>
            </w:r>
          </w:p>
          <w:p w:rsidR="006E6DE1" w:rsidRPr="00607491" w:rsidRDefault="006E6DE1" w:rsidP="00BA70AA">
            <w:pPr>
              <w:ind w:firstLine="493"/>
              <w:jc w:val="both"/>
            </w:pPr>
            <w:r w:rsidRPr="00607491">
              <w:t>12) noteikt pārejas noteikumu, nosakot, ka tiem testamentiem, kas taisīti līdz brīdim, kad tiek grozīts Civillikums, ir jāpaliek spēkā neatkarīgi no mantojuma atklāšanās laika. Gadījumā, ja pastāv šaubas par to, ka testaments ir viltots (taisīts pēc Civillikuma grozījumu spēkā stāšanās), tad pastāv iespēja to pierādīt civilprocesuālā kārtā;</w:t>
            </w:r>
          </w:p>
          <w:p w:rsidR="006E6DE1" w:rsidRPr="00607491" w:rsidRDefault="006E6DE1" w:rsidP="00BA70AA">
            <w:pPr>
              <w:ind w:firstLine="493"/>
              <w:jc w:val="both"/>
            </w:pPr>
            <w:r w:rsidRPr="00607491">
              <w:t xml:space="preserve">13) risināt jautājumu par laulātā daļas izdali kopmantas gadījumā, ja mantojuma masas sastāvā ietilps laulāto kopmanta, kas nav reģistrēta kā laulāto kopmanta, paredzot, ka laulātais savu laulātā kopmantas daļu varēs </w:t>
            </w:r>
            <w:r>
              <w:t>prasīt izdalīt prasības kārtībā.</w:t>
            </w:r>
          </w:p>
          <w:p w:rsidR="006E6DE1" w:rsidRPr="004268E7" w:rsidRDefault="006E6DE1" w:rsidP="00BA70AA">
            <w:pPr>
              <w:ind w:firstLine="493"/>
              <w:jc w:val="both"/>
              <w:rPr>
                <w:bCs/>
              </w:rPr>
            </w:pPr>
          </w:p>
        </w:tc>
      </w:tr>
      <w:tr w:rsidR="006E6DE1" w:rsidRPr="004268E7" w:rsidTr="00BA70AA">
        <w:trPr>
          <w:trHeight w:val="476"/>
        </w:trPr>
        <w:tc>
          <w:tcPr>
            <w:tcW w:w="459" w:type="dxa"/>
          </w:tcPr>
          <w:p w:rsidR="006E6DE1" w:rsidRPr="004268E7" w:rsidRDefault="006E6DE1" w:rsidP="00BA70AA">
            <w:pPr>
              <w:pStyle w:val="naiskr"/>
              <w:spacing w:before="0" w:after="0"/>
              <w:rPr>
                <w:b/>
              </w:rPr>
            </w:pPr>
            <w:r w:rsidRPr="004268E7">
              <w:rPr>
                <w:b/>
                <w:sz w:val="22"/>
                <w:szCs w:val="22"/>
              </w:rPr>
              <w:lastRenderedPageBreak/>
              <w:t>5.</w:t>
            </w:r>
          </w:p>
        </w:tc>
        <w:tc>
          <w:tcPr>
            <w:tcW w:w="2665" w:type="dxa"/>
          </w:tcPr>
          <w:p w:rsidR="006E6DE1" w:rsidRPr="004268E7" w:rsidRDefault="006E6DE1" w:rsidP="00BA70AA">
            <w:pPr>
              <w:pStyle w:val="naiskr"/>
              <w:spacing w:before="0" w:after="0"/>
              <w:jc w:val="both"/>
              <w:rPr>
                <w:b/>
              </w:rPr>
            </w:pPr>
            <w:r w:rsidRPr="004268E7">
              <w:rPr>
                <w:b/>
                <w:sz w:val="22"/>
                <w:szCs w:val="22"/>
              </w:rPr>
              <w:t>Projekta izstrādē iesaistītās institūcijas</w:t>
            </w:r>
          </w:p>
        </w:tc>
        <w:tc>
          <w:tcPr>
            <w:tcW w:w="6601" w:type="dxa"/>
          </w:tcPr>
          <w:p w:rsidR="006E6DE1" w:rsidRPr="004268E7" w:rsidRDefault="006E6DE1" w:rsidP="00BA70AA">
            <w:pPr>
              <w:pStyle w:val="naisf"/>
              <w:spacing w:before="0" w:after="0"/>
              <w:ind w:firstLine="493"/>
            </w:pPr>
            <w:r w:rsidRPr="004268E7">
              <w:t xml:space="preserve">Likumprojektu Mantojuma tiesību regulējumā izstrādāja ar  tieslietu ministra 2009. gada 23. decembra rīkojumu Nr. 1-1/435 izveidotā darba grupa normatīvo aktu projektu, kas saistīti ar Koncepcijas par Civillikuma Mantojuma tiesību daļas modernizācijas īstenošanu, izstrādei. Darba grupas sastāvā tika iekļauti pārstāvji no Tieslietu ministrijas, Finanšu ministrijas, Labklājības ministrijas, </w:t>
            </w:r>
            <w:r w:rsidR="00447FAF">
              <w:t xml:space="preserve">Rīgas bāriņtiesa, </w:t>
            </w:r>
            <w:r w:rsidRPr="004268E7">
              <w:t xml:space="preserve">Latvijas Universitātes, Latvijas zvērinātu notāru padomes, Latvijas zvērinātu tiesu izpildītāju padomes, kā arī tiesneši, zvērināti notāri un zvērināti advokāti.  </w:t>
            </w:r>
          </w:p>
        </w:tc>
      </w:tr>
      <w:tr w:rsidR="006E6DE1" w:rsidRPr="004268E7" w:rsidTr="00BA70AA">
        <w:trPr>
          <w:trHeight w:val="630"/>
        </w:trPr>
        <w:tc>
          <w:tcPr>
            <w:tcW w:w="459" w:type="dxa"/>
          </w:tcPr>
          <w:p w:rsidR="006E6DE1" w:rsidRPr="004268E7" w:rsidRDefault="006E6DE1" w:rsidP="00BA70AA">
            <w:pPr>
              <w:pStyle w:val="naiskr"/>
              <w:spacing w:before="0" w:after="0"/>
              <w:jc w:val="both"/>
              <w:rPr>
                <w:b/>
              </w:rPr>
            </w:pPr>
            <w:r w:rsidRPr="004268E7">
              <w:rPr>
                <w:b/>
                <w:sz w:val="22"/>
                <w:szCs w:val="22"/>
              </w:rPr>
              <w:t>6.</w:t>
            </w:r>
          </w:p>
        </w:tc>
        <w:tc>
          <w:tcPr>
            <w:tcW w:w="2665" w:type="dxa"/>
          </w:tcPr>
          <w:p w:rsidR="006E6DE1" w:rsidRPr="004268E7" w:rsidRDefault="006E6DE1" w:rsidP="00BA70AA">
            <w:pPr>
              <w:pStyle w:val="naiskr"/>
              <w:spacing w:before="0" w:after="0"/>
              <w:jc w:val="both"/>
              <w:rPr>
                <w:b/>
                <w:i/>
                <w:highlight w:val="yellow"/>
              </w:rPr>
            </w:pPr>
            <w:r w:rsidRPr="004268E7">
              <w:rPr>
                <w:b/>
                <w:sz w:val="22"/>
                <w:szCs w:val="22"/>
              </w:rPr>
              <w:t>Iemesli, kādēļ netika nodrošināta sabiedrības līdzdalība</w:t>
            </w:r>
          </w:p>
        </w:tc>
        <w:tc>
          <w:tcPr>
            <w:tcW w:w="6601" w:type="dxa"/>
          </w:tcPr>
          <w:p w:rsidR="006E6DE1" w:rsidRPr="004268E7" w:rsidRDefault="006E6DE1" w:rsidP="00BA70AA">
            <w:pPr>
              <w:ind w:firstLine="493"/>
            </w:pPr>
            <w:r w:rsidRPr="004268E7">
              <w:t>Projekts šo jomu neskar.</w:t>
            </w:r>
          </w:p>
        </w:tc>
      </w:tr>
      <w:tr w:rsidR="006E6DE1" w:rsidRPr="004268E7" w:rsidTr="00BA70AA">
        <w:tc>
          <w:tcPr>
            <w:tcW w:w="459" w:type="dxa"/>
          </w:tcPr>
          <w:p w:rsidR="006E6DE1" w:rsidRPr="004268E7" w:rsidRDefault="006E6DE1" w:rsidP="00BA70AA">
            <w:pPr>
              <w:pStyle w:val="naiskr"/>
              <w:spacing w:before="0" w:after="0"/>
              <w:rPr>
                <w:b/>
              </w:rPr>
            </w:pPr>
            <w:r w:rsidRPr="004268E7">
              <w:rPr>
                <w:b/>
                <w:sz w:val="22"/>
                <w:szCs w:val="22"/>
              </w:rPr>
              <w:t>7.</w:t>
            </w:r>
          </w:p>
        </w:tc>
        <w:tc>
          <w:tcPr>
            <w:tcW w:w="2665" w:type="dxa"/>
          </w:tcPr>
          <w:p w:rsidR="006E6DE1" w:rsidRPr="004268E7" w:rsidRDefault="006E6DE1" w:rsidP="00BA70AA">
            <w:pPr>
              <w:pStyle w:val="naiskr"/>
              <w:spacing w:before="0" w:after="0"/>
              <w:rPr>
                <w:b/>
              </w:rPr>
            </w:pPr>
            <w:r w:rsidRPr="004268E7">
              <w:rPr>
                <w:b/>
                <w:sz w:val="22"/>
                <w:szCs w:val="22"/>
              </w:rPr>
              <w:t>Cita informācija</w:t>
            </w:r>
          </w:p>
        </w:tc>
        <w:tc>
          <w:tcPr>
            <w:tcW w:w="6601" w:type="dxa"/>
          </w:tcPr>
          <w:p w:rsidR="006E6DE1" w:rsidRPr="004268E7" w:rsidRDefault="006E6DE1" w:rsidP="00BA70AA">
            <w:pPr>
              <w:pStyle w:val="naiskr"/>
              <w:spacing w:before="0" w:after="0"/>
              <w:ind w:firstLine="493"/>
            </w:pPr>
            <w:r w:rsidRPr="004268E7">
              <w:rPr>
                <w:sz w:val="22"/>
                <w:szCs w:val="22"/>
              </w:rPr>
              <w:t>Nav.</w:t>
            </w:r>
          </w:p>
        </w:tc>
      </w:tr>
    </w:tbl>
    <w:p w:rsidR="006E6DE1" w:rsidRPr="004268E7" w:rsidRDefault="006E6DE1" w:rsidP="006E6DE1">
      <w:pPr>
        <w:pStyle w:val="naisf"/>
        <w:spacing w:before="0" w:after="0"/>
      </w:pPr>
    </w:p>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5"/>
        <w:gridCol w:w="2977"/>
        <w:gridCol w:w="6384"/>
      </w:tblGrid>
      <w:tr w:rsidR="006E6DE1" w:rsidRPr="004268E7" w:rsidTr="00BA70AA">
        <w:tc>
          <w:tcPr>
            <w:tcW w:w="9786" w:type="dxa"/>
            <w:gridSpan w:val="3"/>
            <w:vAlign w:val="center"/>
          </w:tcPr>
          <w:p w:rsidR="006E6DE1" w:rsidRPr="004268E7" w:rsidRDefault="006E6DE1" w:rsidP="00BA70AA">
            <w:pPr>
              <w:pStyle w:val="naisnod"/>
              <w:spacing w:before="0" w:after="0"/>
            </w:pPr>
            <w:r w:rsidRPr="004268E7">
              <w:t>II. Tiesību akta projekta ietekme uz sabiedrību</w:t>
            </w:r>
          </w:p>
        </w:tc>
      </w:tr>
      <w:tr w:rsidR="006E6DE1" w:rsidRPr="004268E7" w:rsidTr="00BA70AA">
        <w:trPr>
          <w:trHeight w:val="467"/>
        </w:trPr>
        <w:tc>
          <w:tcPr>
            <w:tcW w:w="425" w:type="dxa"/>
          </w:tcPr>
          <w:p w:rsidR="006E6DE1" w:rsidRPr="004268E7" w:rsidRDefault="006E6DE1" w:rsidP="00BA70AA">
            <w:pPr>
              <w:pStyle w:val="naiskr"/>
              <w:spacing w:before="0" w:after="0"/>
              <w:rPr>
                <w:b/>
              </w:rPr>
            </w:pPr>
            <w:r w:rsidRPr="004268E7">
              <w:rPr>
                <w:b/>
                <w:sz w:val="22"/>
                <w:szCs w:val="22"/>
              </w:rPr>
              <w:t>1.</w:t>
            </w:r>
          </w:p>
        </w:tc>
        <w:tc>
          <w:tcPr>
            <w:tcW w:w="2977" w:type="dxa"/>
          </w:tcPr>
          <w:p w:rsidR="006E6DE1" w:rsidRPr="004268E7" w:rsidRDefault="006E6DE1" w:rsidP="00BA70AA">
            <w:pPr>
              <w:pStyle w:val="naiskr"/>
              <w:spacing w:before="0" w:after="0"/>
              <w:rPr>
                <w:b/>
              </w:rPr>
            </w:pPr>
            <w:r w:rsidRPr="004268E7">
              <w:rPr>
                <w:b/>
                <w:sz w:val="22"/>
                <w:szCs w:val="22"/>
              </w:rPr>
              <w:t>Sabiedrības mērķgrupa</w:t>
            </w:r>
          </w:p>
        </w:tc>
        <w:tc>
          <w:tcPr>
            <w:tcW w:w="6384" w:type="dxa"/>
          </w:tcPr>
          <w:p w:rsidR="006E6DE1" w:rsidRPr="004268E7" w:rsidRDefault="006E6DE1" w:rsidP="00BA70AA">
            <w:pPr>
              <w:pStyle w:val="naiskr"/>
              <w:spacing w:before="0" w:after="0"/>
              <w:ind w:firstLine="425"/>
              <w:jc w:val="both"/>
            </w:pPr>
            <w:r w:rsidRPr="004268E7">
              <w:rPr>
                <w:iCs/>
                <w:sz w:val="22"/>
                <w:szCs w:val="22"/>
              </w:rPr>
              <w:t> </w:t>
            </w:r>
            <w:r w:rsidRPr="004268E7">
              <w:t xml:space="preserve">Likumprojektā ietvertais regulējums aptver visu sabiedrību </w:t>
            </w:r>
            <w:r w:rsidRPr="004268E7">
              <w:lastRenderedPageBreak/>
              <w:t>kopumā (pēc Centrālās statistikas pārvaldes datiem Latvijā 201</w:t>
            </w:r>
            <w:r w:rsidR="00462931">
              <w:t>2.gada 1.maiju</w:t>
            </w:r>
            <w:r w:rsidRPr="004268E7">
              <w:t xml:space="preserve"> bija 2,</w:t>
            </w:r>
            <w:r w:rsidR="00462931">
              <w:t>04</w:t>
            </w:r>
            <w:r w:rsidRPr="004268E7">
              <w:t xml:space="preserve">6 miljoni iedzīvotāju).  </w:t>
            </w:r>
          </w:p>
          <w:p w:rsidR="006E6DE1" w:rsidRPr="004268E7" w:rsidRDefault="006E6DE1" w:rsidP="00BA70AA">
            <w:pPr>
              <w:pStyle w:val="naiskr"/>
              <w:spacing w:before="0" w:after="0"/>
              <w:ind w:firstLine="425"/>
              <w:jc w:val="both"/>
            </w:pPr>
          </w:p>
        </w:tc>
      </w:tr>
      <w:tr w:rsidR="006E6DE1" w:rsidRPr="004268E7" w:rsidTr="00BA70AA">
        <w:trPr>
          <w:trHeight w:val="523"/>
        </w:trPr>
        <w:tc>
          <w:tcPr>
            <w:tcW w:w="425" w:type="dxa"/>
          </w:tcPr>
          <w:p w:rsidR="006E6DE1" w:rsidRPr="004268E7" w:rsidRDefault="006E6DE1" w:rsidP="00BA70AA">
            <w:pPr>
              <w:pStyle w:val="naiskr"/>
              <w:spacing w:before="0" w:after="0"/>
              <w:jc w:val="both"/>
              <w:rPr>
                <w:b/>
              </w:rPr>
            </w:pPr>
            <w:r w:rsidRPr="004268E7">
              <w:rPr>
                <w:b/>
                <w:sz w:val="22"/>
                <w:szCs w:val="22"/>
              </w:rPr>
              <w:lastRenderedPageBreak/>
              <w:t>2.</w:t>
            </w:r>
          </w:p>
        </w:tc>
        <w:tc>
          <w:tcPr>
            <w:tcW w:w="2977" w:type="dxa"/>
          </w:tcPr>
          <w:p w:rsidR="006E6DE1" w:rsidRPr="004268E7" w:rsidRDefault="006E6DE1" w:rsidP="00BA70AA">
            <w:pPr>
              <w:pStyle w:val="naiskr"/>
              <w:spacing w:before="0" w:after="0"/>
              <w:jc w:val="both"/>
              <w:rPr>
                <w:b/>
              </w:rPr>
            </w:pPr>
            <w:r w:rsidRPr="004268E7">
              <w:rPr>
                <w:b/>
                <w:sz w:val="22"/>
                <w:szCs w:val="22"/>
              </w:rPr>
              <w:t>Citas sabiedrības grupas (bez mērķgrupas), kuras tiesiskais regulējums arī ietekmē vai varētu ietekmēt</w:t>
            </w:r>
          </w:p>
        </w:tc>
        <w:tc>
          <w:tcPr>
            <w:tcW w:w="6384" w:type="dxa"/>
          </w:tcPr>
          <w:p w:rsidR="006E6DE1" w:rsidRPr="00D91E3E" w:rsidRDefault="006E6DE1" w:rsidP="00BA70AA">
            <w:pPr>
              <w:ind w:firstLine="425"/>
              <w:jc w:val="both"/>
            </w:pPr>
            <w:r w:rsidRPr="004268E7">
              <w:t>Likumprojektā ietvertais regulējums varētu ietekmēt arī ārzemniekus, kuri vēlēsies sakārtot savas tiesības uz viņiem pienākošos mantojuma daļu. Minētās sabiedrības grupas aptuvenais skaitliskais lielums nav nosakāms, jo nav iespējams precīzi prognozēt, cik ārzemnieku varēs pretendēt uz mantojuma pieņemšanu.</w:t>
            </w:r>
          </w:p>
        </w:tc>
      </w:tr>
      <w:tr w:rsidR="006E6DE1" w:rsidRPr="004268E7" w:rsidTr="00BA70AA">
        <w:trPr>
          <w:trHeight w:val="517"/>
        </w:trPr>
        <w:tc>
          <w:tcPr>
            <w:tcW w:w="425" w:type="dxa"/>
          </w:tcPr>
          <w:p w:rsidR="006E6DE1" w:rsidRPr="004268E7" w:rsidRDefault="006E6DE1" w:rsidP="00BA70AA">
            <w:pPr>
              <w:pStyle w:val="naiskr"/>
              <w:spacing w:before="0" w:after="0"/>
              <w:rPr>
                <w:b/>
              </w:rPr>
            </w:pPr>
            <w:r w:rsidRPr="004268E7">
              <w:rPr>
                <w:b/>
                <w:sz w:val="22"/>
                <w:szCs w:val="22"/>
              </w:rPr>
              <w:t>3.</w:t>
            </w:r>
          </w:p>
        </w:tc>
        <w:tc>
          <w:tcPr>
            <w:tcW w:w="2977" w:type="dxa"/>
          </w:tcPr>
          <w:p w:rsidR="006E6DE1" w:rsidRPr="004268E7" w:rsidRDefault="006E6DE1" w:rsidP="00BA70AA">
            <w:pPr>
              <w:pStyle w:val="naiskr"/>
              <w:spacing w:before="0" w:after="0"/>
              <w:rPr>
                <w:b/>
              </w:rPr>
            </w:pPr>
            <w:r w:rsidRPr="004268E7">
              <w:rPr>
                <w:b/>
                <w:sz w:val="22"/>
                <w:szCs w:val="22"/>
              </w:rPr>
              <w:t>Tiesiskā regulējuma finansiālā ietekme</w:t>
            </w:r>
          </w:p>
        </w:tc>
        <w:tc>
          <w:tcPr>
            <w:tcW w:w="6384" w:type="dxa"/>
          </w:tcPr>
          <w:p w:rsidR="006E6DE1" w:rsidRPr="004268E7" w:rsidRDefault="006E6DE1" w:rsidP="00BA70AA">
            <w:pPr>
              <w:pStyle w:val="Komentrateksts"/>
              <w:ind w:firstLine="425"/>
              <w:jc w:val="both"/>
              <w:rPr>
                <w:sz w:val="24"/>
                <w:szCs w:val="24"/>
              </w:rPr>
            </w:pPr>
            <w:r w:rsidRPr="004268E7">
              <w:rPr>
                <w:sz w:val="24"/>
                <w:szCs w:val="24"/>
              </w:rPr>
              <w:t xml:space="preserve">Ar likumprojektu tiek ietekmētas </w:t>
            </w:r>
            <w:r>
              <w:rPr>
                <w:sz w:val="24"/>
                <w:szCs w:val="24"/>
              </w:rPr>
              <w:t>personas</w:t>
            </w:r>
            <w:r w:rsidRPr="004268E7">
              <w:rPr>
                <w:sz w:val="24"/>
                <w:szCs w:val="24"/>
              </w:rPr>
              <w:t>, piemēram, lasīt un rakstīt nepratējiem tiks liegta iespēja taisīt privātus testamentus, ievērojot to, ka viņi varēs taisīt tikai publiskus testamentus.</w:t>
            </w:r>
          </w:p>
          <w:p w:rsidR="006E6DE1" w:rsidRPr="004268E7" w:rsidRDefault="006E6DE1" w:rsidP="00BA70AA">
            <w:pPr>
              <w:pStyle w:val="naiskr"/>
              <w:spacing w:before="0" w:after="0"/>
              <w:ind w:firstLine="425"/>
              <w:jc w:val="both"/>
            </w:pPr>
            <w:r w:rsidRPr="004268E7">
              <w:t xml:space="preserve">Ar likumprojektu tiek ietekmētas </w:t>
            </w:r>
            <w:r>
              <w:t>personas, kas lūgs nodibināt aizgādnību mantojumam, ņemot vērā to, ka šī funkcija tiek nodota zvērinātu notāru kompetencē.</w:t>
            </w:r>
          </w:p>
        </w:tc>
      </w:tr>
      <w:tr w:rsidR="006E6DE1" w:rsidRPr="004268E7" w:rsidTr="00BA70AA">
        <w:trPr>
          <w:trHeight w:val="517"/>
        </w:trPr>
        <w:tc>
          <w:tcPr>
            <w:tcW w:w="425" w:type="dxa"/>
          </w:tcPr>
          <w:p w:rsidR="006E6DE1" w:rsidRPr="004268E7" w:rsidRDefault="006E6DE1" w:rsidP="00BA70AA">
            <w:pPr>
              <w:pStyle w:val="naiskr"/>
              <w:spacing w:before="0" w:after="0"/>
              <w:rPr>
                <w:b/>
              </w:rPr>
            </w:pPr>
            <w:r w:rsidRPr="004268E7">
              <w:rPr>
                <w:b/>
                <w:sz w:val="22"/>
                <w:szCs w:val="22"/>
              </w:rPr>
              <w:t>4.</w:t>
            </w:r>
          </w:p>
        </w:tc>
        <w:tc>
          <w:tcPr>
            <w:tcW w:w="2977" w:type="dxa"/>
          </w:tcPr>
          <w:p w:rsidR="006E6DE1" w:rsidRPr="004268E7" w:rsidRDefault="006E6DE1" w:rsidP="00BA70AA">
            <w:pPr>
              <w:pStyle w:val="naiskr"/>
              <w:spacing w:before="0" w:after="0"/>
              <w:rPr>
                <w:b/>
              </w:rPr>
            </w:pPr>
            <w:r w:rsidRPr="004268E7">
              <w:rPr>
                <w:b/>
                <w:sz w:val="22"/>
                <w:szCs w:val="22"/>
              </w:rPr>
              <w:t>Tiesiskā regulējuma nefinansiālā ietekme</w:t>
            </w:r>
          </w:p>
        </w:tc>
        <w:tc>
          <w:tcPr>
            <w:tcW w:w="6384" w:type="dxa"/>
          </w:tcPr>
          <w:p w:rsidR="006E6DE1" w:rsidRPr="004268E7" w:rsidRDefault="006E6DE1" w:rsidP="00BA70AA">
            <w:pPr>
              <w:pStyle w:val="naiskr"/>
              <w:spacing w:before="0" w:after="0"/>
              <w:ind w:firstLine="425"/>
              <w:jc w:val="both"/>
            </w:pPr>
            <w:r w:rsidRPr="004268E7">
              <w:t>Likumprojektā ietvertais regulējums nodrošinās vienlīdzīgas tiesības un iespējas visām personām, kuras atrodas vienādos un salīdzināmos apstākļos.</w:t>
            </w:r>
          </w:p>
          <w:p w:rsidR="006E6DE1" w:rsidRPr="004268E7" w:rsidRDefault="006E6DE1" w:rsidP="00BA70AA">
            <w:pPr>
              <w:pStyle w:val="naiskr"/>
              <w:spacing w:before="0" w:after="0"/>
              <w:ind w:firstLine="425"/>
              <w:jc w:val="both"/>
            </w:pPr>
          </w:p>
        </w:tc>
      </w:tr>
      <w:tr w:rsidR="006E6DE1" w:rsidRPr="004268E7" w:rsidTr="00BA70AA">
        <w:trPr>
          <w:trHeight w:val="531"/>
        </w:trPr>
        <w:tc>
          <w:tcPr>
            <w:tcW w:w="425" w:type="dxa"/>
          </w:tcPr>
          <w:p w:rsidR="006E6DE1" w:rsidRPr="004268E7" w:rsidRDefault="006E6DE1" w:rsidP="00BA70AA">
            <w:pPr>
              <w:pStyle w:val="naiskr"/>
              <w:spacing w:before="0" w:after="0"/>
              <w:jc w:val="both"/>
              <w:rPr>
                <w:b/>
              </w:rPr>
            </w:pPr>
            <w:r w:rsidRPr="004268E7">
              <w:rPr>
                <w:b/>
                <w:sz w:val="22"/>
                <w:szCs w:val="22"/>
              </w:rPr>
              <w:t>5.</w:t>
            </w:r>
          </w:p>
        </w:tc>
        <w:tc>
          <w:tcPr>
            <w:tcW w:w="2977" w:type="dxa"/>
          </w:tcPr>
          <w:p w:rsidR="006E6DE1" w:rsidRPr="004268E7" w:rsidRDefault="006E6DE1" w:rsidP="00BA70AA">
            <w:pPr>
              <w:pStyle w:val="naiskr"/>
              <w:spacing w:before="0" w:after="0"/>
              <w:jc w:val="both"/>
              <w:rPr>
                <w:b/>
              </w:rPr>
            </w:pPr>
            <w:r w:rsidRPr="004268E7">
              <w:rPr>
                <w:b/>
                <w:sz w:val="22"/>
                <w:szCs w:val="22"/>
              </w:rPr>
              <w:t>Administratīvās procedūras raksturojums</w:t>
            </w:r>
          </w:p>
        </w:tc>
        <w:tc>
          <w:tcPr>
            <w:tcW w:w="6384" w:type="dxa"/>
          </w:tcPr>
          <w:p w:rsidR="006E6DE1" w:rsidRPr="004268E7" w:rsidRDefault="006E6DE1" w:rsidP="00BA70AA">
            <w:pPr>
              <w:pStyle w:val="naiskr"/>
              <w:spacing w:before="0" w:after="0"/>
              <w:ind w:firstLine="425"/>
            </w:pPr>
            <w:r w:rsidRPr="004268E7">
              <w:t>Projekts šo jomu neskar.</w:t>
            </w:r>
          </w:p>
        </w:tc>
      </w:tr>
      <w:tr w:rsidR="006E6DE1" w:rsidRPr="004268E7" w:rsidTr="00BA70AA">
        <w:trPr>
          <w:trHeight w:val="357"/>
        </w:trPr>
        <w:tc>
          <w:tcPr>
            <w:tcW w:w="425" w:type="dxa"/>
          </w:tcPr>
          <w:p w:rsidR="006E6DE1" w:rsidRPr="004268E7" w:rsidRDefault="006E6DE1" w:rsidP="00BA70AA">
            <w:pPr>
              <w:pStyle w:val="naiskr"/>
              <w:spacing w:before="0" w:after="0"/>
              <w:jc w:val="both"/>
              <w:rPr>
                <w:b/>
              </w:rPr>
            </w:pPr>
            <w:r w:rsidRPr="004268E7">
              <w:rPr>
                <w:b/>
                <w:sz w:val="22"/>
                <w:szCs w:val="22"/>
              </w:rPr>
              <w:t>6.</w:t>
            </w:r>
          </w:p>
        </w:tc>
        <w:tc>
          <w:tcPr>
            <w:tcW w:w="2977" w:type="dxa"/>
          </w:tcPr>
          <w:p w:rsidR="006E6DE1" w:rsidRPr="004268E7" w:rsidRDefault="006E6DE1" w:rsidP="00BA70AA">
            <w:pPr>
              <w:pStyle w:val="naiskr"/>
              <w:spacing w:before="0" w:after="0"/>
              <w:jc w:val="both"/>
              <w:rPr>
                <w:b/>
              </w:rPr>
            </w:pPr>
            <w:r w:rsidRPr="004268E7">
              <w:rPr>
                <w:b/>
                <w:sz w:val="22"/>
                <w:szCs w:val="22"/>
              </w:rPr>
              <w:t>Administratīvo izmaksu monetārs novērtējums</w:t>
            </w:r>
          </w:p>
        </w:tc>
        <w:tc>
          <w:tcPr>
            <w:tcW w:w="6384" w:type="dxa"/>
          </w:tcPr>
          <w:p w:rsidR="006E6DE1" w:rsidRPr="004268E7" w:rsidRDefault="006E6DE1" w:rsidP="00BA70AA">
            <w:pPr>
              <w:pStyle w:val="naiskr"/>
              <w:spacing w:before="0" w:after="0"/>
              <w:ind w:firstLine="425"/>
            </w:pPr>
            <w:r w:rsidRPr="004268E7">
              <w:t>Projekts šo jomu neskar.</w:t>
            </w:r>
          </w:p>
        </w:tc>
      </w:tr>
      <w:tr w:rsidR="006E6DE1" w:rsidRPr="004268E7" w:rsidTr="00BA70AA">
        <w:tc>
          <w:tcPr>
            <w:tcW w:w="425" w:type="dxa"/>
          </w:tcPr>
          <w:p w:rsidR="006E6DE1" w:rsidRPr="004268E7" w:rsidRDefault="006E6DE1" w:rsidP="00BA70AA">
            <w:pPr>
              <w:pStyle w:val="naiskr"/>
              <w:spacing w:before="0" w:after="0"/>
              <w:jc w:val="both"/>
              <w:rPr>
                <w:b/>
              </w:rPr>
            </w:pPr>
            <w:r w:rsidRPr="004268E7">
              <w:rPr>
                <w:b/>
                <w:sz w:val="22"/>
                <w:szCs w:val="22"/>
              </w:rPr>
              <w:t>7.</w:t>
            </w:r>
          </w:p>
        </w:tc>
        <w:tc>
          <w:tcPr>
            <w:tcW w:w="2977" w:type="dxa"/>
          </w:tcPr>
          <w:p w:rsidR="006E6DE1" w:rsidRPr="004268E7" w:rsidRDefault="006E6DE1" w:rsidP="00BA70AA">
            <w:pPr>
              <w:pStyle w:val="naiskr"/>
              <w:spacing w:before="0" w:after="0"/>
              <w:jc w:val="both"/>
              <w:rPr>
                <w:b/>
              </w:rPr>
            </w:pPr>
            <w:r w:rsidRPr="004268E7">
              <w:rPr>
                <w:b/>
                <w:sz w:val="22"/>
                <w:szCs w:val="22"/>
              </w:rPr>
              <w:t>Cita informācija</w:t>
            </w:r>
          </w:p>
        </w:tc>
        <w:tc>
          <w:tcPr>
            <w:tcW w:w="6384" w:type="dxa"/>
          </w:tcPr>
          <w:p w:rsidR="006E6DE1" w:rsidRPr="004268E7" w:rsidRDefault="006E6DE1" w:rsidP="00BA70AA">
            <w:pPr>
              <w:pStyle w:val="naiskr"/>
              <w:spacing w:before="0" w:after="0"/>
              <w:jc w:val="center"/>
            </w:pPr>
            <w:r w:rsidRPr="004268E7">
              <w:rPr>
                <w:sz w:val="22"/>
                <w:szCs w:val="22"/>
              </w:rPr>
              <w:t>Nav</w:t>
            </w:r>
          </w:p>
        </w:tc>
      </w:tr>
    </w:tbl>
    <w:p w:rsidR="006E6DE1" w:rsidRPr="004268E7" w:rsidRDefault="006E6DE1" w:rsidP="006E6DE1">
      <w:pPr>
        <w:pStyle w:val="naisf"/>
        <w:spacing w:before="0" w:after="0"/>
      </w:pP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114"/>
        <w:gridCol w:w="1213"/>
        <w:gridCol w:w="1504"/>
        <w:gridCol w:w="1213"/>
        <w:gridCol w:w="1213"/>
        <w:gridCol w:w="1384"/>
      </w:tblGrid>
      <w:tr w:rsidR="006E6DE1" w:rsidRPr="004268E7" w:rsidTr="00BA70AA">
        <w:tc>
          <w:tcPr>
            <w:tcW w:w="5000" w:type="pct"/>
            <w:gridSpan w:val="6"/>
            <w:tcBorders>
              <w:top w:val="outset" w:sz="6" w:space="0" w:color="000000"/>
              <w:left w:val="outset" w:sz="6" w:space="0" w:color="000000"/>
              <w:bottom w:val="outset" w:sz="6" w:space="0" w:color="000000"/>
              <w:right w:val="outset" w:sz="6" w:space="0" w:color="000000"/>
            </w:tcBorders>
          </w:tcPr>
          <w:p w:rsidR="006E6DE1" w:rsidRPr="004268E7" w:rsidRDefault="006E6DE1" w:rsidP="00BA70AA">
            <w:pPr>
              <w:spacing w:before="100" w:beforeAutospacing="1" w:after="100" w:afterAutospacing="1"/>
              <w:jc w:val="center"/>
              <w:rPr>
                <w:b/>
                <w:bCs/>
              </w:rPr>
            </w:pPr>
            <w:r w:rsidRPr="004268E7">
              <w:rPr>
                <w:b/>
                <w:bCs/>
              </w:rPr>
              <w:t>III. Tiesību akta projekta ietekme uz valsts budžetu un pašvaldību budžetiem</w:t>
            </w:r>
          </w:p>
        </w:tc>
      </w:tr>
      <w:tr w:rsidR="006E6DE1" w:rsidRPr="004268E7" w:rsidTr="00BA70AA">
        <w:tc>
          <w:tcPr>
            <w:tcW w:w="1615" w:type="pct"/>
            <w:vMerge w:val="restart"/>
            <w:tcBorders>
              <w:top w:val="outset" w:sz="6" w:space="0" w:color="000000"/>
              <w:left w:val="outset" w:sz="6" w:space="0" w:color="000000"/>
              <w:bottom w:val="outset" w:sz="6" w:space="0" w:color="000000"/>
              <w:right w:val="outset" w:sz="6" w:space="0" w:color="000000"/>
            </w:tcBorders>
            <w:vAlign w:val="center"/>
          </w:tcPr>
          <w:p w:rsidR="006E6DE1" w:rsidRPr="004268E7" w:rsidRDefault="006E6DE1" w:rsidP="00BA70AA">
            <w:pPr>
              <w:spacing w:before="100" w:beforeAutospacing="1" w:after="100" w:afterAutospacing="1"/>
              <w:jc w:val="center"/>
              <w:rPr>
                <w:b/>
                <w:bCs/>
              </w:rPr>
            </w:pPr>
            <w:r w:rsidRPr="004268E7">
              <w:rPr>
                <w:b/>
                <w:bCs/>
              </w:rPr>
              <w:t>Rādītāji</w:t>
            </w:r>
          </w:p>
        </w:tc>
        <w:tc>
          <w:tcPr>
            <w:tcW w:w="1409" w:type="pct"/>
            <w:gridSpan w:val="2"/>
            <w:vMerge w:val="restart"/>
            <w:tcBorders>
              <w:top w:val="outset" w:sz="6" w:space="0" w:color="000000"/>
              <w:left w:val="outset" w:sz="6" w:space="0" w:color="000000"/>
              <w:bottom w:val="outset" w:sz="6" w:space="0" w:color="000000"/>
              <w:right w:val="outset" w:sz="6" w:space="0" w:color="000000"/>
            </w:tcBorders>
            <w:vAlign w:val="center"/>
          </w:tcPr>
          <w:p w:rsidR="006E6DE1" w:rsidRPr="004268E7" w:rsidRDefault="006E6DE1" w:rsidP="00BA70AA">
            <w:pPr>
              <w:spacing w:before="100" w:beforeAutospacing="1" w:after="100" w:afterAutospacing="1"/>
              <w:jc w:val="center"/>
              <w:rPr>
                <w:b/>
                <w:bCs/>
              </w:rPr>
            </w:pPr>
            <w:r w:rsidRPr="004268E7">
              <w:rPr>
                <w:b/>
                <w:bCs/>
              </w:rPr>
              <w:t>201</w:t>
            </w:r>
            <w:r>
              <w:rPr>
                <w:b/>
                <w:bCs/>
              </w:rPr>
              <w:t>2</w:t>
            </w:r>
            <w:r w:rsidRPr="004268E7">
              <w:rPr>
                <w:b/>
                <w:bCs/>
              </w:rPr>
              <w:t>.gads</w:t>
            </w:r>
          </w:p>
        </w:tc>
        <w:tc>
          <w:tcPr>
            <w:tcW w:w="1976" w:type="pct"/>
            <w:gridSpan w:val="3"/>
            <w:tcBorders>
              <w:top w:val="outset" w:sz="6" w:space="0" w:color="000000"/>
              <w:left w:val="outset" w:sz="6" w:space="0" w:color="000000"/>
              <w:bottom w:val="outset" w:sz="6" w:space="0" w:color="000000"/>
              <w:right w:val="outset" w:sz="6" w:space="0" w:color="000000"/>
            </w:tcBorders>
            <w:vAlign w:val="center"/>
          </w:tcPr>
          <w:p w:rsidR="006E6DE1" w:rsidRPr="004268E7" w:rsidRDefault="006E6DE1" w:rsidP="00BA70AA">
            <w:pPr>
              <w:spacing w:before="100" w:beforeAutospacing="1" w:after="100" w:afterAutospacing="1"/>
              <w:jc w:val="center"/>
            </w:pPr>
            <w:r w:rsidRPr="004268E7">
              <w:t>Turpmākie trīs gadi (tūkst</w:t>
            </w:r>
            <w:smartTag w:uri="schemas-tilde-lv/tildestengine" w:element="currency2">
              <w:smartTagPr>
                <w:attr w:name="currency_id" w:val="48"/>
                <w:attr w:name="currency_key" w:val="LVL"/>
                <w:attr w:name="currency_value" w:val="."/>
                <w:attr w:name="currency_text" w:val="latu"/>
              </w:smartTagPr>
              <w:r w:rsidRPr="004268E7">
                <w:t>. latu</w:t>
              </w:r>
            </w:smartTag>
            <w:r w:rsidRPr="004268E7">
              <w:t>)</w:t>
            </w:r>
          </w:p>
        </w:tc>
      </w:tr>
      <w:tr w:rsidR="006E6DE1" w:rsidRPr="004268E7" w:rsidTr="00BA70AA">
        <w:tc>
          <w:tcPr>
            <w:tcW w:w="1615" w:type="pct"/>
            <w:vMerge/>
            <w:tcBorders>
              <w:top w:val="outset" w:sz="6" w:space="0" w:color="000000"/>
              <w:left w:val="outset" w:sz="6" w:space="0" w:color="000000"/>
              <w:bottom w:val="outset" w:sz="6" w:space="0" w:color="000000"/>
              <w:right w:val="outset" w:sz="6" w:space="0" w:color="000000"/>
            </w:tcBorders>
            <w:vAlign w:val="center"/>
          </w:tcPr>
          <w:p w:rsidR="006E6DE1" w:rsidRPr="004268E7" w:rsidRDefault="006E6DE1" w:rsidP="00BA70AA">
            <w:pPr>
              <w:rPr>
                <w:b/>
                <w:bCs/>
              </w:rPr>
            </w:pPr>
          </w:p>
        </w:tc>
        <w:tc>
          <w:tcPr>
            <w:tcW w:w="1409" w:type="pct"/>
            <w:gridSpan w:val="2"/>
            <w:vMerge/>
            <w:tcBorders>
              <w:top w:val="outset" w:sz="6" w:space="0" w:color="000000"/>
              <w:left w:val="outset" w:sz="6" w:space="0" w:color="000000"/>
              <w:bottom w:val="outset" w:sz="6" w:space="0" w:color="000000"/>
              <w:right w:val="outset" w:sz="6" w:space="0" w:color="000000"/>
            </w:tcBorders>
            <w:vAlign w:val="center"/>
          </w:tcPr>
          <w:p w:rsidR="006E6DE1" w:rsidRPr="004268E7" w:rsidRDefault="006E6DE1" w:rsidP="00BA70AA">
            <w:pPr>
              <w:rPr>
                <w:b/>
                <w:bCs/>
              </w:rPr>
            </w:pPr>
          </w:p>
        </w:tc>
        <w:tc>
          <w:tcPr>
            <w:tcW w:w="629" w:type="pct"/>
            <w:tcBorders>
              <w:top w:val="outset" w:sz="6" w:space="0" w:color="000000"/>
              <w:left w:val="outset" w:sz="6" w:space="0" w:color="000000"/>
              <w:bottom w:val="outset" w:sz="6" w:space="0" w:color="000000"/>
              <w:right w:val="outset" w:sz="6" w:space="0" w:color="000000"/>
            </w:tcBorders>
            <w:vAlign w:val="center"/>
          </w:tcPr>
          <w:p w:rsidR="006E6DE1" w:rsidRPr="004268E7" w:rsidRDefault="006E6DE1" w:rsidP="00BA70AA">
            <w:pPr>
              <w:spacing w:before="100" w:beforeAutospacing="1" w:after="100" w:afterAutospacing="1"/>
              <w:jc w:val="center"/>
              <w:rPr>
                <w:b/>
                <w:bCs/>
              </w:rPr>
            </w:pPr>
            <w:r w:rsidRPr="004268E7">
              <w:rPr>
                <w:b/>
                <w:bCs/>
              </w:rPr>
              <w:t>201</w:t>
            </w:r>
            <w:r>
              <w:rPr>
                <w:b/>
                <w:bCs/>
              </w:rPr>
              <w:t>3</w:t>
            </w:r>
          </w:p>
        </w:tc>
        <w:tc>
          <w:tcPr>
            <w:tcW w:w="629" w:type="pct"/>
            <w:tcBorders>
              <w:top w:val="outset" w:sz="6" w:space="0" w:color="000000"/>
              <w:left w:val="outset" w:sz="6" w:space="0" w:color="000000"/>
              <w:bottom w:val="outset" w:sz="6" w:space="0" w:color="000000"/>
              <w:right w:val="outset" w:sz="6" w:space="0" w:color="000000"/>
            </w:tcBorders>
            <w:vAlign w:val="center"/>
          </w:tcPr>
          <w:p w:rsidR="006E6DE1" w:rsidRPr="004268E7" w:rsidRDefault="006E6DE1" w:rsidP="00BA70AA">
            <w:pPr>
              <w:spacing w:before="100" w:beforeAutospacing="1" w:after="100" w:afterAutospacing="1"/>
              <w:jc w:val="center"/>
              <w:rPr>
                <w:b/>
                <w:bCs/>
              </w:rPr>
            </w:pPr>
            <w:r w:rsidRPr="004268E7">
              <w:rPr>
                <w:b/>
                <w:bCs/>
              </w:rPr>
              <w:t>201</w:t>
            </w:r>
            <w:r>
              <w:rPr>
                <w:b/>
                <w:bCs/>
              </w:rPr>
              <w:t>4</w:t>
            </w:r>
          </w:p>
        </w:tc>
        <w:tc>
          <w:tcPr>
            <w:tcW w:w="717" w:type="pct"/>
            <w:tcBorders>
              <w:top w:val="outset" w:sz="6" w:space="0" w:color="000000"/>
              <w:left w:val="outset" w:sz="6" w:space="0" w:color="000000"/>
              <w:bottom w:val="outset" w:sz="6" w:space="0" w:color="000000"/>
              <w:right w:val="outset" w:sz="6" w:space="0" w:color="000000"/>
            </w:tcBorders>
            <w:vAlign w:val="center"/>
          </w:tcPr>
          <w:p w:rsidR="006E6DE1" w:rsidRPr="004268E7" w:rsidRDefault="006E6DE1" w:rsidP="00BA70AA">
            <w:pPr>
              <w:spacing w:before="100" w:beforeAutospacing="1" w:after="100" w:afterAutospacing="1"/>
              <w:jc w:val="center"/>
              <w:rPr>
                <w:b/>
                <w:bCs/>
              </w:rPr>
            </w:pPr>
            <w:r w:rsidRPr="004268E7">
              <w:rPr>
                <w:b/>
                <w:bCs/>
              </w:rPr>
              <w:t>201</w:t>
            </w:r>
            <w:r>
              <w:rPr>
                <w:b/>
                <w:bCs/>
              </w:rPr>
              <w:t>5</w:t>
            </w:r>
          </w:p>
        </w:tc>
      </w:tr>
      <w:tr w:rsidR="006E6DE1" w:rsidRPr="004268E7" w:rsidTr="00BA70AA">
        <w:tc>
          <w:tcPr>
            <w:tcW w:w="1615" w:type="pct"/>
            <w:vMerge/>
            <w:tcBorders>
              <w:top w:val="outset" w:sz="6" w:space="0" w:color="000000"/>
              <w:left w:val="outset" w:sz="6" w:space="0" w:color="000000"/>
              <w:bottom w:val="outset" w:sz="6" w:space="0" w:color="000000"/>
              <w:right w:val="outset" w:sz="6" w:space="0" w:color="000000"/>
            </w:tcBorders>
            <w:vAlign w:val="center"/>
          </w:tcPr>
          <w:p w:rsidR="006E6DE1" w:rsidRPr="004268E7" w:rsidRDefault="006E6DE1" w:rsidP="00BA70AA">
            <w:pPr>
              <w:rPr>
                <w:b/>
                <w:bCs/>
              </w:rPr>
            </w:pPr>
          </w:p>
        </w:tc>
        <w:tc>
          <w:tcPr>
            <w:tcW w:w="629" w:type="pct"/>
            <w:tcBorders>
              <w:top w:val="outset" w:sz="6" w:space="0" w:color="000000"/>
              <w:left w:val="outset" w:sz="6" w:space="0" w:color="000000"/>
              <w:bottom w:val="outset" w:sz="6" w:space="0" w:color="000000"/>
              <w:right w:val="outset" w:sz="6" w:space="0" w:color="000000"/>
            </w:tcBorders>
            <w:vAlign w:val="center"/>
          </w:tcPr>
          <w:p w:rsidR="006E6DE1" w:rsidRPr="004268E7" w:rsidRDefault="006E6DE1" w:rsidP="00BA70AA">
            <w:pPr>
              <w:spacing w:before="100" w:beforeAutospacing="1" w:after="100" w:afterAutospacing="1"/>
              <w:jc w:val="center"/>
            </w:pPr>
            <w:r w:rsidRPr="004268E7">
              <w:t>Saskaņā ar valsts budžetu kārtējam gadam</w:t>
            </w:r>
          </w:p>
        </w:tc>
        <w:tc>
          <w:tcPr>
            <w:tcW w:w="780" w:type="pct"/>
            <w:tcBorders>
              <w:top w:val="outset" w:sz="6" w:space="0" w:color="000000"/>
              <w:left w:val="outset" w:sz="6" w:space="0" w:color="000000"/>
              <w:bottom w:val="outset" w:sz="6" w:space="0" w:color="000000"/>
              <w:right w:val="outset" w:sz="6" w:space="0" w:color="000000"/>
            </w:tcBorders>
            <w:vAlign w:val="center"/>
          </w:tcPr>
          <w:p w:rsidR="006E6DE1" w:rsidRPr="004268E7" w:rsidRDefault="006E6DE1" w:rsidP="00BA70AA">
            <w:pPr>
              <w:spacing w:before="100" w:beforeAutospacing="1" w:after="100" w:afterAutospacing="1"/>
              <w:jc w:val="center"/>
            </w:pPr>
            <w:r w:rsidRPr="004268E7">
              <w:t>Izmaiņas kārtējā gadā, salīdzinot ar budžetu kārtējam gadam</w:t>
            </w:r>
          </w:p>
        </w:tc>
        <w:tc>
          <w:tcPr>
            <w:tcW w:w="629" w:type="pct"/>
            <w:tcBorders>
              <w:top w:val="outset" w:sz="6" w:space="0" w:color="000000"/>
              <w:left w:val="outset" w:sz="6" w:space="0" w:color="000000"/>
              <w:bottom w:val="outset" w:sz="6" w:space="0" w:color="000000"/>
              <w:right w:val="outset" w:sz="6" w:space="0" w:color="000000"/>
            </w:tcBorders>
            <w:vAlign w:val="center"/>
          </w:tcPr>
          <w:p w:rsidR="006E6DE1" w:rsidRPr="004268E7" w:rsidRDefault="006E6DE1" w:rsidP="00BA70AA">
            <w:pPr>
              <w:spacing w:before="100" w:beforeAutospacing="1" w:after="100" w:afterAutospacing="1"/>
              <w:jc w:val="center"/>
            </w:pPr>
            <w:r w:rsidRPr="004268E7">
              <w:t>Izmaiņas, salīdzinot ar kārtējo (n) gadu</w:t>
            </w:r>
          </w:p>
        </w:tc>
        <w:tc>
          <w:tcPr>
            <w:tcW w:w="629" w:type="pct"/>
            <w:tcBorders>
              <w:top w:val="outset" w:sz="6" w:space="0" w:color="000000"/>
              <w:left w:val="outset" w:sz="6" w:space="0" w:color="000000"/>
              <w:bottom w:val="outset" w:sz="6" w:space="0" w:color="000000"/>
              <w:right w:val="outset" w:sz="6" w:space="0" w:color="000000"/>
            </w:tcBorders>
            <w:vAlign w:val="center"/>
          </w:tcPr>
          <w:p w:rsidR="006E6DE1" w:rsidRPr="004268E7" w:rsidRDefault="006E6DE1" w:rsidP="00BA70AA">
            <w:pPr>
              <w:spacing w:before="100" w:beforeAutospacing="1" w:after="100" w:afterAutospacing="1"/>
              <w:jc w:val="center"/>
            </w:pPr>
            <w:r w:rsidRPr="004268E7">
              <w:t>Izmaiņas, salīdzinot ar kārtējo (n) gadu</w:t>
            </w:r>
          </w:p>
        </w:tc>
        <w:tc>
          <w:tcPr>
            <w:tcW w:w="717" w:type="pct"/>
            <w:tcBorders>
              <w:top w:val="outset" w:sz="6" w:space="0" w:color="000000"/>
              <w:left w:val="outset" w:sz="6" w:space="0" w:color="000000"/>
              <w:bottom w:val="outset" w:sz="6" w:space="0" w:color="000000"/>
              <w:right w:val="outset" w:sz="6" w:space="0" w:color="000000"/>
            </w:tcBorders>
            <w:vAlign w:val="center"/>
          </w:tcPr>
          <w:p w:rsidR="006E6DE1" w:rsidRPr="004268E7" w:rsidRDefault="006E6DE1" w:rsidP="00BA70AA">
            <w:pPr>
              <w:spacing w:before="100" w:beforeAutospacing="1" w:after="100" w:afterAutospacing="1"/>
              <w:jc w:val="center"/>
            </w:pPr>
            <w:r w:rsidRPr="004268E7">
              <w:t>Izmaiņas, salīdzinot ar kārtējo (n) gadu</w:t>
            </w:r>
          </w:p>
        </w:tc>
      </w:tr>
      <w:tr w:rsidR="006E6DE1" w:rsidRPr="004268E7" w:rsidTr="00BA70AA">
        <w:tc>
          <w:tcPr>
            <w:tcW w:w="1615" w:type="pct"/>
            <w:tcBorders>
              <w:top w:val="outset" w:sz="6" w:space="0" w:color="000000"/>
              <w:left w:val="outset" w:sz="6" w:space="0" w:color="000000"/>
              <w:bottom w:val="outset" w:sz="6" w:space="0" w:color="000000"/>
              <w:right w:val="outset" w:sz="6" w:space="0" w:color="000000"/>
            </w:tcBorders>
            <w:vAlign w:val="center"/>
          </w:tcPr>
          <w:p w:rsidR="006E6DE1" w:rsidRPr="004268E7" w:rsidRDefault="006E6DE1" w:rsidP="00BA70AA">
            <w:pPr>
              <w:spacing w:before="100" w:beforeAutospacing="1" w:after="100" w:afterAutospacing="1"/>
              <w:jc w:val="center"/>
            </w:pPr>
            <w:r w:rsidRPr="004268E7">
              <w:t>1</w:t>
            </w:r>
          </w:p>
        </w:tc>
        <w:tc>
          <w:tcPr>
            <w:tcW w:w="629" w:type="pct"/>
            <w:tcBorders>
              <w:top w:val="outset" w:sz="6" w:space="0" w:color="000000"/>
              <w:left w:val="outset" w:sz="6" w:space="0" w:color="000000"/>
              <w:bottom w:val="outset" w:sz="6" w:space="0" w:color="000000"/>
              <w:right w:val="outset" w:sz="6" w:space="0" w:color="000000"/>
            </w:tcBorders>
            <w:vAlign w:val="center"/>
          </w:tcPr>
          <w:p w:rsidR="006E6DE1" w:rsidRPr="004268E7" w:rsidRDefault="006E6DE1" w:rsidP="00BA70AA">
            <w:pPr>
              <w:spacing w:before="100" w:beforeAutospacing="1" w:after="100" w:afterAutospacing="1"/>
              <w:jc w:val="center"/>
            </w:pPr>
            <w:r w:rsidRPr="004268E7">
              <w:t>2</w:t>
            </w:r>
          </w:p>
        </w:tc>
        <w:tc>
          <w:tcPr>
            <w:tcW w:w="780" w:type="pct"/>
            <w:tcBorders>
              <w:top w:val="outset" w:sz="6" w:space="0" w:color="000000"/>
              <w:left w:val="outset" w:sz="6" w:space="0" w:color="000000"/>
              <w:bottom w:val="outset" w:sz="6" w:space="0" w:color="000000"/>
              <w:right w:val="outset" w:sz="6" w:space="0" w:color="000000"/>
            </w:tcBorders>
            <w:vAlign w:val="center"/>
          </w:tcPr>
          <w:p w:rsidR="006E6DE1" w:rsidRPr="004268E7" w:rsidRDefault="006E6DE1" w:rsidP="00BA70AA">
            <w:pPr>
              <w:spacing w:before="100" w:beforeAutospacing="1" w:after="100" w:afterAutospacing="1"/>
              <w:jc w:val="center"/>
            </w:pPr>
            <w:r w:rsidRPr="004268E7">
              <w:t>3</w:t>
            </w:r>
          </w:p>
        </w:tc>
        <w:tc>
          <w:tcPr>
            <w:tcW w:w="629" w:type="pct"/>
            <w:tcBorders>
              <w:top w:val="outset" w:sz="6" w:space="0" w:color="000000"/>
              <w:left w:val="outset" w:sz="6" w:space="0" w:color="000000"/>
              <w:bottom w:val="outset" w:sz="6" w:space="0" w:color="000000"/>
              <w:right w:val="outset" w:sz="6" w:space="0" w:color="000000"/>
            </w:tcBorders>
            <w:vAlign w:val="center"/>
          </w:tcPr>
          <w:p w:rsidR="006E6DE1" w:rsidRPr="004268E7" w:rsidRDefault="006E6DE1" w:rsidP="00BA70AA">
            <w:pPr>
              <w:spacing w:before="100" w:beforeAutospacing="1" w:after="100" w:afterAutospacing="1"/>
              <w:jc w:val="center"/>
            </w:pPr>
            <w:r w:rsidRPr="004268E7">
              <w:t>4</w:t>
            </w:r>
          </w:p>
        </w:tc>
        <w:tc>
          <w:tcPr>
            <w:tcW w:w="629" w:type="pct"/>
            <w:tcBorders>
              <w:top w:val="outset" w:sz="6" w:space="0" w:color="000000"/>
              <w:left w:val="outset" w:sz="6" w:space="0" w:color="000000"/>
              <w:bottom w:val="outset" w:sz="6" w:space="0" w:color="000000"/>
              <w:right w:val="outset" w:sz="6" w:space="0" w:color="000000"/>
            </w:tcBorders>
            <w:vAlign w:val="center"/>
          </w:tcPr>
          <w:p w:rsidR="006E6DE1" w:rsidRPr="004268E7" w:rsidRDefault="006E6DE1" w:rsidP="00BA70AA">
            <w:pPr>
              <w:spacing w:before="100" w:beforeAutospacing="1" w:after="100" w:afterAutospacing="1"/>
              <w:jc w:val="center"/>
            </w:pPr>
            <w:r w:rsidRPr="004268E7">
              <w:t>5</w:t>
            </w:r>
          </w:p>
        </w:tc>
        <w:tc>
          <w:tcPr>
            <w:tcW w:w="717" w:type="pct"/>
            <w:tcBorders>
              <w:top w:val="outset" w:sz="6" w:space="0" w:color="000000"/>
              <w:left w:val="outset" w:sz="6" w:space="0" w:color="000000"/>
              <w:bottom w:val="outset" w:sz="6" w:space="0" w:color="000000"/>
              <w:right w:val="outset" w:sz="6" w:space="0" w:color="000000"/>
            </w:tcBorders>
            <w:vAlign w:val="center"/>
          </w:tcPr>
          <w:p w:rsidR="006E6DE1" w:rsidRPr="004268E7" w:rsidRDefault="006E6DE1" w:rsidP="00BA70AA">
            <w:pPr>
              <w:spacing w:before="100" w:beforeAutospacing="1" w:after="100" w:afterAutospacing="1"/>
              <w:jc w:val="center"/>
            </w:pPr>
            <w:r w:rsidRPr="004268E7">
              <w:t>6</w:t>
            </w:r>
          </w:p>
        </w:tc>
      </w:tr>
      <w:tr w:rsidR="006E6DE1" w:rsidRPr="004268E7" w:rsidTr="00BA70AA">
        <w:tc>
          <w:tcPr>
            <w:tcW w:w="1615" w:type="pct"/>
            <w:tcBorders>
              <w:top w:val="outset" w:sz="6" w:space="0" w:color="000000"/>
              <w:left w:val="outset" w:sz="6" w:space="0" w:color="000000"/>
              <w:bottom w:val="outset" w:sz="6" w:space="0" w:color="000000"/>
              <w:right w:val="outset" w:sz="6" w:space="0" w:color="000000"/>
            </w:tcBorders>
          </w:tcPr>
          <w:p w:rsidR="006E6DE1" w:rsidRPr="004268E7" w:rsidRDefault="006E6DE1" w:rsidP="00BA70AA">
            <w:pPr>
              <w:spacing w:before="100" w:beforeAutospacing="1" w:after="100" w:afterAutospacing="1"/>
            </w:pPr>
            <w:r w:rsidRPr="004268E7">
              <w:t>1. Budžeta ieņēmumi:</w:t>
            </w:r>
          </w:p>
        </w:tc>
        <w:tc>
          <w:tcPr>
            <w:tcW w:w="629" w:type="pct"/>
            <w:vMerge w:val="restart"/>
            <w:tcBorders>
              <w:top w:val="outset" w:sz="6" w:space="0" w:color="000000"/>
              <w:left w:val="outset" w:sz="6" w:space="0" w:color="000000"/>
              <w:right w:val="outset" w:sz="6" w:space="0" w:color="000000"/>
            </w:tcBorders>
            <w:vAlign w:val="center"/>
          </w:tcPr>
          <w:p w:rsidR="006E6DE1" w:rsidRDefault="006E6DE1" w:rsidP="00BA70AA">
            <w:pPr>
              <w:jc w:val="center"/>
            </w:pPr>
            <w:r w:rsidRPr="00A96276">
              <w:t>Nav attiecināms</w:t>
            </w:r>
          </w:p>
          <w:p w:rsidR="006E6DE1" w:rsidRPr="004268E7" w:rsidRDefault="006E6DE1" w:rsidP="00BA70AA">
            <w:pPr>
              <w:jc w:val="center"/>
            </w:pPr>
          </w:p>
        </w:tc>
        <w:tc>
          <w:tcPr>
            <w:tcW w:w="780" w:type="pct"/>
            <w:vMerge w:val="restart"/>
            <w:tcBorders>
              <w:top w:val="outset" w:sz="6" w:space="0" w:color="000000"/>
              <w:left w:val="outset" w:sz="6" w:space="0" w:color="000000"/>
              <w:right w:val="outset" w:sz="6" w:space="0" w:color="000000"/>
            </w:tcBorders>
            <w:vAlign w:val="center"/>
          </w:tcPr>
          <w:p w:rsidR="006E6DE1" w:rsidRDefault="006E6DE1" w:rsidP="00BA70AA">
            <w:pPr>
              <w:jc w:val="center"/>
            </w:pPr>
            <w:r w:rsidRPr="00A96276">
              <w:t>Nav attiecināms</w:t>
            </w:r>
          </w:p>
          <w:p w:rsidR="006E6DE1" w:rsidRPr="004268E7" w:rsidRDefault="006E6DE1" w:rsidP="00BA70AA">
            <w:pPr>
              <w:jc w:val="center"/>
            </w:pPr>
          </w:p>
        </w:tc>
        <w:tc>
          <w:tcPr>
            <w:tcW w:w="629" w:type="pct"/>
            <w:vMerge w:val="restart"/>
            <w:tcBorders>
              <w:top w:val="outset" w:sz="6" w:space="0" w:color="000000"/>
              <w:left w:val="outset" w:sz="6" w:space="0" w:color="000000"/>
              <w:right w:val="outset" w:sz="6" w:space="0" w:color="000000"/>
            </w:tcBorders>
            <w:vAlign w:val="center"/>
          </w:tcPr>
          <w:p w:rsidR="006E6DE1" w:rsidRDefault="006E6DE1" w:rsidP="00BA70AA">
            <w:pPr>
              <w:jc w:val="center"/>
            </w:pPr>
            <w:r w:rsidRPr="00A96276">
              <w:t>Nav attiecināms</w:t>
            </w:r>
          </w:p>
          <w:p w:rsidR="006E6DE1" w:rsidRPr="004268E7" w:rsidRDefault="006E6DE1" w:rsidP="00BA70AA">
            <w:pPr>
              <w:jc w:val="center"/>
            </w:pPr>
          </w:p>
        </w:tc>
        <w:tc>
          <w:tcPr>
            <w:tcW w:w="629" w:type="pct"/>
            <w:vMerge w:val="restart"/>
            <w:tcBorders>
              <w:top w:val="outset" w:sz="6" w:space="0" w:color="000000"/>
              <w:left w:val="outset" w:sz="6" w:space="0" w:color="000000"/>
              <w:right w:val="outset" w:sz="6" w:space="0" w:color="000000"/>
            </w:tcBorders>
            <w:vAlign w:val="center"/>
          </w:tcPr>
          <w:p w:rsidR="006E6DE1" w:rsidRDefault="006E6DE1" w:rsidP="00BA70AA">
            <w:pPr>
              <w:jc w:val="center"/>
            </w:pPr>
            <w:r w:rsidRPr="00A96276">
              <w:t>Nav attiecināms</w:t>
            </w:r>
          </w:p>
          <w:p w:rsidR="006E6DE1" w:rsidRPr="004268E7" w:rsidRDefault="006E6DE1" w:rsidP="00BA70AA">
            <w:pPr>
              <w:jc w:val="center"/>
            </w:pPr>
          </w:p>
        </w:tc>
        <w:tc>
          <w:tcPr>
            <w:tcW w:w="717" w:type="pct"/>
            <w:vMerge w:val="restart"/>
            <w:tcBorders>
              <w:top w:val="outset" w:sz="6" w:space="0" w:color="000000"/>
              <w:left w:val="outset" w:sz="6" w:space="0" w:color="000000"/>
              <w:right w:val="outset" w:sz="6" w:space="0" w:color="000000"/>
            </w:tcBorders>
            <w:vAlign w:val="center"/>
          </w:tcPr>
          <w:p w:rsidR="006E6DE1" w:rsidRDefault="006E6DE1" w:rsidP="00BA70AA">
            <w:pPr>
              <w:jc w:val="center"/>
            </w:pPr>
            <w:r w:rsidRPr="00A96276">
              <w:t>Nav attiecināms</w:t>
            </w:r>
          </w:p>
          <w:p w:rsidR="006E6DE1" w:rsidRPr="004268E7" w:rsidRDefault="006E6DE1" w:rsidP="00BA70AA">
            <w:pPr>
              <w:jc w:val="center"/>
            </w:pPr>
          </w:p>
        </w:tc>
      </w:tr>
      <w:tr w:rsidR="006E6DE1" w:rsidRPr="004268E7" w:rsidTr="00BA70AA">
        <w:tc>
          <w:tcPr>
            <w:tcW w:w="1615" w:type="pct"/>
            <w:tcBorders>
              <w:top w:val="outset" w:sz="6" w:space="0" w:color="000000"/>
              <w:left w:val="outset" w:sz="6" w:space="0" w:color="000000"/>
              <w:bottom w:val="outset" w:sz="6" w:space="0" w:color="000000"/>
              <w:right w:val="outset" w:sz="6" w:space="0" w:color="000000"/>
            </w:tcBorders>
          </w:tcPr>
          <w:p w:rsidR="006E6DE1" w:rsidRPr="004268E7" w:rsidRDefault="006E6DE1" w:rsidP="00BA70AA">
            <w:pPr>
              <w:spacing w:before="100" w:beforeAutospacing="1" w:after="100" w:afterAutospacing="1"/>
            </w:pPr>
            <w:r w:rsidRPr="004268E7">
              <w:t>1.1. valsts pamatbudžets, tai skaitā ieņēmumi no maksas pakalpojumiem un citi pašu ieņēmumi</w:t>
            </w:r>
          </w:p>
        </w:tc>
        <w:tc>
          <w:tcPr>
            <w:tcW w:w="629" w:type="pct"/>
            <w:vMerge/>
            <w:tcBorders>
              <w:left w:val="outset" w:sz="6" w:space="0" w:color="000000"/>
              <w:right w:val="outset" w:sz="6" w:space="0" w:color="000000"/>
            </w:tcBorders>
            <w:vAlign w:val="center"/>
          </w:tcPr>
          <w:p w:rsidR="006E6DE1" w:rsidRPr="004268E7" w:rsidRDefault="006E6DE1" w:rsidP="00BA70AA">
            <w:pPr>
              <w:jc w:val="center"/>
            </w:pPr>
          </w:p>
        </w:tc>
        <w:tc>
          <w:tcPr>
            <w:tcW w:w="780" w:type="pct"/>
            <w:vMerge/>
            <w:tcBorders>
              <w:left w:val="outset" w:sz="6" w:space="0" w:color="000000"/>
              <w:right w:val="outset" w:sz="6" w:space="0" w:color="000000"/>
            </w:tcBorders>
            <w:vAlign w:val="center"/>
          </w:tcPr>
          <w:p w:rsidR="006E6DE1" w:rsidRPr="004268E7" w:rsidRDefault="006E6DE1" w:rsidP="00BA70AA">
            <w:pPr>
              <w:jc w:val="center"/>
            </w:pPr>
          </w:p>
        </w:tc>
        <w:tc>
          <w:tcPr>
            <w:tcW w:w="629" w:type="pct"/>
            <w:vMerge/>
            <w:tcBorders>
              <w:left w:val="outset" w:sz="6" w:space="0" w:color="000000"/>
              <w:right w:val="outset" w:sz="6" w:space="0" w:color="000000"/>
            </w:tcBorders>
            <w:vAlign w:val="center"/>
          </w:tcPr>
          <w:p w:rsidR="006E6DE1" w:rsidRPr="004268E7" w:rsidRDefault="006E6DE1" w:rsidP="00BA70AA">
            <w:pPr>
              <w:jc w:val="center"/>
            </w:pPr>
          </w:p>
        </w:tc>
        <w:tc>
          <w:tcPr>
            <w:tcW w:w="629" w:type="pct"/>
            <w:vMerge/>
            <w:tcBorders>
              <w:left w:val="outset" w:sz="6" w:space="0" w:color="000000"/>
              <w:right w:val="outset" w:sz="6" w:space="0" w:color="000000"/>
            </w:tcBorders>
            <w:vAlign w:val="center"/>
          </w:tcPr>
          <w:p w:rsidR="006E6DE1" w:rsidRPr="004268E7" w:rsidRDefault="006E6DE1" w:rsidP="00BA70AA">
            <w:pPr>
              <w:jc w:val="center"/>
            </w:pPr>
          </w:p>
        </w:tc>
        <w:tc>
          <w:tcPr>
            <w:tcW w:w="717" w:type="pct"/>
            <w:vMerge/>
            <w:tcBorders>
              <w:left w:val="outset" w:sz="6" w:space="0" w:color="000000"/>
              <w:right w:val="outset" w:sz="6" w:space="0" w:color="000000"/>
            </w:tcBorders>
            <w:vAlign w:val="center"/>
          </w:tcPr>
          <w:p w:rsidR="006E6DE1" w:rsidRPr="004268E7" w:rsidRDefault="006E6DE1" w:rsidP="00BA70AA">
            <w:pPr>
              <w:jc w:val="center"/>
            </w:pPr>
          </w:p>
        </w:tc>
      </w:tr>
      <w:tr w:rsidR="006E6DE1" w:rsidRPr="004268E7" w:rsidTr="00BA70AA">
        <w:tc>
          <w:tcPr>
            <w:tcW w:w="1615" w:type="pct"/>
            <w:tcBorders>
              <w:top w:val="outset" w:sz="6" w:space="0" w:color="000000"/>
              <w:left w:val="outset" w:sz="6" w:space="0" w:color="000000"/>
              <w:bottom w:val="outset" w:sz="6" w:space="0" w:color="000000"/>
              <w:right w:val="outset" w:sz="6" w:space="0" w:color="000000"/>
            </w:tcBorders>
          </w:tcPr>
          <w:p w:rsidR="006E6DE1" w:rsidRPr="004268E7" w:rsidRDefault="006E6DE1" w:rsidP="00BA70AA">
            <w:pPr>
              <w:spacing w:before="100" w:beforeAutospacing="1" w:after="100" w:afterAutospacing="1"/>
            </w:pPr>
            <w:r w:rsidRPr="004268E7">
              <w:t>1.2. valsts speciālais budžets</w:t>
            </w:r>
          </w:p>
        </w:tc>
        <w:tc>
          <w:tcPr>
            <w:tcW w:w="629" w:type="pct"/>
            <w:vMerge/>
            <w:tcBorders>
              <w:left w:val="outset" w:sz="6" w:space="0" w:color="000000"/>
              <w:right w:val="outset" w:sz="6" w:space="0" w:color="000000"/>
            </w:tcBorders>
            <w:vAlign w:val="center"/>
          </w:tcPr>
          <w:p w:rsidR="006E6DE1" w:rsidRPr="004268E7" w:rsidRDefault="006E6DE1" w:rsidP="00BA70AA">
            <w:pPr>
              <w:jc w:val="center"/>
            </w:pPr>
          </w:p>
        </w:tc>
        <w:tc>
          <w:tcPr>
            <w:tcW w:w="780" w:type="pct"/>
            <w:vMerge/>
            <w:tcBorders>
              <w:left w:val="outset" w:sz="6" w:space="0" w:color="000000"/>
              <w:right w:val="outset" w:sz="6" w:space="0" w:color="000000"/>
            </w:tcBorders>
            <w:vAlign w:val="center"/>
          </w:tcPr>
          <w:p w:rsidR="006E6DE1" w:rsidRPr="004268E7" w:rsidRDefault="006E6DE1" w:rsidP="00BA70AA">
            <w:pPr>
              <w:jc w:val="center"/>
            </w:pPr>
          </w:p>
        </w:tc>
        <w:tc>
          <w:tcPr>
            <w:tcW w:w="629" w:type="pct"/>
            <w:vMerge/>
            <w:tcBorders>
              <w:left w:val="outset" w:sz="6" w:space="0" w:color="000000"/>
              <w:right w:val="outset" w:sz="6" w:space="0" w:color="000000"/>
            </w:tcBorders>
            <w:vAlign w:val="center"/>
          </w:tcPr>
          <w:p w:rsidR="006E6DE1" w:rsidRPr="004268E7" w:rsidRDefault="006E6DE1" w:rsidP="00BA70AA">
            <w:pPr>
              <w:jc w:val="center"/>
            </w:pPr>
          </w:p>
        </w:tc>
        <w:tc>
          <w:tcPr>
            <w:tcW w:w="629" w:type="pct"/>
            <w:vMerge/>
            <w:tcBorders>
              <w:left w:val="outset" w:sz="6" w:space="0" w:color="000000"/>
              <w:right w:val="outset" w:sz="6" w:space="0" w:color="000000"/>
            </w:tcBorders>
            <w:vAlign w:val="center"/>
          </w:tcPr>
          <w:p w:rsidR="006E6DE1" w:rsidRPr="004268E7" w:rsidRDefault="006E6DE1" w:rsidP="00BA70AA">
            <w:pPr>
              <w:jc w:val="center"/>
            </w:pPr>
          </w:p>
        </w:tc>
        <w:tc>
          <w:tcPr>
            <w:tcW w:w="717" w:type="pct"/>
            <w:vMerge/>
            <w:tcBorders>
              <w:left w:val="outset" w:sz="6" w:space="0" w:color="000000"/>
              <w:right w:val="outset" w:sz="6" w:space="0" w:color="000000"/>
            </w:tcBorders>
            <w:vAlign w:val="center"/>
          </w:tcPr>
          <w:p w:rsidR="006E6DE1" w:rsidRPr="004268E7" w:rsidRDefault="006E6DE1" w:rsidP="00BA70AA">
            <w:pPr>
              <w:jc w:val="center"/>
            </w:pPr>
          </w:p>
        </w:tc>
      </w:tr>
      <w:tr w:rsidR="006E6DE1" w:rsidRPr="004268E7" w:rsidTr="00BA70AA">
        <w:tc>
          <w:tcPr>
            <w:tcW w:w="1615" w:type="pct"/>
            <w:tcBorders>
              <w:top w:val="outset" w:sz="6" w:space="0" w:color="000000"/>
              <w:left w:val="outset" w:sz="6" w:space="0" w:color="000000"/>
              <w:bottom w:val="single" w:sz="4" w:space="0" w:color="auto"/>
              <w:right w:val="outset" w:sz="6" w:space="0" w:color="000000"/>
            </w:tcBorders>
          </w:tcPr>
          <w:p w:rsidR="006E6DE1" w:rsidRPr="004268E7" w:rsidRDefault="006E6DE1" w:rsidP="00BA70AA">
            <w:pPr>
              <w:spacing w:before="100" w:beforeAutospacing="1" w:after="100" w:afterAutospacing="1"/>
            </w:pPr>
            <w:r w:rsidRPr="004268E7">
              <w:t>1.3. pašvaldību budžets</w:t>
            </w:r>
          </w:p>
        </w:tc>
        <w:tc>
          <w:tcPr>
            <w:tcW w:w="629" w:type="pct"/>
            <w:vMerge/>
            <w:tcBorders>
              <w:left w:val="outset" w:sz="6" w:space="0" w:color="000000"/>
              <w:bottom w:val="single" w:sz="4" w:space="0" w:color="auto"/>
              <w:right w:val="outset" w:sz="6" w:space="0" w:color="000000"/>
            </w:tcBorders>
            <w:vAlign w:val="center"/>
          </w:tcPr>
          <w:p w:rsidR="006E6DE1" w:rsidRPr="004268E7" w:rsidRDefault="006E6DE1" w:rsidP="00BA70AA">
            <w:pPr>
              <w:jc w:val="center"/>
            </w:pPr>
          </w:p>
        </w:tc>
        <w:tc>
          <w:tcPr>
            <w:tcW w:w="780" w:type="pct"/>
            <w:vMerge/>
            <w:tcBorders>
              <w:left w:val="outset" w:sz="6" w:space="0" w:color="000000"/>
              <w:bottom w:val="single" w:sz="4" w:space="0" w:color="auto"/>
              <w:right w:val="outset" w:sz="6" w:space="0" w:color="000000"/>
            </w:tcBorders>
            <w:vAlign w:val="center"/>
          </w:tcPr>
          <w:p w:rsidR="006E6DE1" w:rsidRPr="004268E7" w:rsidRDefault="006E6DE1" w:rsidP="00BA70AA">
            <w:pPr>
              <w:jc w:val="center"/>
            </w:pPr>
          </w:p>
        </w:tc>
        <w:tc>
          <w:tcPr>
            <w:tcW w:w="629" w:type="pct"/>
            <w:vMerge/>
            <w:tcBorders>
              <w:left w:val="outset" w:sz="6" w:space="0" w:color="000000"/>
              <w:bottom w:val="single" w:sz="4" w:space="0" w:color="auto"/>
              <w:right w:val="outset" w:sz="6" w:space="0" w:color="000000"/>
            </w:tcBorders>
            <w:vAlign w:val="center"/>
          </w:tcPr>
          <w:p w:rsidR="006E6DE1" w:rsidRPr="004268E7" w:rsidRDefault="006E6DE1" w:rsidP="00BA70AA">
            <w:pPr>
              <w:jc w:val="center"/>
            </w:pPr>
          </w:p>
        </w:tc>
        <w:tc>
          <w:tcPr>
            <w:tcW w:w="629" w:type="pct"/>
            <w:vMerge/>
            <w:tcBorders>
              <w:left w:val="outset" w:sz="6" w:space="0" w:color="000000"/>
              <w:bottom w:val="single" w:sz="4" w:space="0" w:color="auto"/>
              <w:right w:val="outset" w:sz="6" w:space="0" w:color="000000"/>
            </w:tcBorders>
            <w:vAlign w:val="center"/>
          </w:tcPr>
          <w:p w:rsidR="006E6DE1" w:rsidRPr="004268E7" w:rsidRDefault="006E6DE1" w:rsidP="00BA70AA">
            <w:pPr>
              <w:jc w:val="center"/>
            </w:pPr>
          </w:p>
        </w:tc>
        <w:tc>
          <w:tcPr>
            <w:tcW w:w="717" w:type="pct"/>
            <w:vMerge/>
            <w:tcBorders>
              <w:left w:val="outset" w:sz="6" w:space="0" w:color="000000"/>
              <w:bottom w:val="single" w:sz="4" w:space="0" w:color="auto"/>
              <w:right w:val="outset" w:sz="6" w:space="0" w:color="000000"/>
            </w:tcBorders>
            <w:vAlign w:val="center"/>
          </w:tcPr>
          <w:p w:rsidR="006E6DE1" w:rsidRPr="004268E7" w:rsidRDefault="006E6DE1" w:rsidP="00BA70AA">
            <w:pPr>
              <w:jc w:val="center"/>
            </w:pPr>
          </w:p>
        </w:tc>
      </w:tr>
      <w:tr w:rsidR="006E6DE1" w:rsidRPr="004268E7" w:rsidTr="00BA70AA">
        <w:tc>
          <w:tcPr>
            <w:tcW w:w="1615" w:type="pct"/>
            <w:tcBorders>
              <w:top w:val="single" w:sz="4" w:space="0" w:color="auto"/>
              <w:left w:val="single" w:sz="4" w:space="0" w:color="auto"/>
              <w:bottom w:val="single" w:sz="4" w:space="0" w:color="auto"/>
              <w:right w:val="single" w:sz="4" w:space="0" w:color="auto"/>
            </w:tcBorders>
          </w:tcPr>
          <w:p w:rsidR="006E6DE1" w:rsidRPr="004268E7" w:rsidRDefault="006E6DE1" w:rsidP="00BA70AA">
            <w:pPr>
              <w:spacing w:before="100" w:beforeAutospacing="1" w:after="100" w:afterAutospacing="1"/>
            </w:pPr>
            <w:r w:rsidRPr="004268E7">
              <w:t>2. Budžeta izdevumi:</w:t>
            </w:r>
          </w:p>
        </w:tc>
        <w:tc>
          <w:tcPr>
            <w:tcW w:w="629" w:type="pct"/>
            <w:vMerge w:val="restart"/>
            <w:tcBorders>
              <w:top w:val="single" w:sz="4" w:space="0" w:color="auto"/>
              <w:left w:val="single" w:sz="4" w:space="0" w:color="auto"/>
              <w:bottom w:val="single" w:sz="4" w:space="0" w:color="auto"/>
              <w:right w:val="single" w:sz="4" w:space="0" w:color="auto"/>
            </w:tcBorders>
            <w:vAlign w:val="center"/>
          </w:tcPr>
          <w:p w:rsidR="006E6DE1" w:rsidRDefault="006E6DE1" w:rsidP="00BA70AA">
            <w:pPr>
              <w:jc w:val="center"/>
            </w:pPr>
            <w:r w:rsidRPr="00A96276">
              <w:t>Nav attiecināms</w:t>
            </w:r>
          </w:p>
          <w:p w:rsidR="006E6DE1" w:rsidRPr="004268E7" w:rsidRDefault="006E6DE1" w:rsidP="00BA70AA">
            <w:pPr>
              <w:jc w:val="center"/>
            </w:pPr>
          </w:p>
        </w:tc>
        <w:tc>
          <w:tcPr>
            <w:tcW w:w="780" w:type="pct"/>
            <w:vMerge w:val="restart"/>
            <w:tcBorders>
              <w:top w:val="single" w:sz="4" w:space="0" w:color="auto"/>
              <w:left w:val="single" w:sz="4" w:space="0" w:color="auto"/>
              <w:bottom w:val="single" w:sz="4" w:space="0" w:color="auto"/>
              <w:right w:val="single" w:sz="4" w:space="0" w:color="auto"/>
            </w:tcBorders>
            <w:vAlign w:val="center"/>
          </w:tcPr>
          <w:p w:rsidR="006E6DE1" w:rsidRDefault="006E6DE1" w:rsidP="00BA70AA">
            <w:pPr>
              <w:jc w:val="center"/>
            </w:pPr>
            <w:r w:rsidRPr="00A96276">
              <w:t>Nav attiecināms</w:t>
            </w:r>
          </w:p>
          <w:p w:rsidR="006E6DE1" w:rsidRPr="004268E7" w:rsidRDefault="006E6DE1" w:rsidP="00BA70AA">
            <w:pPr>
              <w:jc w:val="center"/>
            </w:pPr>
          </w:p>
        </w:tc>
        <w:tc>
          <w:tcPr>
            <w:tcW w:w="629" w:type="pct"/>
            <w:vMerge w:val="restart"/>
            <w:tcBorders>
              <w:top w:val="single" w:sz="4" w:space="0" w:color="auto"/>
              <w:left w:val="single" w:sz="4" w:space="0" w:color="auto"/>
              <w:bottom w:val="single" w:sz="4" w:space="0" w:color="auto"/>
              <w:right w:val="single" w:sz="4" w:space="0" w:color="auto"/>
            </w:tcBorders>
            <w:vAlign w:val="center"/>
          </w:tcPr>
          <w:p w:rsidR="006E6DE1" w:rsidRDefault="006E6DE1" w:rsidP="00BA70AA">
            <w:pPr>
              <w:jc w:val="center"/>
            </w:pPr>
            <w:r w:rsidRPr="00A96276">
              <w:t>Nav attiecināms</w:t>
            </w:r>
          </w:p>
          <w:p w:rsidR="006E6DE1" w:rsidRPr="004268E7" w:rsidRDefault="006E6DE1" w:rsidP="00BA70AA">
            <w:pPr>
              <w:jc w:val="center"/>
            </w:pPr>
          </w:p>
        </w:tc>
        <w:tc>
          <w:tcPr>
            <w:tcW w:w="629" w:type="pct"/>
            <w:vMerge w:val="restart"/>
            <w:tcBorders>
              <w:top w:val="single" w:sz="4" w:space="0" w:color="auto"/>
              <w:left w:val="single" w:sz="4" w:space="0" w:color="auto"/>
              <w:bottom w:val="single" w:sz="4" w:space="0" w:color="auto"/>
              <w:right w:val="single" w:sz="4" w:space="0" w:color="auto"/>
            </w:tcBorders>
            <w:vAlign w:val="center"/>
          </w:tcPr>
          <w:p w:rsidR="006E6DE1" w:rsidRDefault="006E6DE1" w:rsidP="00BA70AA">
            <w:pPr>
              <w:jc w:val="center"/>
            </w:pPr>
            <w:r w:rsidRPr="00A96276">
              <w:t>Nav attiecināms</w:t>
            </w:r>
          </w:p>
          <w:p w:rsidR="006E6DE1" w:rsidRPr="004268E7" w:rsidRDefault="006E6DE1" w:rsidP="00BA70AA">
            <w:pPr>
              <w:jc w:val="center"/>
            </w:pPr>
          </w:p>
        </w:tc>
        <w:tc>
          <w:tcPr>
            <w:tcW w:w="717" w:type="pct"/>
            <w:vMerge w:val="restart"/>
            <w:tcBorders>
              <w:top w:val="single" w:sz="4" w:space="0" w:color="auto"/>
              <w:left w:val="single" w:sz="4" w:space="0" w:color="auto"/>
              <w:bottom w:val="single" w:sz="4" w:space="0" w:color="auto"/>
              <w:right w:val="single" w:sz="4" w:space="0" w:color="auto"/>
            </w:tcBorders>
            <w:vAlign w:val="center"/>
          </w:tcPr>
          <w:p w:rsidR="006E6DE1" w:rsidRDefault="006E6DE1" w:rsidP="00BA70AA">
            <w:pPr>
              <w:jc w:val="center"/>
            </w:pPr>
            <w:r w:rsidRPr="00A96276">
              <w:t>Nav attiecināms</w:t>
            </w:r>
          </w:p>
          <w:p w:rsidR="006E6DE1" w:rsidRPr="004268E7" w:rsidRDefault="006E6DE1" w:rsidP="00BA70AA">
            <w:pPr>
              <w:jc w:val="center"/>
            </w:pPr>
          </w:p>
        </w:tc>
      </w:tr>
      <w:tr w:rsidR="006E6DE1" w:rsidRPr="004268E7" w:rsidTr="00BA70AA">
        <w:tc>
          <w:tcPr>
            <w:tcW w:w="1615" w:type="pct"/>
            <w:tcBorders>
              <w:top w:val="single" w:sz="4" w:space="0" w:color="auto"/>
              <w:left w:val="single" w:sz="4" w:space="0" w:color="auto"/>
              <w:bottom w:val="single" w:sz="4" w:space="0" w:color="auto"/>
              <w:right w:val="single" w:sz="4" w:space="0" w:color="auto"/>
            </w:tcBorders>
          </w:tcPr>
          <w:p w:rsidR="006E6DE1" w:rsidRPr="004268E7" w:rsidRDefault="006E6DE1" w:rsidP="00BA70AA">
            <w:pPr>
              <w:spacing w:before="100" w:beforeAutospacing="1" w:after="100" w:afterAutospacing="1"/>
            </w:pPr>
            <w:r w:rsidRPr="004268E7">
              <w:t>2.1. valsts pamatbudžets</w:t>
            </w:r>
          </w:p>
        </w:tc>
        <w:tc>
          <w:tcPr>
            <w:tcW w:w="629" w:type="pct"/>
            <w:vMerge/>
            <w:tcBorders>
              <w:top w:val="single" w:sz="4" w:space="0" w:color="auto"/>
              <w:left w:val="single" w:sz="4" w:space="0" w:color="auto"/>
              <w:bottom w:val="single" w:sz="4" w:space="0" w:color="auto"/>
              <w:right w:val="single" w:sz="4" w:space="0" w:color="auto"/>
            </w:tcBorders>
            <w:vAlign w:val="center"/>
          </w:tcPr>
          <w:p w:rsidR="006E6DE1" w:rsidRPr="004268E7" w:rsidRDefault="006E6DE1" w:rsidP="00BA70AA">
            <w:pPr>
              <w:spacing w:line="360" w:lineRule="auto"/>
              <w:jc w:val="center"/>
            </w:pPr>
          </w:p>
        </w:tc>
        <w:tc>
          <w:tcPr>
            <w:tcW w:w="780" w:type="pct"/>
            <w:vMerge/>
            <w:tcBorders>
              <w:top w:val="single" w:sz="4" w:space="0" w:color="auto"/>
              <w:left w:val="single" w:sz="4" w:space="0" w:color="auto"/>
              <w:bottom w:val="single" w:sz="4" w:space="0" w:color="auto"/>
              <w:right w:val="single" w:sz="4" w:space="0" w:color="auto"/>
            </w:tcBorders>
            <w:vAlign w:val="center"/>
          </w:tcPr>
          <w:p w:rsidR="006E6DE1" w:rsidRPr="004268E7" w:rsidRDefault="006E6DE1" w:rsidP="00BA70AA">
            <w:pPr>
              <w:spacing w:line="360" w:lineRule="auto"/>
              <w:jc w:val="center"/>
            </w:pPr>
          </w:p>
        </w:tc>
        <w:tc>
          <w:tcPr>
            <w:tcW w:w="629" w:type="pct"/>
            <w:vMerge/>
            <w:tcBorders>
              <w:top w:val="single" w:sz="4" w:space="0" w:color="auto"/>
              <w:left w:val="single" w:sz="4" w:space="0" w:color="auto"/>
              <w:bottom w:val="single" w:sz="4" w:space="0" w:color="auto"/>
              <w:right w:val="single" w:sz="4" w:space="0" w:color="auto"/>
            </w:tcBorders>
            <w:vAlign w:val="center"/>
          </w:tcPr>
          <w:p w:rsidR="006E6DE1" w:rsidRPr="004268E7" w:rsidRDefault="006E6DE1" w:rsidP="00BA70AA">
            <w:pPr>
              <w:jc w:val="center"/>
            </w:pPr>
          </w:p>
        </w:tc>
        <w:tc>
          <w:tcPr>
            <w:tcW w:w="629" w:type="pct"/>
            <w:vMerge/>
            <w:tcBorders>
              <w:top w:val="single" w:sz="4" w:space="0" w:color="auto"/>
              <w:left w:val="single" w:sz="4" w:space="0" w:color="auto"/>
              <w:bottom w:val="single" w:sz="4" w:space="0" w:color="auto"/>
              <w:right w:val="single" w:sz="4" w:space="0" w:color="auto"/>
            </w:tcBorders>
            <w:vAlign w:val="center"/>
          </w:tcPr>
          <w:p w:rsidR="006E6DE1" w:rsidRPr="004268E7" w:rsidRDefault="006E6DE1" w:rsidP="00BA70AA">
            <w:pPr>
              <w:jc w:val="center"/>
            </w:pPr>
          </w:p>
        </w:tc>
        <w:tc>
          <w:tcPr>
            <w:tcW w:w="717" w:type="pct"/>
            <w:vMerge/>
            <w:tcBorders>
              <w:top w:val="single" w:sz="4" w:space="0" w:color="auto"/>
              <w:left w:val="single" w:sz="4" w:space="0" w:color="auto"/>
              <w:bottom w:val="single" w:sz="4" w:space="0" w:color="auto"/>
              <w:right w:val="single" w:sz="4" w:space="0" w:color="auto"/>
            </w:tcBorders>
            <w:vAlign w:val="center"/>
          </w:tcPr>
          <w:p w:rsidR="006E6DE1" w:rsidRPr="004268E7" w:rsidRDefault="006E6DE1" w:rsidP="00BA70AA">
            <w:pPr>
              <w:jc w:val="center"/>
            </w:pPr>
          </w:p>
        </w:tc>
      </w:tr>
      <w:tr w:rsidR="006E6DE1" w:rsidRPr="004268E7" w:rsidTr="00BA70AA">
        <w:tc>
          <w:tcPr>
            <w:tcW w:w="1615" w:type="pct"/>
            <w:tcBorders>
              <w:top w:val="single" w:sz="4" w:space="0" w:color="auto"/>
              <w:left w:val="single" w:sz="4" w:space="0" w:color="auto"/>
              <w:bottom w:val="single" w:sz="4" w:space="0" w:color="auto"/>
              <w:right w:val="single" w:sz="4" w:space="0" w:color="auto"/>
            </w:tcBorders>
          </w:tcPr>
          <w:p w:rsidR="006E6DE1" w:rsidRPr="004268E7" w:rsidRDefault="006E6DE1" w:rsidP="00BA70AA">
            <w:pPr>
              <w:spacing w:before="100" w:beforeAutospacing="1" w:after="100" w:afterAutospacing="1"/>
            </w:pPr>
            <w:r w:rsidRPr="004268E7">
              <w:t>2.2. valsts speciālais budžets</w:t>
            </w:r>
          </w:p>
        </w:tc>
        <w:tc>
          <w:tcPr>
            <w:tcW w:w="629" w:type="pct"/>
            <w:vMerge/>
            <w:tcBorders>
              <w:top w:val="single" w:sz="4" w:space="0" w:color="auto"/>
              <w:left w:val="single" w:sz="4" w:space="0" w:color="auto"/>
              <w:bottom w:val="single" w:sz="4" w:space="0" w:color="auto"/>
              <w:right w:val="single" w:sz="4" w:space="0" w:color="auto"/>
            </w:tcBorders>
            <w:vAlign w:val="center"/>
          </w:tcPr>
          <w:p w:rsidR="006E6DE1" w:rsidRPr="004268E7" w:rsidRDefault="006E6DE1" w:rsidP="00BA70AA">
            <w:pPr>
              <w:jc w:val="center"/>
            </w:pPr>
          </w:p>
        </w:tc>
        <w:tc>
          <w:tcPr>
            <w:tcW w:w="780" w:type="pct"/>
            <w:vMerge/>
            <w:tcBorders>
              <w:top w:val="single" w:sz="4" w:space="0" w:color="auto"/>
              <w:left w:val="single" w:sz="4" w:space="0" w:color="auto"/>
              <w:bottom w:val="single" w:sz="4" w:space="0" w:color="auto"/>
              <w:right w:val="single" w:sz="4" w:space="0" w:color="auto"/>
            </w:tcBorders>
            <w:vAlign w:val="center"/>
          </w:tcPr>
          <w:p w:rsidR="006E6DE1" w:rsidRPr="004268E7" w:rsidRDefault="006E6DE1" w:rsidP="00BA70AA">
            <w:pPr>
              <w:jc w:val="center"/>
            </w:pPr>
          </w:p>
        </w:tc>
        <w:tc>
          <w:tcPr>
            <w:tcW w:w="629" w:type="pct"/>
            <w:vMerge/>
            <w:tcBorders>
              <w:top w:val="single" w:sz="4" w:space="0" w:color="auto"/>
              <w:left w:val="single" w:sz="4" w:space="0" w:color="auto"/>
              <w:bottom w:val="single" w:sz="4" w:space="0" w:color="auto"/>
              <w:right w:val="single" w:sz="4" w:space="0" w:color="auto"/>
            </w:tcBorders>
            <w:vAlign w:val="center"/>
          </w:tcPr>
          <w:p w:rsidR="006E6DE1" w:rsidRPr="004268E7" w:rsidRDefault="006E6DE1" w:rsidP="00BA70AA">
            <w:pPr>
              <w:jc w:val="center"/>
            </w:pPr>
          </w:p>
        </w:tc>
        <w:tc>
          <w:tcPr>
            <w:tcW w:w="629" w:type="pct"/>
            <w:vMerge/>
            <w:tcBorders>
              <w:top w:val="single" w:sz="4" w:space="0" w:color="auto"/>
              <w:left w:val="single" w:sz="4" w:space="0" w:color="auto"/>
              <w:bottom w:val="single" w:sz="4" w:space="0" w:color="auto"/>
              <w:right w:val="single" w:sz="4" w:space="0" w:color="auto"/>
            </w:tcBorders>
            <w:vAlign w:val="center"/>
          </w:tcPr>
          <w:p w:rsidR="006E6DE1" w:rsidRPr="004268E7" w:rsidRDefault="006E6DE1" w:rsidP="00BA70AA">
            <w:pPr>
              <w:jc w:val="center"/>
            </w:pPr>
          </w:p>
        </w:tc>
        <w:tc>
          <w:tcPr>
            <w:tcW w:w="717" w:type="pct"/>
            <w:vMerge/>
            <w:tcBorders>
              <w:top w:val="single" w:sz="4" w:space="0" w:color="auto"/>
              <w:left w:val="single" w:sz="4" w:space="0" w:color="auto"/>
              <w:bottom w:val="single" w:sz="4" w:space="0" w:color="auto"/>
              <w:right w:val="single" w:sz="4" w:space="0" w:color="auto"/>
            </w:tcBorders>
            <w:vAlign w:val="center"/>
          </w:tcPr>
          <w:p w:rsidR="006E6DE1" w:rsidRPr="004268E7" w:rsidRDefault="006E6DE1" w:rsidP="00BA70AA">
            <w:pPr>
              <w:jc w:val="center"/>
            </w:pPr>
          </w:p>
        </w:tc>
      </w:tr>
      <w:tr w:rsidR="006E6DE1" w:rsidRPr="004268E7" w:rsidTr="00BA70AA">
        <w:tc>
          <w:tcPr>
            <w:tcW w:w="1615" w:type="pct"/>
            <w:tcBorders>
              <w:top w:val="single" w:sz="4" w:space="0" w:color="auto"/>
              <w:left w:val="single" w:sz="4" w:space="0" w:color="auto"/>
              <w:bottom w:val="single" w:sz="4" w:space="0" w:color="auto"/>
              <w:right w:val="single" w:sz="4" w:space="0" w:color="auto"/>
            </w:tcBorders>
          </w:tcPr>
          <w:p w:rsidR="006E6DE1" w:rsidRPr="004268E7" w:rsidRDefault="006E6DE1" w:rsidP="00BA70AA">
            <w:pPr>
              <w:spacing w:before="100" w:beforeAutospacing="1" w:after="100" w:afterAutospacing="1"/>
            </w:pPr>
            <w:r w:rsidRPr="004268E7">
              <w:t>2.3. pašvaldību budžets</w:t>
            </w:r>
          </w:p>
        </w:tc>
        <w:tc>
          <w:tcPr>
            <w:tcW w:w="629" w:type="pct"/>
            <w:vMerge/>
            <w:tcBorders>
              <w:top w:val="single" w:sz="4" w:space="0" w:color="auto"/>
              <w:left w:val="single" w:sz="4" w:space="0" w:color="auto"/>
              <w:bottom w:val="single" w:sz="4" w:space="0" w:color="auto"/>
              <w:right w:val="single" w:sz="4" w:space="0" w:color="auto"/>
            </w:tcBorders>
            <w:vAlign w:val="center"/>
          </w:tcPr>
          <w:p w:rsidR="006E6DE1" w:rsidRPr="004268E7" w:rsidRDefault="006E6DE1" w:rsidP="00BA70AA">
            <w:pPr>
              <w:spacing w:line="360" w:lineRule="auto"/>
              <w:jc w:val="center"/>
            </w:pPr>
          </w:p>
        </w:tc>
        <w:tc>
          <w:tcPr>
            <w:tcW w:w="780" w:type="pct"/>
            <w:vMerge/>
            <w:tcBorders>
              <w:top w:val="single" w:sz="4" w:space="0" w:color="auto"/>
              <w:left w:val="single" w:sz="4" w:space="0" w:color="auto"/>
              <w:bottom w:val="single" w:sz="4" w:space="0" w:color="auto"/>
              <w:right w:val="single" w:sz="4" w:space="0" w:color="auto"/>
            </w:tcBorders>
            <w:vAlign w:val="center"/>
          </w:tcPr>
          <w:p w:rsidR="006E6DE1" w:rsidRPr="004268E7" w:rsidRDefault="006E6DE1" w:rsidP="00BA70AA">
            <w:pPr>
              <w:jc w:val="center"/>
            </w:pPr>
          </w:p>
        </w:tc>
        <w:tc>
          <w:tcPr>
            <w:tcW w:w="629" w:type="pct"/>
            <w:vMerge/>
            <w:tcBorders>
              <w:top w:val="single" w:sz="4" w:space="0" w:color="auto"/>
              <w:left w:val="single" w:sz="4" w:space="0" w:color="auto"/>
              <w:bottom w:val="single" w:sz="4" w:space="0" w:color="auto"/>
              <w:right w:val="single" w:sz="4" w:space="0" w:color="auto"/>
            </w:tcBorders>
            <w:vAlign w:val="center"/>
          </w:tcPr>
          <w:p w:rsidR="006E6DE1" w:rsidRPr="004268E7" w:rsidRDefault="006E6DE1" w:rsidP="00BA70AA">
            <w:pPr>
              <w:jc w:val="center"/>
            </w:pPr>
          </w:p>
        </w:tc>
        <w:tc>
          <w:tcPr>
            <w:tcW w:w="629" w:type="pct"/>
            <w:vMerge/>
            <w:tcBorders>
              <w:top w:val="single" w:sz="4" w:space="0" w:color="auto"/>
              <w:left w:val="single" w:sz="4" w:space="0" w:color="auto"/>
              <w:bottom w:val="single" w:sz="4" w:space="0" w:color="auto"/>
              <w:right w:val="single" w:sz="4" w:space="0" w:color="auto"/>
            </w:tcBorders>
            <w:vAlign w:val="center"/>
          </w:tcPr>
          <w:p w:rsidR="006E6DE1" w:rsidRPr="004268E7" w:rsidRDefault="006E6DE1" w:rsidP="00BA70AA">
            <w:pPr>
              <w:jc w:val="center"/>
            </w:pPr>
          </w:p>
        </w:tc>
        <w:tc>
          <w:tcPr>
            <w:tcW w:w="717" w:type="pct"/>
            <w:vMerge/>
            <w:tcBorders>
              <w:top w:val="single" w:sz="4" w:space="0" w:color="auto"/>
              <w:left w:val="single" w:sz="4" w:space="0" w:color="auto"/>
              <w:bottom w:val="single" w:sz="4" w:space="0" w:color="auto"/>
              <w:right w:val="single" w:sz="4" w:space="0" w:color="auto"/>
            </w:tcBorders>
            <w:vAlign w:val="center"/>
          </w:tcPr>
          <w:p w:rsidR="006E6DE1" w:rsidRPr="004268E7" w:rsidRDefault="006E6DE1" w:rsidP="00BA70AA">
            <w:pPr>
              <w:jc w:val="center"/>
            </w:pPr>
          </w:p>
        </w:tc>
      </w:tr>
      <w:tr w:rsidR="006E6DE1" w:rsidRPr="004268E7" w:rsidTr="00BA70AA">
        <w:tc>
          <w:tcPr>
            <w:tcW w:w="1615" w:type="pct"/>
            <w:tcBorders>
              <w:top w:val="single" w:sz="4" w:space="0" w:color="auto"/>
              <w:left w:val="outset" w:sz="6" w:space="0" w:color="000000"/>
              <w:bottom w:val="outset" w:sz="6" w:space="0" w:color="000000"/>
              <w:right w:val="outset" w:sz="6" w:space="0" w:color="000000"/>
            </w:tcBorders>
          </w:tcPr>
          <w:p w:rsidR="006E6DE1" w:rsidRPr="004268E7" w:rsidRDefault="006E6DE1" w:rsidP="00BA70AA">
            <w:pPr>
              <w:spacing w:before="100" w:beforeAutospacing="1" w:after="100" w:afterAutospacing="1"/>
            </w:pPr>
            <w:r w:rsidRPr="004268E7">
              <w:lastRenderedPageBreak/>
              <w:t>3. Finansiālā ietekme:</w:t>
            </w:r>
          </w:p>
        </w:tc>
        <w:tc>
          <w:tcPr>
            <w:tcW w:w="629" w:type="pct"/>
            <w:vMerge w:val="restart"/>
            <w:tcBorders>
              <w:top w:val="single" w:sz="4" w:space="0" w:color="auto"/>
              <w:left w:val="outset" w:sz="6" w:space="0" w:color="000000"/>
              <w:right w:val="outset" w:sz="6" w:space="0" w:color="000000"/>
            </w:tcBorders>
            <w:vAlign w:val="center"/>
          </w:tcPr>
          <w:p w:rsidR="006E6DE1" w:rsidRDefault="006E6DE1" w:rsidP="00BA70AA">
            <w:pPr>
              <w:jc w:val="center"/>
            </w:pPr>
            <w:r w:rsidRPr="00A96276">
              <w:t>Nav attiecināms</w:t>
            </w:r>
          </w:p>
          <w:p w:rsidR="006E6DE1" w:rsidRPr="004268E7" w:rsidRDefault="006E6DE1" w:rsidP="00BA70AA">
            <w:pPr>
              <w:jc w:val="center"/>
            </w:pPr>
          </w:p>
        </w:tc>
        <w:tc>
          <w:tcPr>
            <w:tcW w:w="780" w:type="pct"/>
            <w:vMerge w:val="restart"/>
            <w:tcBorders>
              <w:top w:val="single" w:sz="4" w:space="0" w:color="auto"/>
              <w:left w:val="outset" w:sz="6" w:space="0" w:color="000000"/>
              <w:right w:val="outset" w:sz="6" w:space="0" w:color="000000"/>
            </w:tcBorders>
            <w:vAlign w:val="center"/>
          </w:tcPr>
          <w:p w:rsidR="006E6DE1" w:rsidRDefault="006E6DE1" w:rsidP="00BA70AA">
            <w:pPr>
              <w:jc w:val="center"/>
            </w:pPr>
            <w:r w:rsidRPr="00A96276">
              <w:t>Nav attiecināms</w:t>
            </w:r>
          </w:p>
          <w:p w:rsidR="006E6DE1" w:rsidRPr="004268E7" w:rsidRDefault="006E6DE1" w:rsidP="00BA70AA">
            <w:pPr>
              <w:jc w:val="center"/>
              <w:rPr>
                <w:highlight w:val="yellow"/>
              </w:rPr>
            </w:pPr>
          </w:p>
        </w:tc>
        <w:tc>
          <w:tcPr>
            <w:tcW w:w="629" w:type="pct"/>
            <w:vMerge w:val="restart"/>
            <w:tcBorders>
              <w:top w:val="single" w:sz="4" w:space="0" w:color="auto"/>
              <w:left w:val="outset" w:sz="6" w:space="0" w:color="000000"/>
              <w:right w:val="outset" w:sz="6" w:space="0" w:color="000000"/>
            </w:tcBorders>
            <w:vAlign w:val="center"/>
          </w:tcPr>
          <w:p w:rsidR="006E6DE1" w:rsidRDefault="006E6DE1" w:rsidP="00BA70AA">
            <w:pPr>
              <w:jc w:val="center"/>
            </w:pPr>
            <w:r w:rsidRPr="00A96276">
              <w:t>Nav attiecināms</w:t>
            </w:r>
          </w:p>
          <w:p w:rsidR="006E6DE1" w:rsidRPr="004268E7" w:rsidRDefault="006E6DE1" w:rsidP="00BA70AA">
            <w:pPr>
              <w:jc w:val="center"/>
            </w:pPr>
          </w:p>
        </w:tc>
        <w:tc>
          <w:tcPr>
            <w:tcW w:w="629" w:type="pct"/>
            <w:vMerge w:val="restart"/>
            <w:tcBorders>
              <w:top w:val="single" w:sz="4" w:space="0" w:color="auto"/>
              <w:left w:val="outset" w:sz="6" w:space="0" w:color="000000"/>
              <w:right w:val="outset" w:sz="6" w:space="0" w:color="000000"/>
            </w:tcBorders>
            <w:vAlign w:val="center"/>
          </w:tcPr>
          <w:p w:rsidR="006E6DE1" w:rsidRDefault="006E6DE1" w:rsidP="00BA70AA">
            <w:pPr>
              <w:jc w:val="center"/>
            </w:pPr>
            <w:r w:rsidRPr="00A96276">
              <w:t>Nav attiecināms</w:t>
            </w:r>
          </w:p>
          <w:p w:rsidR="006E6DE1" w:rsidRPr="004268E7" w:rsidRDefault="006E6DE1" w:rsidP="00BA70AA">
            <w:pPr>
              <w:jc w:val="center"/>
            </w:pPr>
          </w:p>
        </w:tc>
        <w:tc>
          <w:tcPr>
            <w:tcW w:w="717" w:type="pct"/>
            <w:vMerge w:val="restart"/>
            <w:tcBorders>
              <w:top w:val="single" w:sz="4" w:space="0" w:color="auto"/>
              <w:left w:val="outset" w:sz="6" w:space="0" w:color="000000"/>
              <w:right w:val="outset" w:sz="6" w:space="0" w:color="000000"/>
            </w:tcBorders>
            <w:vAlign w:val="center"/>
          </w:tcPr>
          <w:p w:rsidR="006E6DE1" w:rsidRDefault="006E6DE1" w:rsidP="00BA70AA">
            <w:pPr>
              <w:jc w:val="center"/>
            </w:pPr>
            <w:r w:rsidRPr="00A96276">
              <w:t>Nav attiecināms</w:t>
            </w:r>
          </w:p>
          <w:p w:rsidR="006E6DE1" w:rsidRPr="004268E7" w:rsidRDefault="006E6DE1" w:rsidP="00BA70AA">
            <w:pPr>
              <w:jc w:val="center"/>
            </w:pPr>
          </w:p>
        </w:tc>
      </w:tr>
      <w:tr w:rsidR="006E6DE1" w:rsidRPr="004268E7" w:rsidTr="00BA70AA">
        <w:tc>
          <w:tcPr>
            <w:tcW w:w="1615" w:type="pct"/>
            <w:tcBorders>
              <w:top w:val="outset" w:sz="6" w:space="0" w:color="000000"/>
              <w:left w:val="outset" w:sz="6" w:space="0" w:color="000000"/>
              <w:bottom w:val="outset" w:sz="6" w:space="0" w:color="000000"/>
              <w:right w:val="outset" w:sz="6" w:space="0" w:color="000000"/>
            </w:tcBorders>
          </w:tcPr>
          <w:p w:rsidR="006E6DE1" w:rsidRPr="004268E7" w:rsidRDefault="006E6DE1" w:rsidP="00BA70AA">
            <w:pPr>
              <w:spacing w:before="100" w:beforeAutospacing="1" w:after="100" w:afterAutospacing="1"/>
            </w:pPr>
            <w:r w:rsidRPr="004268E7">
              <w:t>3.1. valsts pamatbudžets</w:t>
            </w:r>
          </w:p>
        </w:tc>
        <w:tc>
          <w:tcPr>
            <w:tcW w:w="629" w:type="pct"/>
            <w:vMerge/>
            <w:tcBorders>
              <w:left w:val="outset" w:sz="6" w:space="0" w:color="000000"/>
              <w:right w:val="outset" w:sz="6" w:space="0" w:color="000000"/>
            </w:tcBorders>
            <w:vAlign w:val="center"/>
          </w:tcPr>
          <w:p w:rsidR="006E6DE1" w:rsidRPr="004268E7" w:rsidRDefault="006E6DE1" w:rsidP="00BA70AA">
            <w:pPr>
              <w:spacing w:line="360" w:lineRule="auto"/>
              <w:jc w:val="center"/>
            </w:pPr>
          </w:p>
        </w:tc>
        <w:tc>
          <w:tcPr>
            <w:tcW w:w="780" w:type="pct"/>
            <w:vMerge/>
            <w:tcBorders>
              <w:left w:val="outset" w:sz="6" w:space="0" w:color="000000"/>
              <w:right w:val="outset" w:sz="6" w:space="0" w:color="000000"/>
            </w:tcBorders>
            <w:vAlign w:val="center"/>
          </w:tcPr>
          <w:p w:rsidR="006E6DE1" w:rsidRPr="004268E7" w:rsidRDefault="006E6DE1" w:rsidP="00BA70AA">
            <w:pPr>
              <w:spacing w:line="360" w:lineRule="auto"/>
              <w:jc w:val="center"/>
              <w:rPr>
                <w:highlight w:val="yellow"/>
              </w:rPr>
            </w:pPr>
          </w:p>
        </w:tc>
        <w:tc>
          <w:tcPr>
            <w:tcW w:w="629" w:type="pct"/>
            <w:vMerge/>
            <w:tcBorders>
              <w:left w:val="outset" w:sz="6" w:space="0" w:color="000000"/>
              <w:right w:val="outset" w:sz="6" w:space="0" w:color="000000"/>
            </w:tcBorders>
            <w:vAlign w:val="center"/>
          </w:tcPr>
          <w:p w:rsidR="006E6DE1" w:rsidRPr="004268E7" w:rsidRDefault="006E6DE1" w:rsidP="00BA70AA">
            <w:pPr>
              <w:jc w:val="center"/>
            </w:pPr>
          </w:p>
        </w:tc>
        <w:tc>
          <w:tcPr>
            <w:tcW w:w="629" w:type="pct"/>
            <w:vMerge/>
            <w:tcBorders>
              <w:left w:val="outset" w:sz="6" w:space="0" w:color="000000"/>
              <w:right w:val="outset" w:sz="6" w:space="0" w:color="000000"/>
            </w:tcBorders>
            <w:vAlign w:val="center"/>
          </w:tcPr>
          <w:p w:rsidR="006E6DE1" w:rsidRPr="004268E7" w:rsidRDefault="006E6DE1" w:rsidP="00BA70AA">
            <w:pPr>
              <w:jc w:val="center"/>
            </w:pPr>
          </w:p>
        </w:tc>
        <w:tc>
          <w:tcPr>
            <w:tcW w:w="717" w:type="pct"/>
            <w:vMerge/>
            <w:tcBorders>
              <w:left w:val="outset" w:sz="6" w:space="0" w:color="000000"/>
              <w:right w:val="outset" w:sz="6" w:space="0" w:color="000000"/>
            </w:tcBorders>
            <w:vAlign w:val="center"/>
          </w:tcPr>
          <w:p w:rsidR="006E6DE1" w:rsidRPr="004268E7" w:rsidRDefault="006E6DE1" w:rsidP="00BA70AA">
            <w:pPr>
              <w:jc w:val="center"/>
            </w:pPr>
          </w:p>
        </w:tc>
      </w:tr>
      <w:tr w:rsidR="006E6DE1" w:rsidRPr="004268E7" w:rsidTr="00BA70AA">
        <w:tc>
          <w:tcPr>
            <w:tcW w:w="1615" w:type="pct"/>
            <w:tcBorders>
              <w:top w:val="outset" w:sz="6" w:space="0" w:color="000000"/>
              <w:left w:val="outset" w:sz="6" w:space="0" w:color="000000"/>
              <w:bottom w:val="outset" w:sz="6" w:space="0" w:color="000000"/>
              <w:right w:val="outset" w:sz="6" w:space="0" w:color="000000"/>
            </w:tcBorders>
          </w:tcPr>
          <w:p w:rsidR="006E6DE1" w:rsidRPr="004268E7" w:rsidRDefault="006E6DE1" w:rsidP="00BA70AA">
            <w:pPr>
              <w:spacing w:before="100" w:beforeAutospacing="1" w:after="100" w:afterAutospacing="1"/>
            </w:pPr>
            <w:r w:rsidRPr="004268E7">
              <w:t>3.2. speciālais budžets</w:t>
            </w:r>
          </w:p>
        </w:tc>
        <w:tc>
          <w:tcPr>
            <w:tcW w:w="629" w:type="pct"/>
            <w:vMerge/>
            <w:tcBorders>
              <w:left w:val="outset" w:sz="6" w:space="0" w:color="000000"/>
              <w:right w:val="outset" w:sz="6" w:space="0" w:color="000000"/>
            </w:tcBorders>
            <w:vAlign w:val="center"/>
          </w:tcPr>
          <w:p w:rsidR="006E6DE1" w:rsidRPr="004268E7" w:rsidRDefault="006E6DE1" w:rsidP="00BA70AA">
            <w:pPr>
              <w:spacing w:line="360" w:lineRule="auto"/>
              <w:jc w:val="center"/>
            </w:pPr>
          </w:p>
        </w:tc>
        <w:tc>
          <w:tcPr>
            <w:tcW w:w="780" w:type="pct"/>
            <w:vMerge/>
            <w:tcBorders>
              <w:left w:val="outset" w:sz="6" w:space="0" w:color="000000"/>
              <w:right w:val="outset" w:sz="6" w:space="0" w:color="000000"/>
            </w:tcBorders>
            <w:vAlign w:val="center"/>
          </w:tcPr>
          <w:p w:rsidR="006E6DE1" w:rsidRPr="004268E7" w:rsidRDefault="006E6DE1" w:rsidP="00BA70AA">
            <w:pPr>
              <w:jc w:val="center"/>
            </w:pPr>
          </w:p>
        </w:tc>
        <w:tc>
          <w:tcPr>
            <w:tcW w:w="629" w:type="pct"/>
            <w:vMerge/>
            <w:tcBorders>
              <w:left w:val="outset" w:sz="6" w:space="0" w:color="000000"/>
              <w:right w:val="outset" w:sz="6" w:space="0" w:color="000000"/>
            </w:tcBorders>
            <w:vAlign w:val="center"/>
          </w:tcPr>
          <w:p w:rsidR="006E6DE1" w:rsidRPr="004268E7" w:rsidRDefault="006E6DE1" w:rsidP="00BA70AA">
            <w:pPr>
              <w:jc w:val="center"/>
            </w:pPr>
          </w:p>
        </w:tc>
        <w:tc>
          <w:tcPr>
            <w:tcW w:w="629" w:type="pct"/>
            <w:vMerge/>
            <w:tcBorders>
              <w:left w:val="outset" w:sz="6" w:space="0" w:color="000000"/>
              <w:right w:val="outset" w:sz="6" w:space="0" w:color="000000"/>
            </w:tcBorders>
            <w:vAlign w:val="center"/>
          </w:tcPr>
          <w:p w:rsidR="006E6DE1" w:rsidRPr="004268E7" w:rsidRDefault="006E6DE1" w:rsidP="00BA70AA">
            <w:pPr>
              <w:jc w:val="center"/>
            </w:pPr>
          </w:p>
        </w:tc>
        <w:tc>
          <w:tcPr>
            <w:tcW w:w="717" w:type="pct"/>
            <w:vMerge/>
            <w:tcBorders>
              <w:left w:val="outset" w:sz="6" w:space="0" w:color="000000"/>
              <w:right w:val="outset" w:sz="6" w:space="0" w:color="000000"/>
            </w:tcBorders>
            <w:vAlign w:val="center"/>
          </w:tcPr>
          <w:p w:rsidR="006E6DE1" w:rsidRPr="004268E7" w:rsidRDefault="006E6DE1" w:rsidP="00BA70AA">
            <w:pPr>
              <w:jc w:val="center"/>
            </w:pPr>
          </w:p>
        </w:tc>
      </w:tr>
      <w:tr w:rsidR="006E6DE1" w:rsidRPr="004268E7" w:rsidTr="00BA70AA">
        <w:tc>
          <w:tcPr>
            <w:tcW w:w="1615" w:type="pct"/>
            <w:tcBorders>
              <w:top w:val="outset" w:sz="6" w:space="0" w:color="000000"/>
              <w:left w:val="outset" w:sz="6" w:space="0" w:color="000000"/>
              <w:bottom w:val="outset" w:sz="6" w:space="0" w:color="000000"/>
              <w:right w:val="outset" w:sz="6" w:space="0" w:color="000000"/>
            </w:tcBorders>
          </w:tcPr>
          <w:p w:rsidR="006E6DE1" w:rsidRPr="004268E7" w:rsidRDefault="006E6DE1" w:rsidP="00BA70AA">
            <w:pPr>
              <w:spacing w:before="100" w:beforeAutospacing="1" w:after="100" w:afterAutospacing="1"/>
            </w:pPr>
            <w:r w:rsidRPr="004268E7">
              <w:t>3.3. pašvaldību budžets</w:t>
            </w:r>
          </w:p>
        </w:tc>
        <w:tc>
          <w:tcPr>
            <w:tcW w:w="629" w:type="pct"/>
            <w:vMerge/>
            <w:tcBorders>
              <w:left w:val="outset" w:sz="6" w:space="0" w:color="000000"/>
              <w:bottom w:val="outset" w:sz="6" w:space="0" w:color="000000"/>
              <w:right w:val="outset" w:sz="6" w:space="0" w:color="000000"/>
            </w:tcBorders>
            <w:vAlign w:val="center"/>
          </w:tcPr>
          <w:p w:rsidR="006E6DE1" w:rsidRPr="004268E7" w:rsidRDefault="006E6DE1" w:rsidP="00BA70AA">
            <w:pPr>
              <w:spacing w:line="360" w:lineRule="auto"/>
              <w:jc w:val="center"/>
            </w:pPr>
          </w:p>
        </w:tc>
        <w:tc>
          <w:tcPr>
            <w:tcW w:w="780" w:type="pct"/>
            <w:vMerge/>
            <w:tcBorders>
              <w:left w:val="outset" w:sz="6" w:space="0" w:color="000000"/>
              <w:bottom w:val="outset" w:sz="6" w:space="0" w:color="000000"/>
              <w:right w:val="outset" w:sz="6" w:space="0" w:color="000000"/>
            </w:tcBorders>
            <w:vAlign w:val="center"/>
          </w:tcPr>
          <w:p w:rsidR="006E6DE1" w:rsidRPr="004268E7" w:rsidRDefault="006E6DE1" w:rsidP="00BA70AA">
            <w:pPr>
              <w:jc w:val="center"/>
            </w:pPr>
          </w:p>
        </w:tc>
        <w:tc>
          <w:tcPr>
            <w:tcW w:w="629" w:type="pct"/>
            <w:vMerge/>
            <w:tcBorders>
              <w:left w:val="outset" w:sz="6" w:space="0" w:color="000000"/>
              <w:bottom w:val="outset" w:sz="6" w:space="0" w:color="000000"/>
              <w:right w:val="outset" w:sz="6" w:space="0" w:color="000000"/>
            </w:tcBorders>
            <w:vAlign w:val="center"/>
          </w:tcPr>
          <w:p w:rsidR="006E6DE1" w:rsidRPr="004268E7" w:rsidRDefault="006E6DE1" w:rsidP="00BA70AA">
            <w:pPr>
              <w:jc w:val="center"/>
            </w:pPr>
          </w:p>
        </w:tc>
        <w:tc>
          <w:tcPr>
            <w:tcW w:w="629" w:type="pct"/>
            <w:vMerge/>
            <w:tcBorders>
              <w:left w:val="outset" w:sz="6" w:space="0" w:color="000000"/>
              <w:bottom w:val="outset" w:sz="6" w:space="0" w:color="000000"/>
              <w:right w:val="outset" w:sz="6" w:space="0" w:color="000000"/>
            </w:tcBorders>
            <w:vAlign w:val="center"/>
          </w:tcPr>
          <w:p w:rsidR="006E6DE1" w:rsidRPr="004268E7" w:rsidRDefault="006E6DE1" w:rsidP="00BA70AA">
            <w:pPr>
              <w:jc w:val="center"/>
            </w:pPr>
          </w:p>
        </w:tc>
        <w:tc>
          <w:tcPr>
            <w:tcW w:w="717" w:type="pct"/>
            <w:vMerge/>
            <w:tcBorders>
              <w:left w:val="outset" w:sz="6" w:space="0" w:color="000000"/>
              <w:bottom w:val="outset" w:sz="6" w:space="0" w:color="000000"/>
              <w:right w:val="outset" w:sz="6" w:space="0" w:color="000000"/>
            </w:tcBorders>
            <w:vAlign w:val="center"/>
          </w:tcPr>
          <w:p w:rsidR="006E6DE1" w:rsidRPr="004268E7" w:rsidRDefault="006E6DE1" w:rsidP="00BA70AA">
            <w:pPr>
              <w:jc w:val="center"/>
            </w:pPr>
          </w:p>
        </w:tc>
      </w:tr>
      <w:tr w:rsidR="006E6DE1" w:rsidRPr="004268E7" w:rsidTr="00BA70AA">
        <w:trPr>
          <w:trHeight w:val="1400"/>
        </w:trPr>
        <w:tc>
          <w:tcPr>
            <w:tcW w:w="1615" w:type="pct"/>
            <w:tcBorders>
              <w:top w:val="outset" w:sz="6" w:space="0" w:color="000000"/>
              <w:left w:val="outset" w:sz="6" w:space="0" w:color="000000"/>
              <w:bottom w:val="outset" w:sz="6" w:space="0" w:color="000000"/>
              <w:right w:val="outset" w:sz="6" w:space="0" w:color="000000"/>
            </w:tcBorders>
          </w:tcPr>
          <w:p w:rsidR="006E6DE1" w:rsidRPr="004268E7" w:rsidRDefault="006E6DE1" w:rsidP="00BA70AA">
            <w:pPr>
              <w:spacing w:before="100" w:beforeAutospacing="1" w:after="100" w:afterAutospacing="1"/>
              <w:jc w:val="both"/>
            </w:pPr>
            <w:r w:rsidRPr="004268E7">
              <w:t>4. Finanšu līdzekļi papildu izde</w:t>
            </w:r>
            <w:r w:rsidRPr="004268E7">
              <w:softHyphen/>
              <w:t>vumu finansēšanai (kompensējošu izdevumu samazinājumu norāda ar "+" zīmi)</w:t>
            </w:r>
          </w:p>
        </w:tc>
        <w:tc>
          <w:tcPr>
            <w:tcW w:w="629" w:type="pct"/>
            <w:tcBorders>
              <w:top w:val="outset" w:sz="6" w:space="0" w:color="000000"/>
              <w:left w:val="outset" w:sz="6" w:space="0" w:color="000000"/>
              <w:bottom w:val="outset" w:sz="6" w:space="0" w:color="000000"/>
              <w:right w:val="outset" w:sz="6" w:space="0" w:color="000000"/>
            </w:tcBorders>
            <w:vAlign w:val="center"/>
          </w:tcPr>
          <w:p w:rsidR="006E6DE1" w:rsidRPr="004268E7" w:rsidRDefault="006E6DE1" w:rsidP="00BA70AA">
            <w:pPr>
              <w:spacing w:before="100" w:beforeAutospacing="1" w:after="100" w:afterAutospacing="1"/>
              <w:jc w:val="center"/>
            </w:pPr>
            <w:r w:rsidRPr="004268E7">
              <w:t>X</w:t>
            </w:r>
          </w:p>
        </w:tc>
        <w:tc>
          <w:tcPr>
            <w:tcW w:w="780" w:type="pct"/>
            <w:tcBorders>
              <w:top w:val="outset" w:sz="6" w:space="0" w:color="000000"/>
              <w:left w:val="outset" w:sz="6" w:space="0" w:color="000000"/>
              <w:right w:val="outset" w:sz="6" w:space="0" w:color="000000"/>
            </w:tcBorders>
            <w:vAlign w:val="center"/>
          </w:tcPr>
          <w:p w:rsidR="006E6DE1" w:rsidRDefault="006E6DE1" w:rsidP="00BA70AA">
            <w:pPr>
              <w:jc w:val="center"/>
            </w:pPr>
            <w:r w:rsidRPr="00A96276">
              <w:t>Nav attiecināms</w:t>
            </w:r>
          </w:p>
          <w:p w:rsidR="006E6DE1" w:rsidRPr="004268E7" w:rsidRDefault="006E6DE1" w:rsidP="00BA70AA">
            <w:pPr>
              <w:jc w:val="center"/>
            </w:pPr>
          </w:p>
        </w:tc>
        <w:tc>
          <w:tcPr>
            <w:tcW w:w="629" w:type="pct"/>
            <w:tcBorders>
              <w:top w:val="outset" w:sz="6" w:space="0" w:color="000000"/>
              <w:left w:val="outset" w:sz="6" w:space="0" w:color="000000"/>
              <w:right w:val="outset" w:sz="6" w:space="0" w:color="000000"/>
            </w:tcBorders>
            <w:vAlign w:val="center"/>
          </w:tcPr>
          <w:p w:rsidR="006E6DE1" w:rsidRDefault="006E6DE1" w:rsidP="00BA70AA">
            <w:pPr>
              <w:jc w:val="center"/>
            </w:pPr>
            <w:r w:rsidRPr="00A96276">
              <w:t>Nav attiecināms</w:t>
            </w:r>
          </w:p>
          <w:p w:rsidR="006E6DE1" w:rsidRPr="004268E7" w:rsidRDefault="006E6DE1" w:rsidP="00BA70AA">
            <w:pPr>
              <w:jc w:val="center"/>
            </w:pPr>
          </w:p>
        </w:tc>
        <w:tc>
          <w:tcPr>
            <w:tcW w:w="629" w:type="pct"/>
            <w:tcBorders>
              <w:top w:val="outset" w:sz="6" w:space="0" w:color="000000"/>
              <w:left w:val="outset" w:sz="6" w:space="0" w:color="000000"/>
              <w:right w:val="outset" w:sz="6" w:space="0" w:color="000000"/>
            </w:tcBorders>
            <w:vAlign w:val="center"/>
          </w:tcPr>
          <w:p w:rsidR="006E6DE1" w:rsidRDefault="006E6DE1" w:rsidP="00BA70AA">
            <w:pPr>
              <w:jc w:val="center"/>
            </w:pPr>
            <w:r w:rsidRPr="00A96276">
              <w:t>Nav attiecināms</w:t>
            </w:r>
          </w:p>
          <w:p w:rsidR="006E6DE1" w:rsidRPr="004268E7" w:rsidRDefault="006E6DE1" w:rsidP="00BA70AA">
            <w:pPr>
              <w:jc w:val="center"/>
            </w:pPr>
          </w:p>
        </w:tc>
        <w:tc>
          <w:tcPr>
            <w:tcW w:w="717" w:type="pct"/>
            <w:tcBorders>
              <w:top w:val="outset" w:sz="6" w:space="0" w:color="000000"/>
              <w:left w:val="outset" w:sz="6" w:space="0" w:color="000000"/>
              <w:right w:val="outset" w:sz="6" w:space="0" w:color="000000"/>
            </w:tcBorders>
            <w:vAlign w:val="center"/>
          </w:tcPr>
          <w:p w:rsidR="006E6DE1" w:rsidRDefault="006E6DE1" w:rsidP="00BA70AA">
            <w:pPr>
              <w:jc w:val="center"/>
            </w:pPr>
            <w:r w:rsidRPr="00A96276">
              <w:t>Nav attiecināms</w:t>
            </w:r>
          </w:p>
          <w:p w:rsidR="006E6DE1" w:rsidRPr="004268E7" w:rsidRDefault="006E6DE1" w:rsidP="00BA70AA">
            <w:pPr>
              <w:jc w:val="center"/>
            </w:pPr>
          </w:p>
        </w:tc>
      </w:tr>
      <w:tr w:rsidR="006E6DE1" w:rsidRPr="004268E7" w:rsidTr="00BA70AA">
        <w:tc>
          <w:tcPr>
            <w:tcW w:w="1615" w:type="pct"/>
            <w:tcBorders>
              <w:top w:val="outset" w:sz="6" w:space="0" w:color="000000"/>
              <w:left w:val="outset" w:sz="6" w:space="0" w:color="000000"/>
              <w:bottom w:val="outset" w:sz="6" w:space="0" w:color="000000"/>
              <w:right w:val="outset" w:sz="6" w:space="0" w:color="000000"/>
            </w:tcBorders>
          </w:tcPr>
          <w:p w:rsidR="006E6DE1" w:rsidRPr="004268E7" w:rsidRDefault="006E6DE1" w:rsidP="00BA70AA">
            <w:pPr>
              <w:spacing w:before="100" w:beforeAutospacing="1" w:after="100" w:afterAutospacing="1"/>
            </w:pPr>
            <w:r w:rsidRPr="004268E7">
              <w:t>5. Precizēta finansiālā ietekme:</w:t>
            </w:r>
          </w:p>
        </w:tc>
        <w:tc>
          <w:tcPr>
            <w:tcW w:w="629" w:type="pct"/>
            <w:vMerge w:val="restart"/>
            <w:tcBorders>
              <w:top w:val="outset" w:sz="6" w:space="0" w:color="000000"/>
              <w:left w:val="outset" w:sz="6" w:space="0" w:color="000000"/>
              <w:bottom w:val="outset" w:sz="6" w:space="0" w:color="000000"/>
              <w:right w:val="outset" w:sz="6" w:space="0" w:color="000000"/>
            </w:tcBorders>
            <w:vAlign w:val="center"/>
          </w:tcPr>
          <w:p w:rsidR="006E6DE1" w:rsidRPr="004268E7" w:rsidRDefault="006E6DE1" w:rsidP="00BA70AA">
            <w:pPr>
              <w:spacing w:before="100" w:beforeAutospacing="1" w:after="100" w:afterAutospacing="1"/>
              <w:jc w:val="center"/>
            </w:pPr>
            <w:r w:rsidRPr="004268E7">
              <w:t>X</w:t>
            </w:r>
          </w:p>
        </w:tc>
        <w:tc>
          <w:tcPr>
            <w:tcW w:w="780" w:type="pct"/>
            <w:vMerge w:val="restart"/>
            <w:tcBorders>
              <w:top w:val="outset" w:sz="6" w:space="0" w:color="000000"/>
              <w:left w:val="outset" w:sz="6" w:space="0" w:color="000000"/>
              <w:right w:val="outset" w:sz="6" w:space="0" w:color="000000"/>
            </w:tcBorders>
            <w:vAlign w:val="center"/>
          </w:tcPr>
          <w:p w:rsidR="006E6DE1" w:rsidRDefault="006E6DE1" w:rsidP="00BA70AA">
            <w:pPr>
              <w:jc w:val="center"/>
            </w:pPr>
            <w:r w:rsidRPr="00A96276">
              <w:t>Nav attiecināms</w:t>
            </w:r>
          </w:p>
          <w:p w:rsidR="006E6DE1" w:rsidRPr="004268E7" w:rsidRDefault="006E6DE1" w:rsidP="00BA70AA">
            <w:pPr>
              <w:jc w:val="center"/>
            </w:pPr>
          </w:p>
        </w:tc>
        <w:tc>
          <w:tcPr>
            <w:tcW w:w="629" w:type="pct"/>
            <w:vMerge w:val="restart"/>
            <w:tcBorders>
              <w:top w:val="outset" w:sz="6" w:space="0" w:color="000000"/>
              <w:left w:val="outset" w:sz="6" w:space="0" w:color="000000"/>
              <w:right w:val="outset" w:sz="6" w:space="0" w:color="000000"/>
            </w:tcBorders>
            <w:vAlign w:val="center"/>
          </w:tcPr>
          <w:p w:rsidR="006E6DE1" w:rsidRDefault="006E6DE1" w:rsidP="00BA70AA">
            <w:pPr>
              <w:jc w:val="center"/>
            </w:pPr>
            <w:r w:rsidRPr="00A96276">
              <w:t>Nav attiecināms</w:t>
            </w:r>
          </w:p>
          <w:p w:rsidR="006E6DE1" w:rsidRPr="004268E7" w:rsidRDefault="006E6DE1" w:rsidP="00BA70AA">
            <w:pPr>
              <w:jc w:val="center"/>
            </w:pPr>
          </w:p>
        </w:tc>
        <w:tc>
          <w:tcPr>
            <w:tcW w:w="629" w:type="pct"/>
            <w:vMerge w:val="restart"/>
            <w:tcBorders>
              <w:top w:val="outset" w:sz="6" w:space="0" w:color="000000"/>
              <w:left w:val="outset" w:sz="6" w:space="0" w:color="000000"/>
              <w:right w:val="outset" w:sz="6" w:space="0" w:color="000000"/>
            </w:tcBorders>
            <w:vAlign w:val="center"/>
          </w:tcPr>
          <w:p w:rsidR="006E6DE1" w:rsidRDefault="006E6DE1" w:rsidP="00BA70AA">
            <w:pPr>
              <w:jc w:val="center"/>
            </w:pPr>
            <w:r w:rsidRPr="00A96276">
              <w:t>Nav attiecināms</w:t>
            </w:r>
          </w:p>
          <w:p w:rsidR="006E6DE1" w:rsidRPr="004268E7" w:rsidRDefault="006E6DE1" w:rsidP="00BA70AA">
            <w:pPr>
              <w:jc w:val="center"/>
            </w:pPr>
          </w:p>
        </w:tc>
        <w:tc>
          <w:tcPr>
            <w:tcW w:w="717" w:type="pct"/>
            <w:vMerge w:val="restart"/>
            <w:tcBorders>
              <w:top w:val="outset" w:sz="6" w:space="0" w:color="000000"/>
              <w:left w:val="outset" w:sz="6" w:space="0" w:color="000000"/>
              <w:right w:val="outset" w:sz="6" w:space="0" w:color="000000"/>
            </w:tcBorders>
            <w:vAlign w:val="center"/>
          </w:tcPr>
          <w:p w:rsidR="006E6DE1" w:rsidRDefault="006E6DE1" w:rsidP="00BA70AA">
            <w:pPr>
              <w:jc w:val="center"/>
            </w:pPr>
            <w:r w:rsidRPr="00A96276">
              <w:t>Nav attiecināms</w:t>
            </w:r>
          </w:p>
          <w:p w:rsidR="006E6DE1" w:rsidRPr="004268E7" w:rsidRDefault="006E6DE1" w:rsidP="00BA70AA">
            <w:pPr>
              <w:jc w:val="center"/>
            </w:pPr>
          </w:p>
        </w:tc>
      </w:tr>
      <w:tr w:rsidR="006E6DE1" w:rsidRPr="004268E7" w:rsidTr="00BA70AA">
        <w:tc>
          <w:tcPr>
            <w:tcW w:w="1615" w:type="pct"/>
            <w:tcBorders>
              <w:top w:val="outset" w:sz="6" w:space="0" w:color="000000"/>
              <w:left w:val="outset" w:sz="6" w:space="0" w:color="000000"/>
              <w:bottom w:val="outset" w:sz="6" w:space="0" w:color="000000"/>
              <w:right w:val="outset" w:sz="6" w:space="0" w:color="000000"/>
            </w:tcBorders>
          </w:tcPr>
          <w:p w:rsidR="006E6DE1" w:rsidRPr="004268E7" w:rsidRDefault="006E6DE1" w:rsidP="00BA70AA">
            <w:pPr>
              <w:spacing w:before="100" w:beforeAutospacing="1" w:after="100" w:afterAutospacing="1"/>
            </w:pPr>
            <w:r w:rsidRPr="004268E7">
              <w:t>5.1. valsts pamatbudžets</w:t>
            </w:r>
          </w:p>
        </w:tc>
        <w:tc>
          <w:tcPr>
            <w:tcW w:w="629" w:type="pct"/>
            <w:vMerge/>
            <w:tcBorders>
              <w:top w:val="outset" w:sz="6" w:space="0" w:color="000000"/>
              <w:left w:val="outset" w:sz="6" w:space="0" w:color="000000"/>
              <w:bottom w:val="outset" w:sz="6" w:space="0" w:color="000000"/>
              <w:right w:val="outset" w:sz="6" w:space="0" w:color="000000"/>
            </w:tcBorders>
            <w:vAlign w:val="center"/>
          </w:tcPr>
          <w:p w:rsidR="006E6DE1" w:rsidRPr="004268E7" w:rsidRDefault="006E6DE1" w:rsidP="00BA70AA">
            <w:pPr>
              <w:jc w:val="center"/>
            </w:pPr>
          </w:p>
        </w:tc>
        <w:tc>
          <w:tcPr>
            <w:tcW w:w="780" w:type="pct"/>
            <w:vMerge/>
            <w:tcBorders>
              <w:left w:val="outset" w:sz="6" w:space="0" w:color="000000"/>
              <w:right w:val="outset" w:sz="6" w:space="0" w:color="000000"/>
            </w:tcBorders>
            <w:vAlign w:val="center"/>
          </w:tcPr>
          <w:p w:rsidR="006E6DE1" w:rsidRPr="004268E7" w:rsidRDefault="006E6DE1" w:rsidP="00BA70AA">
            <w:pPr>
              <w:jc w:val="center"/>
            </w:pPr>
          </w:p>
        </w:tc>
        <w:tc>
          <w:tcPr>
            <w:tcW w:w="629" w:type="pct"/>
            <w:vMerge/>
            <w:tcBorders>
              <w:left w:val="outset" w:sz="6" w:space="0" w:color="000000"/>
              <w:right w:val="outset" w:sz="6" w:space="0" w:color="000000"/>
            </w:tcBorders>
            <w:vAlign w:val="center"/>
          </w:tcPr>
          <w:p w:rsidR="006E6DE1" w:rsidRPr="004268E7" w:rsidRDefault="006E6DE1" w:rsidP="00BA70AA">
            <w:pPr>
              <w:jc w:val="center"/>
            </w:pPr>
          </w:p>
        </w:tc>
        <w:tc>
          <w:tcPr>
            <w:tcW w:w="629" w:type="pct"/>
            <w:vMerge/>
            <w:tcBorders>
              <w:left w:val="outset" w:sz="6" w:space="0" w:color="000000"/>
              <w:right w:val="outset" w:sz="6" w:space="0" w:color="000000"/>
            </w:tcBorders>
            <w:vAlign w:val="center"/>
          </w:tcPr>
          <w:p w:rsidR="006E6DE1" w:rsidRPr="004268E7" w:rsidRDefault="006E6DE1" w:rsidP="00BA70AA">
            <w:pPr>
              <w:jc w:val="center"/>
            </w:pPr>
          </w:p>
        </w:tc>
        <w:tc>
          <w:tcPr>
            <w:tcW w:w="717" w:type="pct"/>
            <w:vMerge/>
            <w:tcBorders>
              <w:left w:val="outset" w:sz="6" w:space="0" w:color="000000"/>
              <w:right w:val="outset" w:sz="6" w:space="0" w:color="000000"/>
            </w:tcBorders>
            <w:vAlign w:val="center"/>
          </w:tcPr>
          <w:p w:rsidR="006E6DE1" w:rsidRPr="004268E7" w:rsidRDefault="006E6DE1" w:rsidP="00BA70AA">
            <w:pPr>
              <w:jc w:val="center"/>
            </w:pPr>
          </w:p>
        </w:tc>
      </w:tr>
      <w:tr w:rsidR="006E6DE1" w:rsidRPr="004268E7" w:rsidTr="00BA70AA">
        <w:tc>
          <w:tcPr>
            <w:tcW w:w="1615" w:type="pct"/>
            <w:tcBorders>
              <w:top w:val="outset" w:sz="6" w:space="0" w:color="000000"/>
              <w:left w:val="outset" w:sz="6" w:space="0" w:color="000000"/>
              <w:bottom w:val="outset" w:sz="6" w:space="0" w:color="000000"/>
              <w:right w:val="outset" w:sz="6" w:space="0" w:color="000000"/>
            </w:tcBorders>
          </w:tcPr>
          <w:p w:rsidR="006E6DE1" w:rsidRPr="004268E7" w:rsidRDefault="006E6DE1" w:rsidP="00BA70AA">
            <w:pPr>
              <w:spacing w:before="100" w:beforeAutospacing="1" w:after="100" w:afterAutospacing="1"/>
            </w:pPr>
            <w:r w:rsidRPr="004268E7">
              <w:t>5.2. speciālais budžets</w:t>
            </w:r>
          </w:p>
        </w:tc>
        <w:tc>
          <w:tcPr>
            <w:tcW w:w="629" w:type="pct"/>
            <w:vMerge/>
            <w:tcBorders>
              <w:top w:val="outset" w:sz="6" w:space="0" w:color="000000"/>
              <w:left w:val="outset" w:sz="6" w:space="0" w:color="000000"/>
              <w:bottom w:val="outset" w:sz="6" w:space="0" w:color="000000"/>
              <w:right w:val="outset" w:sz="6" w:space="0" w:color="000000"/>
            </w:tcBorders>
            <w:vAlign w:val="center"/>
          </w:tcPr>
          <w:p w:rsidR="006E6DE1" w:rsidRPr="004268E7" w:rsidRDefault="006E6DE1" w:rsidP="00BA70AA">
            <w:pPr>
              <w:jc w:val="center"/>
            </w:pPr>
          </w:p>
        </w:tc>
        <w:tc>
          <w:tcPr>
            <w:tcW w:w="780" w:type="pct"/>
            <w:vMerge/>
            <w:tcBorders>
              <w:left w:val="outset" w:sz="6" w:space="0" w:color="000000"/>
              <w:right w:val="outset" w:sz="6" w:space="0" w:color="000000"/>
            </w:tcBorders>
            <w:vAlign w:val="center"/>
          </w:tcPr>
          <w:p w:rsidR="006E6DE1" w:rsidRPr="004268E7" w:rsidRDefault="006E6DE1" w:rsidP="00BA70AA">
            <w:pPr>
              <w:jc w:val="center"/>
            </w:pPr>
          </w:p>
        </w:tc>
        <w:tc>
          <w:tcPr>
            <w:tcW w:w="629" w:type="pct"/>
            <w:vMerge/>
            <w:tcBorders>
              <w:left w:val="outset" w:sz="6" w:space="0" w:color="000000"/>
              <w:right w:val="outset" w:sz="6" w:space="0" w:color="000000"/>
            </w:tcBorders>
            <w:vAlign w:val="center"/>
          </w:tcPr>
          <w:p w:rsidR="006E6DE1" w:rsidRPr="004268E7" w:rsidRDefault="006E6DE1" w:rsidP="00BA70AA">
            <w:pPr>
              <w:jc w:val="center"/>
            </w:pPr>
          </w:p>
        </w:tc>
        <w:tc>
          <w:tcPr>
            <w:tcW w:w="629" w:type="pct"/>
            <w:vMerge/>
            <w:tcBorders>
              <w:left w:val="outset" w:sz="6" w:space="0" w:color="000000"/>
              <w:right w:val="outset" w:sz="6" w:space="0" w:color="000000"/>
            </w:tcBorders>
            <w:vAlign w:val="center"/>
          </w:tcPr>
          <w:p w:rsidR="006E6DE1" w:rsidRPr="004268E7" w:rsidRDefault="006E6DE1" w:rsidP="00BA70AA">
            <w:pPr>
              <w:jc w:val="center"/>
            </w:pPr>
          </w:p>
        </w:tc>
        <w:tc>
          <w:tcPr>
            <w:tcW w:w="717" w:type="pct"/>
            <w:vMerge/>
            <w:tcBorders>
              <w:left w:val="outset" w:sz="6" w:space="0" w:color="000000"/>
              <w:right w:val="outset" w:sz="6" w:space="0" w:color="000000"/>
            </w:tcBorders>
            <w:vAlign w:val="center"/>
          </w:tcPr>
          <w:p w:rsidR="006E6DE1" w:rsidRPr="004268E7" w:rsidRDefault="006E6DE1" w:rsidP="00BA70AA">
            <w:pPr>
              <w:jc w:val="center"/>
            </w:pPr>
          </w:p>
        </w:tc>
      </w:tr>
      <w:tr w:rsidR="006E6DE1" w:rsidRPr="004268E7" w:rsidTr="00BA70AA">
        <w:tc>
          <w:tcPr>
            <w:tcW w:w="1615" w:type="pct"/>
            <w:tcBorders>
              <w:top w:val="outset" w:sz="6" w:space="0" w:color="000000"/>
              <w:left w:val="outset" w:sz="6" w:space="0" w:color="000000"/>
              <w:bottom w:val="outset" w:sz="6" w:space="0" w:color="000000"/>
              <w:right w:val="outset" w:sz="6" w:space="0" w:color="000000"/>
            </w:tcBorders>
          </w:tcPr>
          <w:p w:rsidR="006E6DE1" w:rsidRPr="004268E7" w:rsidRDefault="006E6DE1" w:rsidP="00BA70AA">
            <w:pPr>
              <w:spacing w:before="100" w:beforeAutospacing="1" w:after="100" w:afterAutospacing="1"/>
            </w:pPr>
            <w:r w:rsidRPr="004268E7">
              <w:t>5.3. pašvaldību budžets</w:t>
            </w:r>
          </w:p>
        </w:tc>
        <w:tc>
          <w:tcPr>
            <w:tcW w:w="629" w:type="pct"/>
            <w:vMerge/>
            <w:tcBorders>
              <w:top w:val="outset" w:sz="6" w:space="0" w:color="000000"/>
              <w:left w:val="outset" w:sz="6" w:space="0" w:color="000000"/>
              <w:bottom w:val="outset" w:sz="6" w:space="0" w:color="000000"/>
              <w:right w:val="outset" w:sz="6" w:space="0" w:color="000000"/>
            </w:tcBorders>
            <w:vAlign w:val="center"/>
          </w:tcPr>
          <w:p w:rsidR="006E6DE1" w:rsidRPr="004268E7" w:rsidRDefault="006E6DE1" w:rsidP="00BA70AA">
            <w:pPr>
              <w:jc w:val="center"/>
            </w:pPr>
          </w:p>
        </w:tc>
        <w:tc>
          <w:tcPr>
            <w:tcW w:w="780" w:type="pct"/>
            <w:vMerge/>
            <w:tcBorders>
              <w:left w:val="outset" w:sz="6" w:space="0" w:color="000000"/>
              <w:bottom w:val="outset" w:sz="6" w:space="0" w:color="000000"/>
              <w:right w:val="outset" w:sz="6" w:space="0" w:color="000000"/>
            </w:tcBorders>
            <w:vAlign w:val="center"/>
          </w:tcPr>
          <w:p w:rsidR="006E6DE1" w:rsidRPr="004268E7" w:rsidRDefault="006E6DE1" w:rsidP="00BA70AA">
            <w:pPr>
              <w:jc w:val="center"/>
            </w:pPr>
          </w:p>
        </w:tc>
        <w:tc>
          <w:tcPr>
            <w:tcW w:w="629" w:type="pct"/>
            <w:vMerge/>
            <w:tcBorders>
              <w:left w:val="outset" w:sz="6" w:space="0" w:color="000000"/>
              <w:bottom w:val="outset" w:sz="6" w:space="0" w:color="000000"/>
              <w:right w:val="outset" w:sz="6" w:space="0" w:color="000000"/>
            </w:tcBorders>
            <w:vAlign w:val="center"/>
          </w:tcPr>
          <w:p w:rsidR="006E6DE1" w:rsidRPr="004268E7" w:rsidRDefault="006E6DE1" w:rsidP="00BA70AA">
            <w:pPr>
              <w:jc w:val="center"/>
            </w:pPr>
          </w:p>
        </w:tc>
        <w:tc>
          <w:tcPr>
            <w:tcW w:w="629" w:type="pct"/>
            <w:vMerge/>
            <w:tcBorders>
              <w:left w:val="outset" w:sz="6" w:space="0" w:color="000000"/>
              <w:bottom w:val="outset" w:sz="6" w:space="0" w:color="000000"/>
              <w:right w:val="outset" w:sz="6" w:space="0" w:color="000000"/>
            </w:tcBorders>
            <w:vAlign w:val="center"/>
          </w:tcPr>
          <w:p w:rsidR="006E6DE1" w:rsidRPr="004268E7" w:rsidRDefault="006E6DE1" w:rsidP="00BA70AA">
            <w:pPr>
              <w:jc w:val="center"/>
            </w:pPr>
          </w:p>
        </w:tc>
        <w:tc>
          <w:tcPr>
            <w:tcW w:w="717" w:type="pct"/>
            <w:vMerge/>
            <w:tcBorders>
              <w:left w:val="outset" w:sz="6" w:space="0" w:color="000000"/>
              <w:bottom w:val="outset" w:sz="6" w:space="0" w:color="000000"/>
              <w:right w:val="outset" w:sz="6" w:space="0" w:color="000000"/>
            </w:tcBorders>
            <w:vAlign w:val="center"/>
          </w:tcPr>
          <w:p w:rsidR="006E6DE1" w:rsidRPr="004268E7" w:rsidRDefault="006E6DE1" w:rsidP="00BA70AA">
            <w:pPr>
              <w:jc w:val="center"/>
            </w:pPr>
          </w:p>
        </w:tc>
      </w:tr>
      <w:tr w:rsidR="006E6DE1" w:rsidRPr="004268E7" w:rsidTr="00BA70AA">
        <w:tc>
          <w:tcPr>
            <w:tcW w:w="1615" w:type="pct"/>
            <w:tcBorders>
              <w:top w:val="outset" w:sz="6" w:space="0" w:color="000000"/>
              <w:left w:val="outset" w:sz="6" w:space="0" w:color="000000"/>
              <w:bottom w:val="outset" w:sz="6" w:space="0" w:color="000000"/>
              <w:right w:val="outset" w:sz="6" w:space="0" w:color="000000"/>
            </w:tcBorders>
          </w:tcPr>
          <w:p w:rsidR="006E6DE1" w:rsidRPr="004268E7" w:rsidRDefault="006E6DE1" w:rsidP="00BA70AA">
            <w:pPr>
              <w:spacing w:before="100" w:beforeAutospacing="1" w:after="100" w:afterAutospacing="1"/>
              <w:jc w:val="both"/>
            </w:pPr>
            <w:r w:rsidRPr="004268E7">
              <w:t>6. Detalizēts ieņēmumu un izdevu</w:t>
            </w:r>
            <w:r w:rsidRPr="004268E7">
              <w:softHyphen/>
              <w:t>mu aprēķins (ja nepieciešams, detalizētu ieņēmumu un izdevumu aprēķinu var pievienot anotācijas pielikumā):</w:t>
            </w:r>
          </w:p>
        </w:tc>
        <w:tc>
          <w:tcPr>
            <w:tcW w:w="3385" w:type="pct"/>
            <w:gridSpan w:val="5"/>
            <w:vMerge w:val="restart"/>
            <w:tcBorders>
              <w:top w:val="outset" w:sz="6" w:space="0" w:color="000000"/>
              <w:left w:val="outset" w:sz="6" w:space="0" w:color="000000"/>
              <w:bottom w:val="outset" w:sz="6" w:space="0" w:color="000000"/>
              <w:right w:val="outset" w:sz="6" w:space="0" w:color="000000"/>
            </w:tcBorders>
            <w:vAlign w:val="center"/>
          </w:tcPr>
          <w:p w:rsidR="006E6DE1" w:rsidRPr="004268E7" w:rsidRDefault="006E6DE1" w:rsidP="00BA70AA">
            <w:pPr>
              <w:ind w:firstLine="720"/>
              <w:jc w:val="both"/>
            </w:pPr>
          </w:p>
        </w:tc>
      </w:tr>
      <w:tr w:rsidR="006E6DE1" w:rsidRPr="004268E7" w:rsidTr="00BA70AA">
        <w:tc>
          <w:tcPr>
            <w:tcW w:w="1615" w:type="pct"/>
            <w:tcBorders>
              <w:top w:val="outset" w:sz="6" w:space="0" w:color="000000"/>
              <w:left w:val="outset" w:sz="6" w:space="0" w:color="000000"/>
              <w:bottom w:val="outset" w:sz="6" w:space="0" w:color="000000"/>
              <w:right w:val="outset" w:sz="6" w:space="0" w:color="000000"/>
            </w:tcBorders>
          </w:tcPr>
          <w:p w:rsidR="006E6DE1" w:rsidRPr="004268E7" w:rsidRDefault="006E6DE1" w:rsidP="00BA70AA">
            <w:pPr>
              <w:spacing w:before="100" w:beforeAutospacing="1" w:after="100" w:afterAutospacing="1"/>
            </w:pPr>
            <w:r w:rsidRPr="004268E7">
              <w:t>6.1. detalizēts ieņēmumu aprēķins</w:t>
            </w:r>
          </w:p>
        </w:tc>
        <w:tc>
          <w:tcPr>
            <w:tcW w:w="3385" w:type="pct"/>
            <w:gridSpan w:val="5"/>
            <w:vMerge/>
            <w:tcBorders>
              <w:top w:val="outset" w:sz="6" w:space="0" w:color="000000"/>
              <w:left w:val="outset" w:sz="6" w:space="0" w:color="000000"/>
              <w:bottom w:val="outset" w:sz="6" w:space="0" w:color="000000"/>
              <w:right w:val="outset" w:sz="6" w:space="0" w:color="000000"/>
            </w:tcBorders>
            <w:vAlign w:val="center"/>
          </w:tcPr>
          <w:p w:rsidR="006E6DE1" w:rsidRPr="004268E7" w:rsidRDefault="006E6DE1" w:rsidP="00BA70AA"/>
        </w:tc>
      </w:tr>
      <w:tr w:rsidR="006E6DE1" w:rsidRPr="004268E7" w:rsidTr="00BA70AA">
        <w:tc>
          <w:tcPr>
            <w:tcW w:w="1615" w:type="pct"/>
            <w:tcBorders>
              <w:top w:val="outset" w:sz="6" w:space="0" w:color="000000"/>
              <w:left w:val="outset" w:sz="6" w:space="0" w:color="000000"/>
              <w:bottom w:val="outset" w:sz="6" w:space="0" w:color="000000"/>
              <w:right w:val="outset" w:sz="6" w:space="0" w:color="000000"/>
            </w:tcBorders>
          </w:tcPr>
          <w:p w:rsidR="006E6DE1" w:rsidRPr="004268E7" w:rsidRDefault="006E6DE1" w:rsidP="00BA70AA">
            <w:pPr>
              <w:spacing w:before="100" w:beforeAutospacing="1" w:after="100" w:afterAutospacing="1"/>
            </w:pPr>
            <w:r w:rsidRPr="004268E7">
              <w:t>6.2. detalizēts izdevumu aprēķins</w:t>
            </w:r>
          </w:p>
        </w:tc>
        <w:tc>
          <w:tcPr>
            <w:tcW w:w="3385" w:type="pct"/>
            <w:gridSpan w:val="5"/>
            <w:vMerge/>
            <w:tcBorders>
              <w:top w:val="outset" w:sz="6" w:space="0" w:color="000000"/>
              <w:left w:val="outset" w:sz="6" w:space="0" w:color="000000"/>
              <w:bottom w:val="outset" w:sz="6" w:space="0" w:color="000000"/>
              <w:right w:val="outset" w:sz="6" w:space="0" w:color="000000"/>
            </w:tcBorders>
            <w:vAlign w:val="center"/>
          </w:tcPr>
          <w:p w:rsidR="006E6DE1" w:rsidRPr="004268E7" w:rsidRDefault="006E6DE1" w:rsidP="00BA70AA"/>
        </w:tc>
      </w:tr>
      <w:tr w:rsidR="006E6DE1" w:rsidRPr="004268E7" w:rsidTr="00BA70AA">
        <w:tc>
          <w:tcPr>
            <w:tcW w:w="1615" w:type="pct"/>
            <w:tcBorders>
              <w:top w:val="outset" w:sz="6" w:space="0" w:color="000000"/>
              <w:left w:val="outset" w:sz="6" w:space="0" w:color="000000"/>
              <w:bottom w:val="outset" w:sz="6" w:space="0" w:color="000000"/>
              <w:right w:val="outset" w:sz="6" w:space="0" w:color="000000"/>
            </w:tcBorders>
          </w:tcPr>
          <w:p w:rsidR="006E6DE1" w:rsidRPr="004268E7" w:rsidRDefault="006E6DE1" w:rsidP="00BA70AA">
            <w:pPr>
              <w:spacing w:before="100" w:beforeAutospacing="1" w:after="100" w:afterAutospacing="1"/>
            </w:pPr>
            <w:r w:rsidRPr="004268E7">
              <w:t>7. Cita informācija</w:t>
            </w:r>
          </w:p>
        </w:tc>
        <w:tc>
          <w:tcPr>
            <w:tcW w:w="3385" w:type="pct"/>
            <w:gridSpan w:val="5"/>
            <w:tcBorders>
              <w:top w:val="outset" w:sz="6" w:space="0" w:color="000000"/>
              <w:left w:val="outset" w:sz="6" w:space="0" w:color="000000"/>
              <w:bottom w:val="outset" w:sz="6" w:space="0" w:color="000000"/>
              <w:right w:val="outset" w:sz="6" w:space="0" w:color="000000"/>
            </w:tcBorders>
          </w:tcPr>
          <w:p w:rsidR="006E6DE1" w:rsidRDefault="006E6DE1" w:rsidP="00BA70AA">
            <w:pPr>
              <w:ind w:firstLine="259"/>
              <w:jc w:val="both"/>
            </w:pPr>
            <w:r w:rsidRPr="007F532E">
              <w:t>Saskaņā ar Civilprocesa likuma 323. pantu, ja tiesa, kura izskata mantojuma lietu, atzīst par nepieciešamu nodibināt mantojumam aizgādnību, tā pieņem par to lēmumu, kuru nosūta izpildīšanai bāriņtiesai. Jautājums par aizgādnības nodibināšanu pār mantojumu ir iekļauts sevišķās tiesāšanas kār</w:t>
            </w:r>
            <w:r>
              <w:t>t</w:t>
            </w:r>
            <w:r w:rsidRPr="007F532E">
              <w:t xml:space="preserve">ības regulējumā. Saskaņā ar Civilprocesa likuma 34.panta pirmās daļas 3. punktu par pieteikumu sevišķās tiesāšanas kārtības lietās valsts nodeva ir 30 lati. </w:t>
            </w:r>
          </w:p>
          <w:p w:rsidR="006E6DE1" w:rsidRPr="00462931" w:rsidRDefault="006E6DE1" w:rsidP="00BA70AA">
            <w:pPr>
              <w:ind w:firstLine="259"/>
              <w:jc w:val="both"/>
            </w:pPr>
            <w:r w:rsidRPr="00462931">
              <w:t>Vēršam uzmanību uz to, ka Civilprocesa likuma 41. nodaļa  „Mantojuma apsardzība un aizgādnība” i</w:t>
            </w:r>
            <w:r w:rsidRPr="00462931">
              <w:rPr>
                <w:iCs/>
              </w:rPr>
              <w:t xml:space="preserve">zslēgta no Civilprocesa likuma 2012.gada 1. janvārī ar 2002.gada 31.oktobra likumu „Grozījumi Civilprocesa likumā”, kas stājas spēkā 2003.gada 1.janvārī, sk. Civilprocesa likuma Pārejas noteikumu 12.punktu). Neskatoties uz minētā regulējuma trūkumu, Tieslietu ministrija izdeva tiesām apkārtrakstu, norādot, ka līdz jaunajam regulējumam par aizgādnības nodibināšanu mantojumam pieņemšanai, tiesām ir jāpieņem attiecīgi prasības pieteikumi. Norādām, ka atbilstoši Tiesu informācijas sistēmas datiem 2012.gadā pieņemtas 3 </w:t>
            </w:r>
            <w:r w:rsidRPr="00462931">
              <w:t>lietas par aizgādnības nodibināšanu mantojumam (90,00 LVL), ņemot vērā iepriekšējo gadu statistiku (2010.gadā bija 22 lietas, 2011.gad;a bija 15 lietas) 2012.gadā nav plānots budžetā vairāk par 10 lietām, t.i., 300,00 LVL (vidējais ieņēmums un prognoze).</w:t>
            </w:r>
          </w:p>
          <w:p w:rsidR="006E6DE1" w:rsidRPr="007F532E" w:rsidRDefault="006E6DE1" w:rsidP="00BA70AA">
            <w:pPr>
              <w:ind w:firstLine="259"/>
              <w:jc w:val="both"/>
            </w:pPr>
            <w:r w:rsidRPr="007F532E">
              <w:t xml:space="preserve">Nododot jautājumu par aizgādnības nodibināšanu zvērinātu notāru kompetencē, kopējās izmaksas par aizgādnības </w:t>
            </w:r>
            <w:r w:rsidRPr="007F532E">
              <w:lastRenderedPageBreak/>
              <w:t xml:space="preserve">nodibināšanu pār mantojumu, t.i., valsts nodevas, zvērināta notāra atlīdzības takse un pievienotās vērtības nodoklis, nepārsniegs Civilprocesa likumā paredzēto valsts nodevas apmēru. </w:t>
            </w:r>
            <w:r w:rsidRPr="00462931">
              <w:t>Minētas valsts nodevas netiks iekasētas valsts budžetā, bet vienlaicīgi valsts budžetā tiks iemaksātas valsts nodevas par notariālo darbību izpildi, pievienotās vērtības nodoklis no zvērināta notāra atlīdzības takses, kā arī no iekasētās atlīdzības takses zvērināti notāri aprēķinās un samaksās iedzīvotāju ienākuma nodokli.</w:t>
            </w:r>
          </w:p>
        </w:tc>
      </w:tr>
    </w:tbl>
    <w:p w:rsidR="006E6DE1" w:rsidRPr="004268E7" w:rsidRDefault="006E6DE1" w:rsidP="006E6DE1">
      <w:pPr>
        <w:pStyle w:val="naisf"/>
        <w:spacing w:before="0" w:after="0"/>
      </w:pPr>
    </w:p>
    <w:tbl>
      <w:tblPr>
        <w:tblW w:w="9753"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
        <w:gridCol w:w="2723"/>
        <w:gridCol w:w="6577"/>
      </w:tblGrid>
      <w:tr w:rsidR="006E6DE1" w:rsidRPr="004268E7" w:rsidTr="00BA70AA">
        <w:trPr>
          <w:jc w:val="center"/>
        </w:trPr>
        <w:tc>
          <w:tcPr>
            <w:tcW w:w="9753" w:type="dxa"/>
            <w:gridSpan w:val="3"/>
          </w:tcPr>
          <w:p w:rsidR="006E6DE1" w:rsidRPr="004268E7" w:rsidRDefault="006E6DE1" w:rsidP="00BA70AA">
            <w:pPr>
              <w:pStyle w:val="naisnod"/>
              <w:spacing w:before="0" w:after="0"/>
            </w:pPr>
            <w:r w:rsidRPr="004268E7">
              <w:t>IV. Tiesību akta projekta ietekme uz spēkā esošo tiesību normu sistēmu</w:t>
            </w:r>
          </w:p>
        </w:tc>
      </w:tr>
      <w:tr w:rsidR="006E6DE1" w:rsidRPr="004268E7" w:rsidTr="00BA70AA">
        <w:trPr>
          <w:jc w:val="center"/>
        </w:trPr>
        <w:tc>
          <w:tcPr>
            <w:tcW w:w="453" w:type="dxa"/>
          </w:tcPr>
          <w:p w:rsidR="006E6DE1" w:rsidRPr="004268E7" w:rsidRDefault="006E6DE1" w:rsidP="00BA70AA">
            <w:pPr>
              <w:pStyle w:val="naiskr"/>
              <w:tabs>
                <w:tab w:val="left" w:pos="2628"/>
              </w:tabs>
              <w:spacing w:before="0" w:after="0"/>
              <w:jc w:val="both"/>
              <w:rPr>
                <w:b/>
                <w:iCs/>
              </w:rPr>
            </w:pPr>
            <w:r w:rsidRPr="004268E7">
              <w:rPr>
                <w:b/>
                <w:iCs/>
              </w:rPr>
              <w:t>1.</w:t>
            </w:r>
          </w:p>
        </w:tc>
        <w:tc>
          <w:tcPr>
            <w:tcW w:w="2723" w:type="dxa"/>
          </w:tcPr>
          <w:p w:rsidR="006E6DE1" w:rsidRPr="004268E7" w:rsidRDefault="006E6DE1" w:rsidP="00BA70AA">
            <w:pPr>
              <w:pStyle w:val="naiskr"/>
              <w:tabs>
                <w:tab w:val="left" w:pos="2628"/>
              </w:tabs>
              <w:spacing w:before="0" w:after="0"/>
              <w:jc w:val="both"/>
              <w:rPr>
                <w:b/>
                <w:iCs/>
              </w:rPr>
            </w:pPr>
            <w:r w:rsidRPr="004268E7">
              <w:rPr>
                <w:b/>
                <w:sz w:val="22"/>
                <w:szCs w:val="22"/>
              </w:rPr>
              <w:t>Nepieciešamie saistītie tiesību aktu projekti</w:t>
            </w:r>
          </w:p>
        </w:tc>
        <w:tc>
          <w:tcPr>
            <w:tcW w:w="6577" w:type="dxa"/>
          </w:tcPr>
          <w:p w:rsidR="006E6DE1" w:rsidRDefault="006E6DE1" w:rsidP="00BA70AA">
            <w:pPr>
              <w:ind w:left="-108" w:firstLine="284"/>
              <w:jc w:val="both"/>
            </w:pPr>
            <w:r w:rsidRPr="005E1D9D">
              <w:t xml:space="preserve">Likumprojekts ir izstrādāts un virzāms izskatīšanai vienotā likumprojektu paketē ar grozījumiem Bāriņtiesu likumā, Notariāta likumā un </w:t>
            </w:r>
            <w:r>
              <w:t>g</w:t>
            </w:r>
            <w:r w:rsidRPr="005E1D9D">
              <w:t>rozījumi</w:t>
            </w:r>
            <w:r>
              <w:t>em</w:t>
            </w:r>
            <w:r w:rsidRPr="005E1D9D">
              <w:t xml:space="preserve"> l</w:t>
            </w:r>
            <w:r w:rsidRPr="005E1D9D">
              <w:rPr>
                <w:bCs/>
              </w:rPr>
              <w:t>ikumā „Par atjaunotā Latvijas Republikas 1937.gada Civillikuma ievada, mantojuma tiesību un l</w:t>
            </w:r>
            <w:r>
              <w:rPr>
                <w:bCs/>
              </w:rPr>
              <w:t>ietu tiesību daļas spēkā stāšanā</w:t>
            </w:r>
            <w:r w:rsidRPr="005E1D9D">
              <w:rPr>
                <w:bCs/>
              </w:rPr>
              <w:t>s</w:t>
            </w:r>
            <w:r>
              <w:rPr>
                <w:bCs/>
              </w:rPr>
              <w:t xml:space="preserve"> laiku</w:t>
            </w:r>
            <w:r w:rsidRPr="005E1D9D">
              <w:rPr>
                <w:bCs/>
              </w:rPr>
              <w:t xml:space="preserve"> un kārtību”</w:t>
            </w:r>
            <w:r w:rsidRPr="005E1D9D">
              <w:t>”</w:t>
            </w:r>
            <w:r>
              <w:t>.</w:t>
            </w:r>
          </w:p>
          <w:p w:rsidR="006E6DE1" w:rsidRPr="005E1D9D" w:rsidRDefault="006E6DE1" w:rsidP="00BA70AA">
            <w:pPr>
              <w:ind w:left="-108" w:firstLine="284"/>
              <w:jc w:val="both"/>
            </w:pPr>
            <w:r w:rsidRPr="004268E7">
              <w:t>Par likumprojektu izstrādi atbildīgā institūcija – Tieslietu ministrija.</w:t>
            </w:r>
          </w:p>
          <w:p w:rsidR="006E6DE1" w:rsidRPr="004268E7" w:rsidRDefault="006E6DE1" w:rsidP="00BA70AA">
            <w:pPr>
              <w:ind w:left="-108" w:firstLine="284"/>
              <w:jc w:val="both"/>
            </w:pPr>
            <w:r w:rsidRPr="004268E7">
              <w:t>Bez tam vienlaikus ar minēto likumprojektu paketes spēkā stāšanos nepieciešams nodrošināt grozījumu izstrādi:</w:t>
            </w:r>
          </w:p>
          <w:p w:rsidR="006E6DE1" w:rsidRPr="004268E7" w:rsidRDefault="006E6DE1" w:rsidP="00BA70AA">
            <w:pPr>
              <w:ind w:left="-108" w:firstLine="284"/>
              <w:jc w:val="both"/>
            </w:pPr>
            <w:r w:rsidRPr="004268E7">
              <w:t xml:space="preserve">1. Ministru kabineta 2006.gada 19.decembra noteikumos Nr. 1037 „Bāriņtiesas darbības noteikumi”, lai tos saskaņotu ar attiecīgajiem grozījumiem virzāmos likumprojektos – par atbildīgo par grozījumu izstrādi šajos noteikumos nosakot </w:t>
            </w:r>
            <w:r w:rsidRPr="00462931">
              <w:t>Tieslietu</w:t>
            </w:r>
            <w:r w:rsidRPr="00A8411A">
              <w:rPr>
                <w:u w:val="single"/>
              </w:rPr>
              <w:t xml:space="preserve"> </w:t>
            </w:r>
            <w:r w:rsidRPr="004268E7">
              <w:t>ministriju.</w:t>
            </w:r>
          </w:p>
          <w:p w:rsidR="006E6DE1" w:rsidRDefault="006E6DE1" w:rsidP="00BA70AA">
            <w:pPr>
              <w:ind w:left="-108" w:firstLine="284"/>
              <w:jc w:val="both"/>
            </w:pPr>
            <w:r w:rsidRPr="007F532E">
              <w:rPr>
                <w:bCs/>
              </w:rPr>
              <w:t xml:space="preserve">2. Ministru kabineta 2005. gada 13. decembra noteikumos Nr. 934 „Noteikumi par budžetu izdevumu klasifikāciju atbilstoši funkcionālajām kategorijām” attiecībā uz terminoloģijas lietošanu jautājumā par neatraidāmajiem mantiniekiem – </w:t>
            </w:r>
            <w:r w:rsidRPr="007F532E">
              <w:t xml:space="preserve">par atbildīgo par grozījumu izstrādi šajos noteikumos nosakot </w:t>
            </w:r>
            <w:r w:rsidRPr="007F532E">
              <w:rPr>
                <w:bCs/>
              </w:rPr>
              <w:t>Tieslietu ministriju.</w:t>
            </w:r>
          </w:p>
          <w:p w:rsidR="006E6DE1" w:rsidRDefault="006E6DE1" w:rsidP="00BA70AA">
            <w:pPr>
              <w:ind w:left="-108" w:firstLine="284"/>
              <w:jc w:val="both"/>
            </w:pPr>
            <w:r w:rsidRPr="007F532E">
              <w:rPr>
                <w:bCs/>
              </w:rPr>
              <w:t xml:space="preserve">3. Ministru kabineta </w:t>
            </w:r>
            <w:r w:rsidRPr="007F532E">
              <w:t>2008. gada 4. augusta noteikumos Nr.618 „Noteikumi par mantojuma reģistra un mantojuma lietu vešanu”, lai tos saskaņotu ar attiecīgajiem grozījumiem likumos – par atbildīgo par grozījumu izstrādi šajos noteikumos nosakot Tieslietu ministriju.</w:t>
            </w:r>
          </w:p>
          <w:p w:rsidR="006E6DE1" w:rsidRDefault="006E6DE1" w:rsidP="00BA70AA">
            <w:pPr>
              <w:ind w:left="-108" w:firstLine="284"/>
              <w:jc w:val="both"/>
            </w:pPr>
            <w:r w:rsidRPr="007F532E">
              <w:t>4. Ministru kabineta 2008. gada 15.septembra  noteikumos Nr.747 „Noteikumi par zvērinātu notāru atlīdzības taksēm un to noteikšanas kārtību”, lai noteiktu zvērināta notāra atlīdzības taksi par aizgādnības nodibināšanu mantojumam – par atbildīgo par grozījumu izstrādi šajos noteikumos nosakot Tieslietu ministriju.</w:t>
            </w:r>
          </w:p>
          <w:p w:rsidR="006E6DE1" w:rsidRPr="007F532E" w:rsidRDefault="006E6DE1" w:rsidP="00BA70AA">
            <w:pPr>
              <w:ind w:left="-108" w:firstLine="284"/>
              <w:jc w:val="both"/>
            </w:pPr>
            <w:r w:rsidRPr="007F532E">
              <w:t>5. Ministru kabineta 2008.gada 6.maija noteikumu Nr.319 „Noteikumi par mantojuma apliecību paraugiem” 1.pielikumā, svītrojot norādi uz laulāto likumiskajām mantiskajām attiecībām – par atbildīgo par grozījumu izstrādi šajos noteikumos nosakot Tieslietu ministriju.</w:t>
            </w:r>
          </w:p>
          <w:p w:rsidR="006E6DE1" w:rsidRPr="004268E7" w:rsidRDefault="006E6DE1" w:rsidP="00BA70AA">
            <w:pPr>
              <w:ind w:left="-108" w:firstLine="284"/>
              <w:jc w:val="both"/>
              <w:rPr>
                <w:iCs/>
              </w:rPr>
            </w:pPr>
            <w:r w:rsidRPr="007F532E">
              <w:t>Ministru kabineta noteikumu projekti tiks izstrādāti triju mēnešu laikā pēc augstāk minēto likumprojektu pieņemšanas Saeimā 2.lasījumā, lai tie varētu stāties spēkā vienlaicīgi ar attiecīgiem grozījumiem likumos</w:t>
            </w:r>
            <w:r>
              <w:rPr>
                <w:sz w:val="28"/>
                <w:szCs w:val="28"/>
              </w:rPr>
              <w:t>.</w:t>
            </w:r>
          </w:p>
        </w:tc>
      </w:tr>
      <w:tr w:rsidR="006E6DE1" w:rsidRPr="004268E7" w:rsidTr="00BA70AA">
        <w:trPr>
          <w:jc w:val="center"/>
        </w:trPr>
        <w:tc>
          <w:tcPr>
            <w:tcW w:w="453" w:type="dxa"/>
          </w:tcPr>
          <w:p w:rsidR="006E6DE1" w:rsidRPr="004268E7" w:rsidRDefault="006E6DE1" w:rsidP="00BA70AA">
            <w:pPr>
              <w:pStyle w:val="naiskr"/>
              <w:tabs>
                <w:tab w:val="left" w:pos="2628"/>
              </w:tabs>
              <w:spacing w:before="0" w:after="0"/>
              <w:jc w:val="both"/>
              <w:rPr>
                <w:b/>
                <w:iCs/>
              </w:rPr>
            </w:pPr>
            <w:r w:rsidRPr="004268E7">
              <w:rPr>
                <w:b/>
                <w:iCs/>
              </w:rPr>
              <w:t>2.</w:t>
            </w:r>
          </w:p>
        </w:tc>
        <w:tc>
          <w:tcPr>
            <w:tcW w:w="2723" w:type="dxa"/>
          </w:tcPr>
          <w:p w:rsidR="006E6DE1" w:rsidRPr="004268E7" w:rsidRDefault="006E6DE1" w:rsidP="00BA70AA">
            <w:pPr>
              <w:pStyle w:val="naiskr"/>
              <w:tabs>
                <w:tab w:val="left" w:pos="2628"/>
              </w:tabs>
              <w:spacing w:before="0" w:after="0"/>
              <w:jc w:val="both"/>
              <w:rPr>
                <w:b/>
                <w:iCs/>
              </w:rPr>
            </w:pPr>
            <w:r w:rsidRPr="004268E7">
              <w:rPr>
                <w:b/>
                <w:sz w:val="22"/>
                <w:szCs w:val="22"/>
              </w:rPr>
              <w:t>Cita informācija</w:t>
            </w:r>
          </w:p>
        </w:tc>
        <w:tc>
          <w:tcPr>
            <w:tcW w:w="6577" w:type="dxa"/>
          </w:tcPr>
          <w:p w:rsidR="006E6DE1" w:rsidRPr="004268E7" w:rsidRDefault="006E6DE1" w:rsidP="00BA70AA">
            <w:pPr>
              <w:pStyle w:val="naiskr"/>
              <w:tabs>
                <w:tab w:val="left" w:pos="2628"/>
              </w:tabs>
              <w:spacing w:before="0" w:after="0"/>
              <w:ind w:left="-108" w:firstLine="284"/>
              <w:jc w:val="both"/>
              <w:rPr>
                <w:iCs/>
              </w:rPr>
            </w:pPr>
            <w:r w:rsidRPr="004268E7">
              <w:t xml:space="preserve">Bez tam </w:t>
            </w:r>
            <w:r>
              <w:t>atsevišķi</w:t>
            </w:r>
            <w:r w:rsidRPr="004268E7">
              <w:t xml:space="preserve"> tiek virzīti </w:t>
            </w:r>
            <w:r w:rsidRPr="004268E7">
              <w:rPr>
                <w:iCs/>
              </w:rPr>
              <w:t>sekojošie likumprojekti, kuru pieņemšana neietekmē likumprojekta virzību:</w:t>
            </w:r>
          </w:p>
          <w:p w:rsidR="006E6DE1" w:rsidRPr="004268E7" w:rsidRDefault="006E6DE1" w:rsidP="00BA70AA">
            <w:pPr>
              <w:pStyle w:val="naiskr"/>
              <w:tabs>
                <w:tab w:val="left" w:pos="2628"/>
              </w:tabs>
              <w:spacing w:before="0" w:after="0"/>
              <w:ind w:left="-108" w:firstLine="284"/>
              <w:jc w:val="both"/>
              <w:rPr>
                <w:iCs/>
              </w:rPr>
            </w:pPr>
            <w:r w:rsidRPr="004268E7">
              <w:rPr>
                <w:iCs/>
              </w:rPr>
              <w:lastRenderedPageBreak/>
              <w:t xml:space="preserve">1. Likumprojekts „Grozījumi </w:t>
            </w:r>
            <w:r w:rsidRPr="004268E7">
              <w:rPr>
                <w:bCs/>
              </w:rPr>
              <w:t>Valsts un pašvaldību institūciju amatpersonu un darbinieku atlīdzības likumā”;</w:t>
            </w:r>
          </w:p>
          <w:p w:rsidR="006E6DE1" w:rsidRPr="004268E7" w:rsidRDefault="006E6DE1" w:rsidP="00BA70AA">
            <w:pPr>
              <w:pStyle w:val="naiskr"/>
              <w:tabs>
                <w:tab w:val="left" w:pos="2628"/>
              </w:tabs>
              <w:spacing w:before="0" w:after="0"/>
              <w:ind w:firstLine="176"/>
              <w:jc w:val="both"/>
              <w:rPr>
                <w:iCs/>
              </w:rPr>
            </w:pPr>
            <w:r w:rsidRPr="004268E7">
              <w:rPr>
                <w:bCs/>
              </w:rPr>
              <w:t>2. Likumprojekts „Grozījums Starptautiskās palīdzības likumā”;</w:t>
            </w:r>
          </w:p>
          <w:p w:rsidR="006E6DE1" w:rsidRPr="004268E7" w:rsidRDefault="006E6DE1" w:rsidP="00BA70AA">
            <w:pPr>
              <w:pStyle w:val="naiskr"/>
              <w:tabs>
                <w:tab w:val="left" w:pos="2628"/>
              </w:tabs>
              <w:spacing w:before="0" w:after="0"/>
              <w:ind w:firstLine="176"/>
              <w:jc w:val="both"/>
              <w:rPr>
                <w:iCs/>
              </w:rPr>
            </w:pPr>
            <w:r w:rsidRPr="004268E7">
              <w:rPr>
                <w:bCs/>
              </w:rPr>
              <w:t>3. Likumprojekts „Grozījums Militārā dienesta likumā”;</w:t>
            </w:r>
          </w:p>
          <w:p w:rsidR="006E6DE1" w:rsidRPr="004268E7" w:rsidRDefault="006E6DE1" w:rsidP="00BA70AA">
            <w:pPr>
              <w:pStyle w:val="naiskr"/>
              <w:tabs>
                <w:tab w:val="left" w:pos="459"/>
              </w:tabs>
              <w:spacing w:before="0" w:after="0"/>
              <w:ind w:left="-108" w:firstLine="284"/>
              <w:jc w:val="both"/>
              <w:rPr>
                <w:bCs/>
              </w:rPr>
            </w:pPr>
            <w:r w:rsidRPr="004268E7">
              <w:rPr>
                <w:bCs/>
              </w:rPr>
              <w:t xml:space="preserve">4.Likumprojekts „Grozījumi Latvijas Republikas Zemessardzes likumā”. </w:t>
            </w:r>
          </w:p>
          <w:p w:rsidR="006E6DE1" w:rsidRPr="004268E7" w:rsidRDefault="006E6DE1" w:rsidP="00BA70AA">
            <w:pPr>
              <w:pStyle w:val="naiskr"/>
              <w:tabs>
                <w:tab w:val="left" w:pos="459"/>
              </w:tabs>
              <w:spacing w:before="0" w:after="0"/>
              <w:ind w:left="-108" w:firstLine="284"/>
              <w:jc w:val="both"/>
              <w:rPr>
                <w:iCs/>
              </w:rPr>
            </w:pPr>
            <w:r w:rsidRPr="004268E7">
              <w:rPr>
                <w:bCs/>
              </w:rPr>
              <w:t>Minētajos likumprojektos ietverts regulējums, kas paredz precizēt tajos lietoto terminoloģiju attiecībā uz</w:t>
            </w:r>
            <w:r>
              <w:rPr>
                <w:bCs/>
              </w:rPr>
              <w:t xml:space="preserve"> „neatraidāmajiem mantiniekiem”</w:t>
            </w:r>
            <w:r w:rsidRPr="004268E7">
              <w:rPr>
                <w:bCs/>
              </w:rPr>
              <w:t xml:space="preserve"> tā, </w:t>
            </w:r>
            <w:r w:rsidRPr="004268E7">
              <w:t>lai tiesību normas lietotājs varētu gūt juridiski skaidru un nepārprotamu priekšstatu par attiecīgu normu, to darbību un nepieļautu normas nepareizu interpretāciju.</w:t>
            </w:r>
          </w:p>
        </w:tc>
      </w:tr>
    </w:tbl>
    <w:p w:rsidR="006E6DE1" w:rsidRPr="004268E7" w:rsidRDefault="006E6DE1" w:rsidP="006E6DE1">
      <w:pPr>
        <w:rPr>
          <w:sz w:val="2"/>
          <w:szCs w:val="2"/>
        </w:rPr>
      </w:pPr>
    </w:p>
    <w:p w:rsidR="006E6DE1" w:rsidRPr="004268E7" w:rsidRDefault="006E6DE1" w:rsidP="006E6DE1">
      <w:pPr>
        <w:pStyle w:val="naisf"/>
        <w:spacing w:before="0" w:after="0"/>
        <w:rPr>
          <w:sz w:val="28"/>
          <w:szCs w:val="28"/>
        </w:rPr>
      </w:pPr>
    </w:p>
    <w:tbl>
      <w:tblPr>
        <w:tblW w:w="9640" w:type="dxa"/>
        <w:tblInd w:w="-25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9640"/>
      </w:tblGrid>
      <w:tr w:rsidR="006E6DE1" w:rsidRPr="004268E7" w:rsidTr="00BA70AA">
        <w:tc>
          <w:tcPr>
            <w:tcW w:w="9640" w:type="dxa"/>
            <w:tcBorders>
              <w:top w:val="outset" w:sz="6" w:space="0" w:color="auto"/>
              <w:left w:val="outset" w:sz="6" w:space="0" w:color="auto"/>
              <w:bottom w:val="outset" w:sz="6" w:space="0" w:color="auto"/>
              <w:right w:val="outset" w:sz="6" w:space="0" w:color="auto"/>
            </w:tcBorders>
            <w:vAlign w:val="center"/>
          </w:tcPr>
          <w:p w:rsidR="006E6DE1" w:rsidRPr="004268E7" w:rsidRDefault="006E6DE1" w:rsidP="00BA70AA">
            <w:pPr>
              <w:jc w:val="center"/>
              <w:rPr>
                <w:b/>
              </w:rPr>
            </w:pPr>
            <w:r w:rsidRPr="004268E7">
              <w:rPr>
                <w:b/>
              </w:rPr>
              <w:t>V. Tiesību akta projekta atbilstība Latvijas Republikas starptautiskajām saistībām</w:t>
            </w:r>
          </w:p>
          <w:p w:rsidR="006E6DE1" w:rsidRPr="004268E7" w:rsidRDefault="006E6DE1" w:rsidP="00BA70AA">
            <w:pPr>
              <w:jc w:val="center"/>
            </w:pPr>
          </w:p>
          <w:p w:rsidR="006E6DE1" w:rsidRPr="004268E7" w:rsidRDefault="006E6DE1" w:rsidP="00BA70AA">
            <w:pPr>
              <w:jc w:val="center"/>
              <w:rPr>
                <w:b/>
              </w:rPr>
            </w:pPr>
            <w:r w:rsidRPr="004268E7">
              <w:t>Projekts šo jomu neskar.</w:t>
            </w:r>
          </w:p>
        </w:tc>
      </w:tr>
    </w:tbl>
    <w:p w:rsidR="006E6DE1" w:rsidRPr="004268E7" w:rsidRDefault="006E6DE1" w:rsidP="006E6DE1">
      <w:pPr>
        <w:pStyle w:val="naisf"/>
        <w:spacing w:before="0" w:after="0"/>
        <w:rPr>
          <w:sz w:val="28"/>
          <w:szCs w:val="28"/>
        </w:rPr>
      </w:pPr>
    </w:p>
    <w:tbl>
      <w:tblPr>
        <w:tblW w:w="9677" w:type="dxa"/>
        <w:jc w:val="center"/>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
        <w:gridCol w:w="455"/>
        <w:gridCol w:w="4235"/>
        <w:gridCol w:w="4950"/>
        <w:gridCol w:w="18"/>
      </w:tblGrid>
      <w:tr w:rsidR="006E6DE1" w:rsidRPr="00607491" w:rsidTr="00BA70AA">
        <w:trPr>
          <w:jc w:val="center"/>
        </w:trPr>
        <w:tc>
          <w:tcPr>
            <w:tcW w:w="9677" w:type="dxa"/>
            <w:gridSpan w:val="5"/>
            <w:tcBorders>
              <w:top w:val="single" w:sz="4" w:space="0" w:color="auto"/>
              <w:left w:val="single" w:sz="4" w:space="0" w:color="auto"/>
              <w:bottom w:val="single" w:sz="4" w:space="0" w:color="auto"/>
              <w:right w:val="single" w:sz="4" w:space="0" w:color="auto"/>
            </w:tcBorders>
          </w:tcPr>
          <w:p w:rsidR="006E6DE1" w:rsidRPr="00607491" w:rsidRDefault="006E6DE1" w:rsidP="00BA70AA">
            <w:pPr>
              <w:pStyle w:val="naisnod"/>
              <w:spacing w:before="0" w:after="0"/>
              <w:ind w:left="57" w:right="57"/>
            </w:pPr>
            <w:r w:rsidRPr="00607491">
              <w:t>VI. Sabiedrības līdzdalība un šīs līdzdalības rezultāti</w:t>
            </w:r>
          </w:p>
        </w:tc>
      </w:tr>
      <w:tr w:rsidR="006E6DE1" w:rsidRPr="00607491" w:rsidTr="00BA70AA">
        <w:trPr>
          <w:gridBefore w:val="1"/>
          <w:gridAfter w:val="1"/>
          <w:wBefore w:w="19" w:type="dxa"/>
          <w:wAfter w:w="18" w:type="dxa"/>
          <w:trHeight w:val="553"/>
          <w:jc w:val="center"/>
        </w:trPr>
        <w:tc>
          <w:tcPr>
            <w:tcW w:w="455" w:type="dxa"/>
          </w:tcPr>
          <w:p w:rsidR="006E6DE1" w:rsidRPr="00607491" w:rsidRDefault="006E6DE1" w:rsidP="00BA70AA">
            <w:pPr>
              <w:pStyle w:val="naiskr"/>
              <w:spacing w:before="0" w:after="0"/>
              <w:ind w:left="57" w:right="57"/>
              <w:rPr>
                <w:bCs/>
              </w:rPr>
            </w:pPr>
            <w:r w:rsidRPr="00607491">
              <w:rPr>
                <w:bCs/>
              </w:rPr>
              <w:t>1.</w:t>
            </w:r>
          </w:p>
        </w:tc>
        <w:tc>
          <w:tcPr>
            <w:tcW w:w="4235" w:type="dxa"/>
          </w:tcPr>
          <w:p w:rsidR="006E6DE1" w:rsidRPr="00607491" w:rsidRDefault="006E6DE1" w:rsidP="00BA70AA">
            <w:pPr>
              <w:pStyle w:val="naiskr"/>
              <w:tabs>
                <w:tab w:val="left" w:pos="170"/>
              </w:tabs>
              <w:spacing w:before="0" w:after="0"/>
              <w:ind w:left="57" w:right="57"/>
              <w:rPr>
                <w:b/>
              </w:rPr>
            </w:pPr>
            <w:r w:rsidRPr="00607491">
              <w:rPr>
                <w:b/>
              </w:rPr>
              <w:t>Sabiedrības informēšana par projekta izstrādes uzsākšanu</w:t>
            </w:r>
          </w:p>
        </w:tc>
        <w:tc>
          <w:tcPr>
            <w:tcW w:w="4950" w:type="dxa"/>
          </w:tcPr>
          <w:p w:rsidR="006E6DE1" w:rsidRPr="00607491" w:rsidRDefault="00447FAF" w:rsidP="00BA70AA">
            <w:pPr>
              <w:pStyle w:val="naiskr"/>
              <w:spacing w:before="0" w:after="0"/>
              <w:ind w:firstLine="284"/>
              <w:jc w:val="both"/>
            </w:pPr>
            <w:r w:rsidRPr="004268E7">
              <w:t>L</w:t>
            </w:r>
            <w:r>
              <w:t>atvijas zvērinātu notāru padome</w:t>
            </w:r>
            <w:r w:rsidRPr="004268E7">
              <w:t>, Latvijas zvē</w:t>
            </w:r>
            <w:r>
              <w:t>rinātu tiesu izpildītāju padome, kā arī Latvijas Universitātes lektori</w:t>
            </w:r>
            <w:r w:rsidRPr="004268E7">
              <w:t xml:space="preserve"> </w:t>
            </w:r>
            <w:r w:rsidRPr="00607491">
              <w:t xml:space="preserve">tika informēti par </w:t>
            </w:r>
            <w:r>
              <w:t>likumprojekta</w:t>
            </w:r>
            <w:r w:rsidRPr="00607491">
              <w:t xml:space="preserve"> izstrādi </w:t>
            </w:r>
            <w:r>
              <w:t>un piedalījās darba grupās.</w:t>
            </w:r>
          </w:p>
        </w:tc>
      </w:tr>
      <w:tr w:rsidR="006E6DE1" w:rsidRPr="00607491" w:rsidTr="00BA70AA">
        <w:trPr>
          <w:gridBefore w:val="1"/>
          <w:gridAfter w:val="1"/>
          <w:wBefore w:w="19" w:type="dxa"/>
          <w:wAfter w:w="18" w:type="dxa"/>
          <w:trHeight w:val="339"/>
          <w:jc w:val="center"/>
        </w:trPr>
        <w:tc>
          <w:tcPr>
            <w:tcW w:w="455" w:type="dxa"/>
          </w:tcPr>
          <w:p w:rsidR="006E6DE1" w:rsidRPr="00607491" w:rsidRDefault="006E6DE1" w:rsidP="00BA70AA">
            <w:pPr>
              <w:pStyle w:val="naiskr"/>
              <w:spacing w:before="0" w:after="0"/>
              <w:ind w:left="57" w:right="57"/>
              <w:rPr>
                <w:bCs/>
              </w:rPr>
            </w:pPr>
            <w:r w:rsidRPr="00607491">
              <w:rPr>
                <w:bCs/>
              </w:rPr>
              <w:t>2.</w:t>
            </w:r>
          </w:p>
        </w:tc>
        <w:tc>
          <w:tcPr>
            <w:tcW w:w="4235" w:type="dxa"/>
          </w:tcPr>
          <w:p w:rsidR="006E6DE1" w:rsidRPr="00607491" w:rsidRDefault="006E6DE1" w:rsidP="00BA70AA">
            <w:pPr>
              <w:pStyle w:val="naiskr"/>
              <w:spacing w:before="0" w:after="0"/>
              <w:ind w:left="57" w:right="57"/>
              <w:rPr>
                <w:b/>
              </w:rPr>
            </w:pPr>
            <w:r w:rsidRPr="00607491">
              <w:rPr>
                <w:b/>
              </w:rPr>
              <w:t xml:space="preserve">Sabiedrības līdzdalība projekta izstrādē </w:t>
            </w:r>
          </w:p>
        </w:tc>
        <w:tc>
          <w:tcPr>
            <w:tcW w:w="4950" w:type="dxa"/>
          </w:tcPr>
          <w:p w:rsidR="006E6DE1" w:rsidRPr="00607491" w:rsidRDefault="006E6DE1" w:rsidP="00BA70AA">
            <w:pPr>
              <w:pStyle w:val="naiskr"/>
              <w:spacing w:before="0" w:after="0"/>
              <w:ind w:firstLine="284"/>
              <w:jc w:val="both"/>
            </w:pPr>
            <w:r>
              <w:t xml:space="preserve">Darba grupā tika iesniegti un izvērtēti iesaistīto pušu priekšlikumi. </w:t>
            </w:r>
          </w:p>
        </w:tc>
      </w:tr>
      <w:tr w:rsidR="006E6DE1" w:rsidRPr="00607491" w:rsidTr="00BA70AA">
        <w:trPr>
          <w:gridBefore w:val="1"/>
          <w:gridAfter w:val="1"/>
          <w:wBefore w:w="19" w:type="dxa"/>
          <w:wAfter w:w="18" w:type="dxa"/>
          <w:trHeight w:val="375"/>
          <w:jc w:val="center"/>
        </w:trPr>
        <w:tc>
          <w:tcPr>
            <w:tcW w:w="455" w:type="dxa"/>
          </w:tcPr>
          <w:p w:rsidR="006E6DE1" w:rsidRPr="00607491" w:rsidRDefault="006E6DE1" w:rsidP="00BA70AA">
            <w:pPr>
              <w:pStyle w:val="naiskr"/>
              <w:spacing w:before="0" w:after="0"/>
              <w:ind w:left="57" w:right="57"/>
              <w:rPr>
                <w:bCs/>
              </w:rPr>
            </w:pPr>
            <w:r w:rsidRPr="00607491">
              <w:rPr>
                <w:bCs/>
              </w:rPr>
              <w:t>3.</w:t>
            </w:r>
          </w:p>
        </w:tc>
        <w:tc>
          <w:tcPr>
            <w:tcW w:w="4235" w:type="dxa"/>
          </w:tcPr>
          <w:p w:rsidR="006E6DE1" w:rsidRPr="00607491" w:rsidRDefault="006E6DE1" w:rsidP="00BA70AA">
            <w:pPr>
              <w:pStyle w:val="naiskr"/>
              <w:spacing w:before="0" w:after="0"/>
              <w:ind w:left="57" w:right="57"/>
              <w:rPr>
                <w:b/>
              </w:rPr>
            </w:pPr>
            <w:r w:rsidRPr="00607491">
              <w:rPr>
                <w:b/>
              </w:rPr>
              <w:t xml:space="preserve">Sabiedrības līdzdalības rezultāti </w:t>
            </w:r>
          </w:p>
        </w:tc>
        <w:tc>
          <w:tcPr>
            <w:tcW w:w="4950" w:type="dxa"/>
          </w:tcPr>
          <w:p w:rsidR="006E6DE1" w:rsidRPr="00607491" w:rsidRDefault="006E6DE1" w:rsidP="00BA70AA">
            <w:pPr>
              <w:pStyle w:val="naiskr"/>
              <w:spacing w:before="0" w:after="0"/>
              <w:ind w:firstLine="272"/>
              <w:jc w:val="both"/>
            </w:pPr>
            <w:r>
              <w:t>Iesaistīto pušu priekšlikumu iestrādāti likumprojektā.</w:t>
            </w:r>
          </w:p>
        </w:tc>
      </w:tr>
      <w:tr w:rsidR="006E6DE1" w:rsidRPr="00607491" w:rsidTr="00BA70AA">
        <w:trPr>
          <w:gridBefore w:val="1"/>
          <w:gridAfter w:val="1"/>
          <w:wBefore w:w="19" w:type="dxa"/>
          <w:wAfter w:w="18" w:type="dxa"/>
          <w:trHeight w:val="397"/>
          <w:jc w:val="center"/>
        </w:trPr>
        <w:tc>
          <w:tcPr>
            <w:tcW w:w="455" w:type="dxa"/>
          </w:tcPr>
          <w:p w:rsidR="006E6DE1" w:rsidRPr="00607491" w:rsidRDefault="006E6DE1" w:rsidP="00BA70AA">
            <w:pPr>
              <w:pStyle w:val="naiskr"/>
              <w:spacing w:before="0" w:after="0"/>
              <w:ind w:left="57" w:right="57"/>
              <w:rPr>
                <w:bCs/>
              </w:rPr>
            </w:pPr>
            <w:r w:rsidRPr="00607491">
              <w:rPr>
                <w:bCs/>
              </w:rPr>
              <w:t>4.</w:t>
            </w:r>
          </w:p>
        </w:tc>
        <w:tc>
          <w:tcPr>
            <w:tcW w:w="4235" w:type="dxa"/>
          </w:tcPr>
          <w:p w:rsidR="006E6DE1" w:rsidRPr="00607491" w:rsidRDefault="006E6DE1" w:rsidP="00BA70AA">
            <w:pPr>
              <w:pStyle w:val="naiskr"/>
              <w:spacing w:before="0" w:after="0"/>
              <w:ind w:left="57" w:right="57"/>
              <w:rPr>
                <w:b/>
              </w:rPr>
            </w:pPr>
            <w:r w:rsidRPr="00607491">
              <w:rPr>
                <w:b/>
              </w:rPr>
              <w:t>Saeimas un ekspertu līdzdalība</w:t>
            </w:r>
          </w:p>
        </w:tc>
        <w:tc>
          <w:tcPr>
            <w:tcW w:w="4950" w:type="dxa"/>
          </w:tcPr>
          <w:p w:rsidR="006E6DE1" w:rsidRPr="00607491" w:rsidRDefault="006E6DE1" w:rsidP="00BA70AA">
            <w:pPr>
              <w:ind w:firstLine="284"/>
              <w:jc w:val="both"/>
            </w:pPr>
            <w:r w:rsidRPr="004268E7">
              <w:t>Projekts šo jomu neskar.</w:t>
            </w:r>
          </w:p>
        </w:tc>
      </w:tr>
      <w:tr w:rsidR="006E6DE1" w:rsidRPr="00607491" w:rsidTr="00BA70AA">
        <w:trPr>
          <w:gridBefore w:val="1"/>
          <w:gridAfter w:val="1"/>
          <w:wBefore w:w="19" w:type="dxa"/>
          <w:wAfter w:w="18" w:type="dxa"/>
          <w:trHeight w:val="476"/>
          <w:jc w:val="center"/>
        </w:trPr>
        <w:tc>
          <w:tcPr>
            <w:tcW w:w="455" w:type="dxa"/>
          </w:tcPr>
          <w:p w:rsidR="006E6DE1" w:rsidRPr="00607491" w:rsidRDefault="006E6DE1" w:rsidP="00BA70AA">
            <w:pPr>
              <w:pStyle w:val="naiskr"/>
              <w:spacing w:before="0" w:after="0"/>
              <w:ind w:left="57" w:right="57"/>
              <w:rPr>
                <w:bCs/>
              </w:rPr>
            </w:pPr>
            <w:r w:rsidRPr="00607491">
              <w:rPr>
                <w:bCs/>
              </w:rPr>
              <w:t>5.</w:t>
            </w:r>
          </w:p>
        </w:tc>
        <w:tc>
          <w:tcPr>
            <w:tcW w:w="4235" w:type="dxa"/>
          </w:tcPr>
          <w:p w:rsidR="006E6DE1" w:rsidRPr="00607491" w:rsidRDefault="006E6DE1" w:rsidP="00BA70AA">
            <w:pPr>
              <w:pStyle w:val="naiskr"/>
              <w:spacing w:before="0" w:after="0"/>
              <w:ind w:left="57" w:right="57"/>
              <w:rPr>
                <w:b/>
              </w:rPr>
            </w:pPr>
            <w:r w:rsidRPr="00607491">
              <w:rPr>
                <w:b/>
              </w:rPr>
              <w:t>Cita informācija</w:t>
            </w:r>
          </w:p>
          <w:p w:rsidR="006E6DE1" w:rsidRPr="00607491" w:rsidRDefault="006E6DE1" w:rsidP="00BA70AA">
            <w:pPr>
              <w:pStyle w:val="naiskr"/>
              <w:spacing w:before="0" w:after="0"/>
              <w:ind w:left="57" w:right="57"/>
              <w:rPr>
                <w:b/>
              </w:rPr>
            </w:pPr>
          </w:p>
        </w:tc>
        <w:tc>
          <w:tcPr>
            <w:tcW w:w="4950" w:type="dxa"/>
          </w:tcPr>
          <w:p w:rsidR="006E6DE1" w:rsidRPr="00607491" w:rsidRDefault="006E6DE1" w:rsidP="00BA70AA">
            <w:pPr>
              <w:pStyle w:val="naiskr"/>
              <w:spacing w:before="0" w:after="0"/>
              <w:ind w:firstLine="284"/>
              <w:jc w:val="both"/>
            </w:pPr>
            <w:r w:rsidRPr="00607491">
              <w:t>Nav</w:t>
            </w:r>
          </w:p>
        </w:tc>
      </w:tr>
    </w:tbl>
    <w:p w:rsidR="006E6DE1" w:rsidRDefault="006E6DE1" w:rsidP="006E6DE1">
      <w:pPr>
        <w:pStyle w:val="naisf"/>
        <w:spacing w:before="0" w:after="0"/>
        <w:rPr>
          <w:sz w:val="28"/>
          <w:szCs w:val="28"/>
        </w:rPr>
      </w:pP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26"/>
        <w:gridCol w:w="2693"/>
        <w:gridCol w:w="6521"/>
      </w:tblGrid>
      <w:tr w:rsidR="006E6DE1" w:rsidRPr="004268E7" w:rsidTr="00BA70AA">
        <w:tc>
          <w:tcPr>
            <w:tcW w:w="9640" w:type="dxa"/>
            <w:gridSpan w:val="3"/>
            <w:tcBorders>
              <w:top w:val="single" w:sz="4" w:space="0" w:color="auto"/>
            </w:tcBorders>
          </w:tcPr>
          <w:p w:rsidR="006E6DE1" w:rsidRPr="004268E7" w:rsidRDefault="006E6DE1" w:rsidP="00BA70AA">
            <w:pPr>
              <w:pStyle w:val="naisnod"/>
              <w:spacing w:before="0" w:after="0"/>
              <w:ind w:left="57" w:right="57"/>
            </w:pPr>
            <w:r w:rsidRPr="004268E7">
              <w:t>VII. Tiesību akta projekta izpildes nodrošināšana un tās ietekme uz institūcijām</w:t>
            </w:r>
          </w:p>
        </w:tc>
      </w:tr>
      <w:tr w:rsidR="006E6DE1" w:rsidRPr="004268E7" w:rsidTr="00BA70AA">
        <w:trPr>
          <w:trHeight w:val="427"/>
        </w:trPr>
        <w:tc>
          <w:tcPr>
            <w:tcW w:w="426" w:type="dxa"/>
          </w:tcPr>
          <w:p w:rsidR="006E6DE1" w:rsidRPr="004268E7" w:rsidRDefault="006E6DE1" w:rsidP="00BA70AA">
            <w:pPr>
              <w:pStyle w:val="naisnod"/>
              <w:spacing w:before="0" w:after="0"/>
              <w:ind w:left="57" w:right="57"/>
              <w:jc w:val="both"/>
            </w:pPr>
            <w:r w:rsidRPr="004268E7">
              <w:rPr>
                <w:sz w:val="22"/>
                <w:szCs w:val="22"/>
              </w:rPr>
              <w:t>1.</w:t>
            </w:r>
          </w:p>
        </w:tc>
        <w:tc>
          <w:tcPr>
            <w:tcW w:w="2693" w:type="dxa"/>
          </w:tcPr>
          <w:p w:rsidR="006E6DE1" w:rsidRPr="004268E7" w:rsidRDefault="006E6DE1" w:rsidP="00BA70AA">
            <w:pPr>
              <w:pStyle w:val="naisf"/>
              <w:spacing w:before="0" w:after="0"/>
              <w:ind w:left="57" w:right="57" w:firstLine="0"/>
              <w:rPr>
                <w:b/>
              </w:rPr>
            </w:pPr>
            <w:r w:rsidRPr="004268E7">
              <w:rPr>
                <w:b/>
                <w:sz w:val="22"/>
                <w:szCs w:val="22"/>
              </w:rPr>
              <w:t xml:space="preserve">Projekta izpildē iesaistītās institūcijas </w:t>
            </w:r>
          </w:p>
        </w:tc>
        <w:tc>
          <w:tcPr>
            <w:tcW w:w="6521" w:type="dxa"/>
          </w:tcPr>
          <w:p w:rsidR="006E6DE1" w:rsidRPr="004268E7" w:rsidRDefault="006E6DE1" w:rsidP="00BA70AA">
            <w:pPr>
              <w:pStyle w:val="naisnod"/>
              <w:spacing w:before="0" w:after="0"/>
              <w:ind w:left="-28" w:right="57" w:firstLine="284"/>
              <w:jc w:val="both"/>
              <w:rPr>
                <w:b w:val="0"/>
              </w:rPr>
            </w:pPr>
            <w:r w:rsidRPr="004268E7">
              <w:rPr>
                <w:b w:val="0"/>
              </w:rPr>
              <w:t>Likumprojekta izpildi atbilstoši ārējos normatīvajos aktos nostiprinātajai kompetencei nodrošinās zvērināti notāri, bāriņtiesas un tiesas.</w:t>
            </w:r>
          </w:p>
        </w:tc>
      </w:tr>
      <w:tr w:rsidR="006E6DE1" w:rsidRPr="004268E7" w:rsidTr="00BA70AA">
        <w:trPr>
          <w:trHeight w:val="463"/>
        </w:trPr>
        <w:tc>
          <w:tcPr>
            <w:tcW w:w="426" w:type="dxa"/>
          </w:tcPr>
          <w:p w:rsidR="006E6DE1" w:rsidRPr="004268E7" w:rsidRDefault="006E6DE1" w:rsidP="00BA70AA">
            <w:pPr>
              <w:pStyle w:val="naisnod"/>
              <w:spacing w:before="0" w:after="0"/>
              <w:ind w:left="57" w:right="57"/>
              <w:jc w:val="both"/>
            </w:pPr>
            <w:r w:rsidRPr="004268E7">
              <w:rPr>
                <w:sz w:val="22"/>
                <w:szCs w:val="22"/>
              </w:rPr>
              <w:t>2.</w:t>
            </w:r>
          </w:p>
        </w:tc>
        <w:tc>
          <w:tcPr>
            <w:tcW w:w="2693" w:type="dxa"/>
          </w:tcPr>
          <w:p w:rsidR="006E6DE1" w:rsidRPr="004268E7" w:rsidRDefault="006E6DE1" w:rsidP="00BA70AA">
            <w:pPr>
              <w:pStyle w:val="naisf"/>
              <w:spacing w:before="0" w:after="0"/>
              <w:ind w:left="57" w:right="57" w:firstLine="0"/>
              <w:rPr>
                <w:b/>
              </w:rPr>
            </w:pPr>
            <w:r w:rsidRPr="004268E7">
              <w:rPr>
                <w:b/>
                <w:sz w:val="22"/>
                <w:szCs w:val="22"/>
              </w:rPr>
              <w:t xml:space="preserve">Projekta izpildes ietekme uz pārvaldes funkcijām </w:t>
            </w:r>
          </w:p>
        </w:tc>
        <w:tc>
          <w:tcPr>
            <w:tcW w:w="6521" w:type="dxa"/>
          </w:tcPr>
          <w:p w:rsidR="006E6DE1" w:rsidRDefault="006E6DE1" w:rsidP="00BA70AA">
            <w:pPr>
              <w:ind w:firstLine="256"/>
              <w:jc w:val="both"/>
              <w:rPr>
                <w:iCs/>
              </w:rPr>
            </w:pPr>
            <w:r w:rsidRPr="00E87F20">
              <w:rPr>
                <w:iCs/>
              </w:rPr>
              <w:t>Tiesas: ar likumprojektu paredzēts atbrīvot tiesas no aizgādnības nodibināšanas mantojumam funkcijas.</w:t>
            </w:r>
          </w:p>
          <w:p w:rsidR="006E6DE1" w:rsidRDefault="006E6DE1" w:rsidP="00BA70AA">
            <w:pPr>
              <w:ind w:firstLine="256"/>
              <w:jc w:val="both"/>
              <w:rPr>
                <w:iCs/>
              </w:rPr>
            </w:pPr>
            <w:r w:rsidRPr="00B67F09">
              <w:rPr>
                <w:iCs/>
              </w:rPr>
              <w:t xml:space="preserve">Zvērināti notāri: tiks paplašināts </w:t>
            </w:r>
            <w:r>
              <w:rPr>
                <w:iCs/>
              </w:rPr>
              <w:t>zvērinātu notāru</w:t>
            </w:r>
            <w:r w:rsidRPr="00B67F09">
              <w:rPr>
                <w:iCs/>
              </w:rPr>
              <w:t xml:space="preserve"> funkciju loks, paredzot, ka zvērināti notāri </w:t>
            </w:r>
            <w:r>
              <w:rPr>
                <w:iCs/>
              </w:rPr>
              <w:t>taisīs</w:t>
            </w:r>
            <w:r w:rsidRPr="00B67F09">
              <w:rPr>
                <w:iCs/>
              </w:rPr>
              <w:t xml:space="preserve"> notariāl</w:t>
            </w:r>
            <w:r>
              <w:rPr>
                <w:iCs/>
              </w:rPr>
              <w:t>os</w:t>
            </w:r>
            <w:r w:rsidRPr="00B67F09">
              <w:rPr>
                <w:iCs/>
              </w:rPr>
              <w:t xml:space="preserve"> akt</w:t>
            </w:r>
            <w:r>
              <w:rPr>
                <w:iCs/>
              </w:rPr>
              <w:t>us</w:t>
            </w:r>
            <w:r w:rsidRPr="00B67F09">
              <w:rPr>
                <w:iCs/>
              </w:rPr>
              <w:t xml:space="preserve"> par aizgādnības nodibinā</w:t>
            </w:r>
            <w:r>
              <w:rPr>
                <w:iCs/>
              </w:rPr>
              <w:t xml:space="preserve">šanu </w:t>
            </w:r>
            <w:r w:rsidRPr="00B67F09">
              <w:rPr>
                <w:iCs/>
              </w:rPr>
              <w:t>mantojum</w:t>
            </w:r>
            <w:r>
              <w:rPr>
                <w:iCs/>
              </w:rPr>
              <w:t>am</w:t>
            </w:r>
            <w:r w:rsidRPr="00B67F09">
              <w:rPr>
                <w:iCs/>
              </w:rPr>
              <w:t>.</w:t>
            </w:r>
          </w:p>
          <w:p w:rsidR="006E6DE1" w:rsidRPr="004268E7" w:rsidRDefault="006E6DE1" w:rsidP="00BA70AA">
            <w:pPr>
              <w:ind w:firstLine="407"/>
              <w:jc w:val="both"/>
            </w:pPr>
            <w:r>
              <w:t>Bāriņtiesu funkcijas un uzdevumi ar likumprojektu netiek  paplašināti vai sašaurināti. Likumprojekts paredz, ka bāriņtiesa aizgādni pār mantojumu iecels saskaņā ar notāra taisītu notariālo aktu par aizgādnības nodibināšanu mantojumam.</w:t>
            </w:r>
          </w:p>
        </w:tc>
      </w:tr>
      <w:tr w:rsidR="006E6DE1" w:rsidRPr="004268E7" w:rsidTr="00BA70AA">
        <w:trPr>
          <w:trHeight w:val="725"/>
        </w:trPr>
        <w:tc>
          <w:tcPr>
            <w:tcW w:w="426" w:type="dxa"/>
          </w:tcPr>
          <w:p w:rsidR="006E6DE1" w:rsidRPr="004268E7" w:rsidRDefault="006E6DE1" w:rsidP="00BA70AA">
            <w:pPr>
              <w:pStyle w:val="naisnod"/>
              <w:spacing w:before="0" w:after="0"/>
              <w:ind w:left="57" w:right="57"/>
              <w:jc w:val="both"/>
            </w:pPr>
            <w:r w:rsidRPr="004268E7">
              <w:rPr>
                <w:sz w:val="22"/>
                <w:szCs w:val="22"/>
              </w:rPr>
              <w:t>3.</w:t>
            </w:r>
          </w:p>
        </w:tc>
        <w:tc>
          <w:tcPr>
            <w:tcW w:w="2693" w:type="dxa"/>
          </w:tcPr>
          <w:p w:rsidR="006E6DE1" w:rsidRPr="004268E7" w:rsidRDefault="006E6DE1" w:rsidP="00BA70AA">
            <w:pPr>
              <w:pStyle w:val="naisf"/>
              <w:spacing w:before="0" w:after="0"/>
              <w:ind w:left="57" w:right="57" w:firstLine="0"/>
              <w:rPr>
                <w:b/>
              </w:rPr>
            </w:pPr>
            <w:r w:rsidRPr="004268E7">
              <w:rPr>
                <w:b/>
                <w:sz w:val="22"/>
                <w:szCs w:val="22"/>
              </w:rPr>
              <w:t>Projekta izpildes ietekme uz pārvaldes institucionālo struktūru.</w:t>
            </w:r>
          </w:p>
          <w:p w:rsidR="006E6DE1" w:rsidRPr="004268E7" w:rsidRDefault="006E6DE1" w:rsidP="00BA70AA">
            <w:pPr>
              <w:pStyle w:val="naisf"/>
              <w:spacing w:before="0" w:after="0"/>
              <w:ind w:left="57" w:right="57" w:firstLine="0"/>
              <w:rPr>
                <w:b/>
              </w:rPr>
            </w:pPr>
            <w:r w:rsidRPr="004268E7">
              <w:rPr>
                <w:b/>
                <w:sz w:val="22"/>
                <w:szCs w:val="22"/>
              </w:rPr>
              <w:t>Jaunu institūciju izveide</w:t>
            </w:r>
          </w:p>
        </w:tc>
        <w:tc>
          <w:tcPr>
            <w:tcW w:w="6521" w:type="dxa"/>
          </w:tcPr>
          <w:p w:rsidR="006E6DE1" w:rsidRPr="004268E7" w:rsidRDefault="006E6DE1" w:rsidP="00BA70AA">
            <w:pPr>
              <w:pStyle w:val="naisnod"/>
              <w:spacing w:before="0" w:after="0"/>
              <w:ind w:left="57" w:right="57" w:firstLine="341"/>
              <w:jc w:val="both"/>
              <w:rPr>
                <w:b w:val="0"/>
              </w:rPr>
            </w:pPr>
            <w:r w:rsidRPr="004268E7">
              <w:rPr>
                <w:b w:val="0"/>
              </w:rPr>
              <w:t>Saistībā ar likumprojekta izpildi nav nepieciešams veidot jaunas institūcijas.</w:t>
            </w:r>
          </w:p>
        </w:tc>
      </w:tr>
      <w:tr w:rsidR="006E6DE1" w:rsidRPr="004268E7" w:rsidTr="00BA70AA">
        <w:trPr>
          <w:trHeight w:val="780"/>
        </w:trPr>
        <w:tc>
          <w:tcPr>
            <w:tcW w:w="426" w:type="dxa"/>
          </w:tcPr>
          <w:p w:rsidR="006E6DE1" w:rsidRPr="004268E7" w:rsidRDefault="006E6DE1" w:rsidP="00BA70AA">
            <w:pPr>
              <w:pStyle w:val="naisnod"/>
              <w:spacing w:before="0" w:after="0"/>
              <w:ind w:left="57" w:right="57"/>
              <w:jc w:val="both"/>
            </w:pPr>
            <w:r w:rsidRPr="004268E7">
              <w:rPr>
                <w:sz w:val="22"/>
                <w:szCs w:val="22"/>
              </w:rPr>
              <w:lastRenderedPageBreak/>
              <w:t>4.</w:t>
            </w:r>
          </w:p>
        </w:tc>
        <w:tc>
          <w:tcPr>
            <w:tcW w:w="2693" w:type="dxa"/>
          </w:tcPr>
          <w:p w:rsidR="006E6DE1" w:rsidRPr="004268E7" w:rsidRDefault="006E6DE1" w:rsidP="00BA70AA">
            <w:pPr>
              <w:pStyle w:val="naisf"/>
              <w:spacing w:before="0" w:after="0"/>
              <w:ind w:left="57" w:right="57" w:firstLine="0"/>
              <w:rPr>
                <w:b/>
              </w:rPr>
            </w:pPr>
            <w:r w:rsidRPr="004268E7">
              <w:rPr>
                <w:b/>
                <w:sz w:val="22"/>
                <w:szCs w:val="22"/>
              </w:rPr>
              <w:t>Projekta izpildes ietekme uz pārvaldes institucionālo struktūru.</w:t>
            </w:r>
          </w:p>
          <w:p w:rsidR="006E6DE1" w:rsidRPr="004268E7" w:rsidRDefault="006E6DE1" w:rsidP="00BA70AA">
            <w:pPr>
              <w:pStyle w:val="naisf"/>
              <w:spacing w:before="0" w:after="0"/>
              <w:ind w:left="57" w:right="57" w:firstLine="0"/>
              <w:rPr>
                <w:b/>
              </w:rPr>
            </w:pPr>
            <w:r w:rsidRPr="004268E7">
              <w:rPr>
                <w:b/>
                <w:sz w:val="22"/>
                <w:szCs w:val="22"/>
              </w:rPr>
              <w:t>Esošu institūciju likvidācija</w:t>
            </w:r>
          </w:p>
        </w:tc>
        <w:tc>
          <w:tcPr>
            <w:tcW w:w="6521" w:type="dxa"/>
          </w:tcPr>
          <w:p w:rsidR="006E6DE1" w:rsidRPr="004268E7" w:rsidRDefault="006E6DE1" w:rsidP="00BA70AA">
            <w:pPr>
              <w:pStyle w:val="naisnod"/>
              <w:spacing w:before="0" w:after="0"/>
              <w:ind w:left="57" w:right="57"/>
              <w:jc w:val="both"/>
              <w:rPr>
                <w:b w:val="0"/>
              </w:rPr>
            </w:pPr>
            <w:r w:rsidRPr="004268E7">
              <w:rPr>
                <w:b w:val="0"/>
              </w:rPr>
              <w:t>Saistībā ar likumprojekta izpildi netiks likvidētas esošās institūcijas.</w:t>
            </w:r>
          </w:p>
        </w:tc>
      </w:tr>
      <w:tr w:rsidR="006E6DE1" w:rsidRPr="004268E7" w:rsidTr="00BA70AA">
        <w:trPr>
          <w:trHeight w:val="703"/>
        </w:trPr>
        <w:tc>
          <w:tcPr>
            <w:tcW w:w="426" w:type="dxa"/>
          </w:tcPr>
          <w:p w:rsidR="006E6DE1" w:rsidRPr="004268E7" w:rsidRDefault="006E6DE1" w:rsidP="00BA70AA">
            <w:pPr>
              <w:pStyle w:val="naisnod"/>
              <w:spacing w:before="0" w:after="0"/>
              <w:ind w:left="57" w:right="57"/>
              <w:jc w:val="both"/>
            </w:pPr>
            <w:r w:rsidRPr="004268E7">
              <w:rPr>
                <w:sz w:val="22"/>
                <w:szCs w:val="22"/>
              </w:rPr>
              <w:t>5.</w:t>
            </w:r>
          </w:p>
        </w:tc>
        <w:tc>
          <w:tcPr>
            <w:tcW w:w="2693" w:type="dxa"/>
          </w:tcPr>
          <w:p w:rsidR="006E6DE1" w:rsidRPr="004268E7" w:rsidRDefault="006E6DE1" w:rsidP="00BA70AA">
            <w:pPr>
              <w:pStyle w:val="naisf"/>
              <w:spacing w:before="0" w:after="0"/>
              <w:ind w:left="57" w:right="57" w:firstLine="0"/>
              <w:rPr>
                <w:b/>
              </w:rPr>
            </w:pPr>
            <w:r w:rsidRPr="004268E7">
              <w:rPr>
                <w:b/>
                <w:sz w:val="22"/>
                <w:szCs w:val="22"/>
              </w:rPr>
              <w:t>Projekta izpildes ietekme uz pārvaldes institucionālo struktūru.</w:t>
            </w:r>
          </w:p>
          <w:p w:rsidR="006E6DE1" w:rsidRPr="004268E7" w:rsidRDefault="006E6DE1" w:rsidP="00BA70AA">
            <w:pPr>
              <w:pStyle w:val="naisf"/>
              <w:spacing w:before="0" w:after="0"/>
              <w:ind w:left="57" w:right="57" w:firstLine="0"/>
              <w:rPr>
                <w:b/>
              </w:rPr>
            </w:pPr>
            <w:r w:rsidRPr="004268E7">
              <w:rPr>
                <w:b/>
                <w:sz w:val="22"/>
                <w:szCs w:val="22"/>
              </w:rPr>
              <w:t>Esošu institūciju reorganizācija</w:t>
            </w:r>
          </w:p>
        </w:tc>
        <w:tc>
          <w:tcPr>
            <w:tcW w:w="6521" w:type="dxa"/>
          </w:tcPr>
          <w:p w:rsidR="006E6DE1" w:rsidRPr="004268E7" w:rsidRDefault="006E6DE1" w:rsidP="00BA70AA">
            <w:pPr>
              <w:pStyle w:val="naisnod"/>
              <w:spacing w:before="0" w:after="0"/>
              <w:ind w:left="57" w:right="57"/>
              <w:jc w:val="both"/>
              <w:rPr>
                <w:b w:val="0"/>
              </w:rPr>
            </w:pPr>
            <w:r w:rsidRPr="004268E7">
              <w:rPr>
                <w:b w:val="0"/>
              </w:rPr>
              <w:t>Saistībā ar likumprojekta izpildi nav plānota esošo institūciju reorganizācija vai apvienošana.</w:t>
            </w:r>
          </w:p>
        </w:tc>
      </w:tr>
      <w:tr w:rsidR="006E6DE1" w:rsidRPr="004268E7" w:rsidTr="00BA70AA">
        <w:trPr>
          <w:trHeight w:val="476"/>
        </w:trPr>
        <w:tc>
          <w:tcPr>
            <w:tcW w:w="426" w:type="dxa"/>
          </w:tcPr>
          <w:p w:rsidR="006E6DE1" w:rsidRPr="004268E7" w:rsidRDefault="006E6DE1" w:rsidP="00BA70AA">
            <w:pPr>
              <w:pStyle w:val="naiskr"/>
              <w:spacing w:before="0" w:after="0"/>
              <w:ind w:left="57" w:right="57"/>
              <w:jc w:val="both"/>
              <w:rPr>
                <w:b/>
              </w:rPr>
            </w:pPr>
            <w:r w:rsidRPr="004268E7">
              <w:rPr>
                <w:b/>
                <w:sz w:val="22"/>
                <w:szCs w:val="22"/>
              </w:rPr>
              <w:t>6.</w:t>
            </w:r>
          </w:p>
        </w:tc>
        <w:tc>
          <w:tcPr>
            <w:tcW w:w="2693" w:type="dxa"/>
          </w:tcPr>
          <w:p w:rsidR="006E6DE1" w:rsidRPr="004268E7" w:rsidRDefault="006E6DE1" w:rsidP="00BA70AA">
            <w:pPr>
              <w:pStyle w:val="naiskr"/>
              <w:spacing w:before="0" w:after="0"/>
              <w:ind w:left="57" w:right="57"/>
              <w:jc w:val="both"/>
              <w:rPr>
                <w:b/>
              </w:rPr>
            </w:pPr>
            <w:r w:rsidRPr="004268E7">
              <w:rPr>
                <w:b/>
                <w:sz w:val="22"/>
                <w:szCs w:val="22"/>
              </w:rPr>
              <w:t>Cita informācija</w:t>
            </w:r>
          </w:p>
        </w:tc>
        <w:tc>
          <w:tcPr>
            <w:tcW w:w="6521" w:type="dxa"/>
          </w:tcPr>
          <w:p w:rsidR="006E6DE1" w:rsidRPr="004268E7" w:rsidRDefault="006E6DE1" w:rsidP="00BA70AA">
            <w:pPr>
              <w:pStyle w:val="naiskr"/>
              <w:spacing w:before="0" w:after="0"/>
              <w:ind w:left="57" w:right="57"/>
            </w:pPr>
            <w:r w:rsidRPr="004268E7">
              <w:rPr>
                <w:sz w:val="22"/>
                <w:szCs w:val="22"/>
              </w:rPr>
              <w:t>Nav</w:t>
            </w:r>
          </w:p>
        </w:tc>
      </w:tr>
    </w:tbl>
    <w:p w:rsidR="006E6DE1" w:rsidRPr="004268E7" w:rsidRDefault="006E6DE1" w:rsidP="006E6DE1">
      <w:pPr>
        <w:pStyle w:val="naisf"/>
        <w:tabs>
          <w:tab w:val="left" w:pos="5760"/>
        </w:tabs>
        <w:spacing w:before="0" w:after="0"/>
        <w:ind w:firstLine="720"/>
        <w:rPr>
          <w:sz w:val="28"/>
          <w:szCs w:val="28"/>
        </w:rPr>
      </w:pPr>
    </w:p>
    <w:p w:rsidR="006E6DE1" w:rsidRPr="004268E7" w:rsidRDefault="006E6DE1" w:rsidP="006E6DE1">
      <w:pPr>
        <w:jc w:val="both"/>
        <w:rPr>
          <w:bCs/>
        </w:rPr>
      </w:pPr>
      <w:r>
        <w:rPr>
          <w:bCs/>
        </w:rPr>
        <w:t>Tieslietu ministr</w:t>
      </w:r>
      <w:r w:rsidR="00462931">
        <w:rPr>
          <w:bCs/>
        </w:rPr>
        <w:t>s</w:t>
      </w:r>
      <w:r>
        <w:rPr>
          <w:bCs/>
        </w:rPr>
        <w:tab/>
      </w:r>
      <w:r>
        <w:rPr>
          <w:bCs/>
        </w:rPr>
        <w:tab/>
      </w:r>
      <w:r>
        <w:rPr>
          <w:bCs/>
        </w:rPr>
        <w:tab/>
      </w:r>
      <w:r>
        <w:rPr>
          <w:bCs/>
        </w:rPr>
        <w:tab/>
      </w:r>
      <w:r>
        <w:rPr>
          <w:bCs/>
        </w:rPr>
        <w:tab/>
      </w:r>
      <w:r>
        <w:rPr>
          <w:bCs/>
        </w:rPr>
        <w:tab/>
      </w:r>
      <w:r w:rsidR="00462931">
        <w:rPr>
          <w:bCs/>
        </w:rPr>
        <w:tab/>
      </w:r>
      <w:r w:rsidR="00462931">
        <w:rPr>
          <w:bCs/>
        </w:rPr>
        <w:tab/>
      </w:r>
      <w:r w:rsidR="00462931">
        <w:rPr>
          <w:bCs/>
        </w:rPr>
        <w:tab/>
        <w:t xml:space="preserve">J. </w:t>
      </w:r>
      <w:proofErr w:type="spellStart"/>
      <w:r w:rsidR="00462931">
        <w:rPr>
          <w:bCs/>
        </w:rPr>
        <w:t>Bordāns</w:t>
      </w:r>
      <w:proofErr w:type="spellEnd"/>
      <w:r w:rsidRPr="004268E7">
        <w:rPr>
          <w:bCs/>
        </w:rPr>
        <w:tab/>
      </w:r>
      <w:r w:rsidRPr="004268E7">
        <w:rPr>
          <w:bCs/>
        </w:rPr>
        <w:tab/>
      </w:r>
      <w:r w:rsidRPr="004268E7">
        <w:rPr>
          <w:bCs/>
        </w:rPr>
        <w:tab/>
      </w:r>
      <w:r w:rsidRPr="004268E7">
        <w:rPr>
          <w:bCs/>
        </w:rPr>
        <w:tab/>
      </w:r>
      <w:r w:rsidRPr="004268E7">
        <w:rPr>
          <w:bCs/>
        </w:rPr>
        <w:tab/>
      </w:r>
      <w:r w:rsidRPr="004268E7">
        <w:rPr>
          <w:bCs/>
        </w:rPr>
        <w:tab/>
      </w:r>
      <w:r w:rsidRPr="004268E7">
        <w:rPr>
          <w:bCs/>
        </w:rPr>
        <w:tab/>
      </w:r>
    </w:p>
    <w:p w:rsidR="006E6DE1" w:rsidRPr="004268E7" w:rsidRDefault="006E6DE1" w:rsidP="006E6DE1">
      <w:pPr>
        <w:jc w:val="both"/>
        <w:rPr>
          <w:bCs/>
        </w:rPr>
      </w:pPr>
    </w:p>
    <w:p w:rsidR="00462931" w:rsidRDefault="00447FAF" w:rsidP="006E6DE1">
      <w:pPr>
        <w:jc w:val="both"/>
        <w:rPr>
          <w:sz w:val="20"/>
          <w:szCs w:val="20"/>
        </w:rPr>
      </w:pPr>
      <w:r>
        <w:rPr>
          <w:sz w:val="20"/>
          <w:szCs w:val="20"/>
        </w:rPr>
        <w:t>30</w:t>
      </w:r>
      <w:r w:rsidR="00462931">
        <w:rPr>
          <w:sz w:val="20"/>
          <w:szCs w:val="20"/>
          <w:lang w:val="ru-RU"/>
        </w:rPr>
        <w:t>.07.2012 11:58</w:t>
      </w:r>
    </w:p>
    <w:p w:rsidR="006E6DE1" w:rsidRPr="004268E7" w:rsidRDefault="00462931" w:rsidP="006E6DE1">
      <w:pPr>
        <w:jc w:val="both"/>
        <w:rPr>
          <w:sz w:val="20"/>
          <w:szCs w:val="20"/>
        </w:rPr>
      </w:pPr>
      <w:bookmarkStart w:id="0" w:name="_GoBack"/>
      <w:bookmarkEnd w:id="0"/>
      <w:r>
        <w:rPr>
          <w:sz w:val="20"/>
          <w:szCs w:val="20"/>
        </w:rPr>
        <w:t>309</w:t>
      </w:r>
      <w:r w:rsidR="00447FAF">
        <w:rPr>
          <w:sz w:val="20"/>
          <w:szCs w:val="20"/>
        </w:rPr>
        <w:t>5</w:t>
      </w:r>
    </w:p>
    <w:p w:rsidR="006E6DE1" w:rsidRPr="004268E7" w:rsidRDefault="006E6DE1" w:rsidP="006E6DE1">
      <w:pPr>
        <w:tabs>
          <w:tab w:val="center" w:pos="4394"/>
        </w:tabs>
        <w:ind w:right="-483"/>
        <w:rPr>
          <w:sz w:val="20"/>
          <w:szCs w:val="20"/>
        </w:rPr>
      </w:pPr>
      <w:r w:rsidRPr="004268E7">
        <w:rPr>
          <w:sz w:val="20"/>
          <w:szCs w:val="20"/>
        </w:rPr>
        <w:t>Paipala</w:t>
      </w:r>
      <w:r w:rsidRPr="004268E7">
        <w:rPr>
          <w:sz w:val="20"/>
          <w:szCs w:val="20"/>
        </w:rPr>
        <w:tab/>
      </w:r>
    </w:p>
    <w:p w:rsidR="006E6DE1" w:rsidRPr="004268E7" w:rsidRDefault="00462931" w:rsidP="006E6DE1">
      <w:pPr>
        <w:tabs>
          <w:tab w:val="left" w:pos="7560"/>
        </w:tabs>
        <w:ind w:right="-483"/>
        <w:rPr>
          <w:sz w:val="20"/>
          <w:szCs w:val="20"/>
        </w:rPr>
      </w:pPr>
      <w:r>
        <w:rPr>
          <w:sz w:val="20"/>
          <w:szCs w:val="20"/>
        </w:rPr>
        <w:t>67046107</w:t>
      </w:r>
      <w:r w:rsidR="006E6DE1" w:rsidRPr="001307CC">
        <w:rPr>
          <w:sz w:val="20"/>
          <w:szCs w:val="20"/>
        </w:rPr>
        <w:t xml:space="preserve">, </w:t>
      </w:r>
      <w:hyperlink r:id="rId7" w:history="1">
        <w:r w:rsidR="006E6DE1" w:rsidRPr="00177B43">
          <w:rPr>
            <w:rStyle w:val="Hipersaite"/>
            <w:sz w:val="20"/>
            <w:szCs w:val="20"/>
          </w:rPr>
          <w:t>olga.paipala@tm.gov.lv</w:t>
        </w:r>
      </w:hyperlink>
    </w:p>
    <w:p w:rsidR="006E6DE1" w:rsidRDefault="006E6DE1" w:rsidP="006E6DE1"/>
    <w:p w:rsidR="00C54837" w:rsidRDefault="00C54837"/>
    <w:sectPr w:rsidR="00C54837" w:rsidSect="00402677">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ABF" w:rsidRDefault="00C40ABF" w:rsidP="006E6DE1">
      <w:r>
        <w:separator/>
      </w:r>
    </w:p>
  </w:endnote>
  <w:endnote w:type="continuationSeparator" w:id="0">
    <w:p w:rsidR="00C40ABF" w:rsidRDefault="00C40ABF" w:rsidP="006E6D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35F" w:rsidRPr="00026658" w:rsidRDefault="006E6DE1" w:rsidP="00402677">
    <w:pPr>
      <w:pStyle w:val="Kjene"/>
      <w:jc w:val="both"/>
      <w:rPr>
        <w:sz w:val="20"/>
        <w:szCs w:val="20"/>
      </w:rPr>
    </w:pPr>
    <w:r>
      <w:rPr>
        <w:sz w:val="20"/>
        <w:szCs w:val="20"/>
      </w:rPr>
      <w:t>TManot_170712_VSS346</w:t>
    </w:r>
    <w:r w:rsidR="00462931" w:rsidRPr="00026658">
      <w:rPr>
        <w:sz w:val="20"/>
        <w:szCs w:val="20"/>
      </w:rPr>
      <w:t xml:space="preserve">; </w:t>
    </w:r>
    <w:bookmarkStart w:id="1" w:name="OLE_LINK1"/>
    <w:bookmarkStart w:id="2" w:name="OLE_LINK2"/>
    <w:bookmarkStart w:id="3" w:name="OLE_LINK25"/>
    <w:bookmarkStart w:id="4" w:name="OLE_LINK7"/>
    <w:bookmarkStart w:id="5" w:name="OLE_LINK8"/>
    <w:r w:rsidR="00462931" w:rsidRPr="00026658">
      <w:rPr>
        <w:sz w:val="20"/>
        <w:szCs w:val="20"/>
      </w:rPr>
      <w:t>Likumprojekta „Grozījumi Civillikumā”</w:t>
    </w:r>
    <w:r w:rsidR="00462931">
      <w:rPr>
        <w:sz w:val="20"/>
        <w:szCs w:val="20"/>
      </w:rPr>
      <w:t xml:space="preserve"> sākotnējās ietekmes novērtējuma ziņojums (anotācija)</w:t>
    </w:r>
    <w:bookmarkEnd w:id="1"/>
    <w:bookmarkEnd w:id="2"/>
    <w:bookmarkEnd w:id="3"/>
    <w:bookmarkEnd w:id="4"/>
    <w:bookmarkEnd w:id="5"/>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35F" w:rsidRPr="00EB2437" w:rsidRDefault="006E6DE1" w:rsidP="00402677">
    <w:pPr>
      <w:pStyle w:val="Kjene"/>
      <w:jc w:val="both"/>
      <w:rPr>
        <w:sz w:val="20"/>
        <w:szCs w:val="20"/>
      </w:rPr>
    </w:pPr>
    <w:r>
      <w:rPr>
        <w:sz w:val="20"/>
        <w:szCs w:val="20"/>
      </w:rPr>
      <w:t>TManot_170712_VSS346</w:t>
    </w:r>
    <w:r w:rsidR="00462931" w:rsidRPr="00026658">
      <w:rPr>
        <w:sz w:val="20"/>
        <w:szCs w:val="20"/>
      </w:rPr>
      <w:t>; Likumprojekta „Grozījumi Civillikumā”</w:t>
    </w:r>
    <w:r w:rsidR="00462931">
      <w:rPr>
        <w:sz w:val="20"/>
        <w:szCs w:val="20"/>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ABF" w:rsidRDefault="00C40ABF" w:rsidP="006E6DE1">
      <w:r>
        <w:separator/>
      </w:r>
    </w:p>
  </w:footnote>
  <w:footnote w:type="continuationSeparator" w:id="0">
    <w:p w:rsidR="00C40ABF" w:rsidRDefault="00C40ABF" w:rsidP="006E6D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35F" w:rsidRDefault="00DF4912" w:rsidP="00402677">
    <w:pPr>
      <w:pStyle w:val="Galvene"/>
      <w:framePr w:wrap="around" w:vAnchor="text" w:hAnchor="margin" w:xAlign="center" w:y="1"/>
      <w:rPr>
        <w:rStyle w:val="Lappusesnumurs"/>
      </w:rPr>
    </w:pPr>
    <w:r>
      <w:rPr>
        <w:rStyle w:val="Lappusesnumurs"/>
      </w:rPr>
      <w:fldChar w:fldCharType="begin"/>
    </w:r>
    <w:r w:rsidR="00462931">
      <w:rPr>
        <w:rStyle w:val="Lappusesnumurs"/>
      </w:rPr>
      <w:instrText xml:space="preserve">PAGE  </w:instrText>
    </w:r>
    <w:r>
      <w:rPr>
        <w:rStyle w:val="Lappusesnumurs"/>
      </w:rPr>
      <w:fldChar w:fldCharType="end"/>
    </w:r>
  </w:p>
  <w:p w:rsidR="008A235F" w:rsidRDefault="00C40ABF">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35F" w:rsidRDefault="00DF4912" w:rsidP="00402677">
    <w:pPr>
      <w:pStyle w:val="Galvene"/>
      <w:framePr w:wrap="around" w:vAnchor="text" w:hAnchor="margin" w:xAlign="center" w:y="1"/>
      <w:rPr>
        <w:rStyle w:val="Lappusesnumurs"/>
      </w:rPr>
    </w:pPr>
    <w:r>
      <w:rPr>
        <w:rStyle w:val="Lappusesnumurs"/>
      </w:rPr>
      <w:fldChar w:fldCharType="begin"/>
    </w:r>
    <w:r w:rsidR="00462931">
      <w:rPr>
        <w:rStyle w:val="Lappusesnumurs"/>
      </w:rPr>
      <w:instrText xml:space="preserve">PAGE  </w:instrText>
    </w:r>
    <w:r>
      <w:rPr>
        <w:rStyle w:val="Lappusesnumurs"/>
      </w:rPr>
      <w:fldChar w:fldCharType="separate"/>
    </w:r>
    <w:r w:rsidR="00447FAF">
      <w:rPr>
        <w:rStyle w:val="Lappusesnumurs"/>
        <w:noProof/>
      </w:rPr>
      <w:t>2</w:t>
    </w:r>
    <w:r>
      <w:rPr>
        <w:rStyle w:val="Lappusesnumurs"/>
      </w:rPr>
      <w:fldChar w:fldCharType="end"/>
    </w:r>
  </w:p>
  <w:p w:rsidR="008A235F" w:rsidRDefault="00C40ABF">
    <w:pPr>
      <w:pStyle w:val="Galvene"/>
    </w:pPr>
  </w:p>
  <w:p w:rsidR="008A235F" w:rsidRDefault="00C40ABF"/>
  <w:p w:rsidR="008A235F" w:rsidRDefault="00C40AB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E6DE1"/>
    <w:rsid w:val="00447FAF"/>
    <w:rsid w:val="00462931"/>
    <w:rsid w:val="006E6DE1"/>
    <w:rsid w:val="00C40ABF"/>
    <w:rsid w:val="00C54837"/>
    <w:rsid w:val="00DF491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E6DE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6E6DE1"/>
    <w:pPr>
      <w:tabs>
        <w:tab w:val="center" w:pos="4153"/>
        <w:tab w:val="right" w:pos="8306"/>
      </w:tabs>
    </w:pPr>
  </w:style>
  <w:style w:type="character" w:customStyle="1" w:styleId="GalveneRakstz">
    <w:name w:val="Galvene Rakstz."/>
    <w:basedOn w:val="Noklusjumarindkopasfonts"/>
    <w:link w:val="Galvene"/>
    <w:uiPriority w:val="99"/>
    <w:rsid w:val="006E6DE1"/>
    <w:rPr>
      <w:rFonts w:ascii="Times New Roman" w:eastAsia="Times New Roman" w:hAnsi="Times New Roman" w:cs="Times New Roman"/>
      <w:sz w:val="24"/>
      <w:szCs w:val="24"/>
      <w:lang w:eastAsia="lv-LV"/>
    </w:rPr>
  </w:style>
  <w:style w:type="character" w:styleId="Lappusesnumurs">
    <w:name w:val="page number"/>
    <w:basedOn w:val="Noklusjumarindkopasfonts"/>
    <w:rsid w:val="006E6DE1"/>
  </w:style>
  <w:style w:type="paragraph" w:customStyle="1" w:styleId="naisf">
    <w:name w:val="naisf"/>
    <w:basedOn w:val="Parastais"/>
    <w:rsid w:val="006E6DE1"/>
    <w:pPr>
      <w:spacing w:before="75" w:after="75"/>
      <w:ind w:firstLine="375"/>
      <w:jc w:val="both"/>
    </w:pPr>
  </w:style>
  <w:style w:type="paragraph" w:customStyle="1" w:styleId="naisnod">
    <w:name w:val="naisnod"/>
    <w:basedOn w:val="Parastais"/>
    <w:rsid w:val="006E6DE1"/>
    <w:pPr>
      <w:spacing w:before="150" w:after="150"/>
      <w:jc w:val="center"/>
    </w:pPr>
    <w:rPr>
      <w:b/>
      <w:bCs/>
    </w:rPr>
  </w:style>
  <w:style w:type="paragraph" w:customStyle="1" w:styleId="naislab">
    <w:name w:val="naislab"/>
    <w:basedOn w:val="Parastais"/>
    <w:rsid w:val="006E6DE1"/>
    <w:pPr>
      <w:spacing w:before="75" w:after="75"/>
      <w:jc w:val="right"/>
    </w:pPr>
  </w:style>
  <w:style w:type="paragraph" w:customStyle="1" w:styleId="naiskr">
    <w:name w:val="naiskr"/>
    <w:basedOn w:val="Parastais"/>
    <w:rsid w:val="006E6DE1"/>
    <w:pPr>
      <w:spacing w:before="75" w:after="75"/>
    </w:pPr>
  </w:style>
  <w:style w:type="paragraph" w:styleId="Kjene">
    <w:name w:val="footer"/>
    <w:basedOn w:val="Parastais"/>
    <w:link w:val="KjeneRakstz"/>
    <w:uiPriority w:val="99"/>
    <w:rsid w:val="006E6DE1"/>
    <w:pPr>
      <w:tabs>
        <w:tab w:val="center" w:pos="4153"/>
        <w:tab w:val="right" w:pos="8306"/>
      </w:tabs>
    </w:pPr>
  </w:style>
  <w:style w:type="character" w:customStyle="1" w:styleId="KjeneRakstz">
    <w:name w:val="Kājene Rakstz."/>
    <w:basedOn w:val="Noklusjumarindkopasfonts"/>
    <w:link w:val="Kjene"/>
    <w:uiPriority w:val="99"/>
    <w:rsid w:val="006E6DE1"/>
    <w:rPr>
      <w:rFonts w:ascii="Times New Roman" w:eastAsia="Times New Roman" w:hAnsi="Times New Roman" w:cs="Times New Roman"/>
      <w:sz w:val="24"/>
      <w:szCs w:val="24"/>
      <w:lang w:eastAsia="lv-LV"/>
    </w:rPr>
  </w:style>
  <w:style w:type="character" w:styleId="Hipersaite">
    <w:name w:val="Hyperlink"/>
    <w:basedOn w:val="Noklusjumarindkopasfonts"/>
    <w:rsid w:val="006E6DE1"/>
    <w:rPr>
      <w:color w:val="0000FF"/>
      <w:u w:val="single"/>
    </w:rPr>
  </w:style>
  <w:style w:type="character" w:customStyle="1" w:styleId="header--char">
    <w:name w:val="header--char"/>
    <w:rsid w:val="006E6DE1"/>
  </w:style>
  <w:style w:type="paragraph" w:styleId="Komentrateksts">
    <w:name w:val="annotation text"/>
    <w:basedOn w:val="Parastais"/>
    <w:link w:val="KomentratekstsRakstz"/>
    <w:uiPriority w:val="99"/>
    <w:semiHidden/>
    <w:unhideWhenUsed/>
    <w:rsid w:val="006E6DE1"/>
    <w:rPr>
      <w:sz w:val="20"/>
      <w:szCs w:val="20"/>
    </w:rPr>
  </w:style>
  <w:style w:type="character" w:customStyle="1" w:styleId="KomentratekstsRakstz">
    <w:name w:val="Komentāra teksts Rakstz."/>
    <w:basedOn w:val="Noklusjumarindkopasfonts"/>
    <w:link w:val="Komentrateksts"/>
    <w:uiPriority w:val="99"/>
    <w:semiHidden/>
    <w:rsid w:val="006E6DE1"/>
    <w:rPr>
      <w:rFonts w:ascii="Times New Roman" w:eastAsia="Times New Roman" w:hAnsi="Times New Roman" w:cs="Times New Roman"/>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E6DE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E6DE1"/>
    <w:pPr>
      <w:tabs>
        <w:tab w:val="center" w:pos="4153"/>
        <w:tab w:val="right" w:pos="8306"/>
      </w:tabs>
    </w:pPr>
  </w:style>
  <w:style w:type="character" w:customStyle="1" w:styleId="GalveneRakstz">
    <w:name w:val="Galvene Rakstz."/>
    <w:basedOn w:val="Noklusjumarindkopasfonts"/>
    <w:link w:val="Galvene"/>
    <w:uiPriority w:val="99"/>
    <w:rsid w:val="006E6DE1"/>
    <w:rPr>
      <w:rFonts w:ascii="Times New Roman" w:eastAsia="Times New Roman" w:hAnsi="Times New Roman" w:cs="Times New Roman"/>
      <w:sz w:val="24"/>
      <w:szCs w:val="24"/>
      <w:lang w:eastAsia="lv-LV"/>
    </w:rPr>
  </w:style>
  <w:style w:type="character" w:styleId="Lappusesnumurs">
    <w:name w:val="page number"/>
    <w:basedOn w:val="Noklusjumarindkopasfonts"/>
    <w:rsid w:val="006E6DE1"/>
  </w:style>
  <w:style w:type="paragraph" w:customStyle="1" w:styleId="naisf">
    <w:name w:val="naisf"/>
    <w:basedOn w:val="Parasts"/>
    <w:rsid w:val="006E6DE1"/>
    <w:pPr>
      <w:spacing w:before="75" w:after="75"/>
      <w:ind w:firstLine="375"/>
      <w:jc w:val="both"/>
    </w:pPr>
  </w:style>
  <w:style w:type="paragraph" w:customStyle="1" w:styleId="naisnod">
    <w:name w:val="naisnod"/>
    <w:basedOn w:val="Parasts"/>
    <w:rsid w:val="006E6DE1"/>
    <w:pPr>
      <w:spacing w:before="150" w:after="150"/>
      <w:jc w:val="center"/>
    </w:pPr>
    <w:rPr>
      <w:b/>
      <w:bCs/>
    </w:rPr>
  </w:style>
  <w:style w:type="paragraph" w:customStyle="1" w:styleId="naislab">
    <w:name w:val="naislab"/>
    <w:basedOn w:val="Parasts"/>
    <w:rsid w:val="006E6DE1"/>
    <w:pPr>
      <w:spacing w:before="75" w:after="75"/>
      <w:jc w:val="right"/>
    </w:pPr>
  </w:style>
  <w:style w:type="paragraph" w:customStyle="1" w:styleId="naiskr">
    <w:name w:val="naiskr"/>
    <w:basedOn w:val="Parasts"/>
    <w:rsid w:val="006E6DE1"/>
    <w:pPr>
      <w:spacing w:before="75" w:after="75"/>
    </w:pPr>
  </w:style>
  <w:style w:type="paragraph" w:styleId="Kjene">
    <w:name w:val="footer"/>
    <w:basedOn w:val="Parasts"/>
    <w:link w:val="KjeneRakstz"/>
    <w:uiPriority w:val="99"/>
    <w:rsid w:val="006E6DE1"/>
    <w:pPr>
      <w:tabs>
        <w:tab w:val="center" w:pos="4153"/>
        <w:tab w:val="right" w:pos="8306"/>
      </w:tabs>
    </w:pPr>
  </w:style>
  <w:style w:type="character" w:customStyle="1" w:styleId="KjeneRakstz">
    <w:name w:val="Kājene Rakstz."/>
    <w:basedOn w:val="Noklusjumarindkopasfonts"/>
    <w:link w:val="Kjene"/>
    <w:uiPriority w:val="99"/>
    <w:rsid w:val="006E6DE1"/>
    <w:rPr>
      <w:rFonts w:ascii="Times New Roman" w:eastAsia="Times New Roman" w:hAnsi="Times New Roman" w:cs="Times New Roman"/>
      <w:sz w:val="24"/>
      <w:szCs w:val="24"/>
      <w:lang w:eastAsia="lv-LV"/>
    </w:rPr>
  </w:style>
  <w:style w:type="character" w:styleId="Hipersaite">
    <w:name w:val="Hyperlink"/>
    <w:basedOn w:val="Noklusjumarindkopasfonts"/>
    <w:rsid w:val="006E6DE1"/>
    <w:rPr>
      <w:color w:val="0000FF"/>
      <w:u w:val="single"/>
    </w:rPr>
  </w:style>
  <w:style w:type="character" w:customStyle="1" w:styleId="header--char">
    <w:name w:val="header--char"/>
    <w:rsid w:val="006E6DE1"/>
  </w:style>
  <w:style w:type="paragraph" w:styleId="Komentrateksts">
    <w:name w:val="annotation text"/>
    <w:basedOn w:val="Parasts"/>
    <w:link w:val="KomentratekstsRakstz"/>
    <w:uiPriority w:val="99"/>
    <w:semiHidden/>
    <w:unhideWhenUsed/>
    <w:rsid w:val="006E6DE1"/>
    <w:rPr>
      <w:sz w:val="20"/>
      <w:szCs w:val="20"/>
    </w:rPr>
  </w:style>
  <w:style w:type="character" w:customStyle="1" w:styleId="KomentratekstsRakstz">
    <w:name w:val="Komentāra teksts Rakstz."/>
    <w:basedOn w:val="Noklusjumarindkopasfonts"/>
    <w:link w:val="Komentrateksts"/>
    <w:uiPriority w:val="99"/>
    <w:semiHidden/>
    <w:rsid w:val="006E6DE1"/>
    <w:rPr>
      <w:rFonts w:ascii="Times New Roman" w:eastAsia="Times New Roman" w:hAnsi="Times New Roman" w:cs="Times New Roman"/>
      <w:sz w:val="20"/>
      <w:szCs w:val="20"/>
      <w:lang w:eastAsia="lv-LV"/>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lga.paipala@tm.gov.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m.gov.lv/lv/ministrija/imateriali/petijumi.html"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16092</Words>
  <Characters>9174</Characters>
  <Application>Microsoft Office Word</Application>
  <DocSecurity>0</DocSecurity>
  <Lines>76</Lines>
  <Paragraphs>50</Paragraphs>
  <ScaleCrop>false</ScaleCrop>
  <HeadingPairs>
    <vt:vector size="2" baseType="variant">
      <vt:variant>
        <vt:lpstr>Nosaukums</vt:lpstr>
      </vt:variant>
      <vt:variant>
        <vt:i4>1</vt:i4>
      </vt:variant>
    </vt:vector>
  </HeadingPairs>
  <TitlesOfParts>
    <vt:vector size="1" baseType="lpstr">
      <vt:lpstr/>
    </vt:vector>
  </TitlesOfParts>
  <Company>Tieslietu Sektors</Company>
  <LinksUpToDate>false</LinksUpToDate>
  <CharactersWithSpaces>25216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Civillikumā” sākotnējās ietekmes novērtējuma ziņojums (anotācija)</dc:title>
  <dc:subject>Anotācija</dc:subject>
  <dc:creator>Olga Paipala</dc:creator>
  <dc:description>olga.paipala@tm.gov.lv
67046107</dc:description>
  <cp:lastModifiedBy>ls1401</cp:lastModifiedBy>
  <cp:revision>3</cp:revision>
  <cp:lastPrinted>2012-07-30T08:44:00Z</cp:lastPrinted>
  <dcterms:created xsi:type="dcterms:W3CDTF">2012-07-17T08:54:00Z</dcterms:created>
  <dcterms:modified xsi:type="dcterms:W3CDTF">2012-07-30T08:44:00Z</dcterms:modified>
</cp:coreProperties>
</file>