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C" w:rsidRPr="00AF11CC" w:rsidRDefault="00AF11CC" w:rsidP="00AF11CC">
      <w:pPr>
        <w:tabs>
          <w:tab w:val="left" w:pos="993"/>
        </w:tabs>
        <w:ind w:firstLine="709"/>
        <w:jc w:val="both"/>
      </w:pPr>
      <w:bookmarkStart w:id="0" w:name="_GoBack"/>
      <w:bookmarkEnd w:id="0"/>
      <w:r w:rsidRPr="00AF11CC">
        <w:t xml:space="preserve">Uz </w:t>
      </w:r>
      <w:r>
        <w:t>26.03.2012. Nr. 1-5/77</w:t>
      </w:r>
    </w:p>
    <w:p w:rsidR="00AF11CC" w:rsidRDefault="00AF11CC" w:rsidP="00AF11CC">
      <w:pPr>
        <w:tabs>
          <w:tab w:val="left" w:pos="993"/>
        </w:tabs>
        <w:ind w:firstLine="709"/>
        <w:jc w:val="right"/>
        <w:rPr>
          <w:b/>
        </w:rPr>
      </w:pPr>
      <w:r w:rsidRPr="004D7F78">
        <w:rPr>
          <w:b/>
        </w:rPr>
        <w:t xml:space="preserve">Tiesībsargam </w:t>
      </w:r>
    </w:p>
    <w:p w:rsidR="00873696" w:rsidRDefault="00873696" w:rsidP="00AF11CC">
      <w:pPr>
        <w:tabs>
          <w:tab w:val="left" w:pos="993"/>
        </w:tabs>
        <w:ind w:firstLine="709"/>
        <w:jc w:val="right"/>
        <w:rPr>
          <w:b/>
        </w:rPr>
      </w:pPr>
      <w:r>
        <w:rPr>
          <w:b/>
        </w:rPr>
        <w:t>god. J.Jansona kungam</w:t>
      </w:r>
    </w:p>
    <w:p w:rsidR="00AF11CC" w:rsidRPr="004D7F78" w:rsidRDefault="00AF11CC" w:rsidP="00AF11CC">
      <w:pPr>
        <w:tabs>
          <w:tab w:val="left" w:pos="993"/>
        </w:tabs>
        <w:ind w:firstLine="709"/>
        <w:jc w:val="right"/>
        <w:rPr>
          <w:b/>
        </w:rPr>
      </w:pPr>
    </w:p>
    <w:p w:rsidR="00AF11CC" w:rsidRPr="004D7F78" w:rsidRDefault="00AF11CC" w:rsidP="00AF11CC">
      <w:pPr>
        <w:tabs>
          <w:tab w:val="left" w:pos="993"/>
        </w:tabs>
        <w:jc w:val="both"/>
        <w:rPr>
          <w:i/>
        </w:rPr>
      </w:pPr>
      <w:bookmarkStart w:id="1" w:name="OLE_LINK4"/>
      <w:bookmarkStart w:id="2" w:name="OLE_LINK3"/>
      <w:r w:rsidRPr="004D7F78">
        <w:rPr>
          <w:i/>
        </w:rPr>
        <w:t xml:space="preserve">Par partnerattiecību tiesisko regulējumu </w:t>
      </w:r>
    </w:p>
    <w:bookmarkEnd w:id="1"/>
    <w:bookmarkEnd w:id="2"/>
    <w:p w:rsidR="00AF11CC" w:rsidRDefault="00AF11CC" w:rsidP="00AF11CC">
      <w:pPr>
        <w:tabs>
          <w:tab w:val="left" w:pos="993"/>
        </w:tabs>
        <w:ind w:right="4555" w:firstLine="709"/>
        <w:jc w:val="both"/>
        <w:rPr>
          <w:i/>
          <w:sz w:val="28"/>
          <w:szCs w:val="28"/>
        </w:rPr>
      </w:pPr>
    </w:p>
    <w:p w:rsidR="00AF11CC" w:rsidRDefault="00AF11CC" w:rsidP="00AF11CC">
      <w:pPr>
        <w:ind w:firstLine="709"/>
        <w:jc w:val="both"/>
        <w:rPr>
          <w:sz w:val="26"/>
          <w:szCs w:val="26"/>
        </w:rPr>
      </w:pPr>
      <w:r w:rsidRPr="004D7F78">
        <w:rPr>
          <w:sz w:val="26"/>
          <w:szCs w:val="26"/>
        </w:rPr>
        <w:tab/>
        <w:t>Valsts kancelejā saņemta Jūsu 2012.gada 26.</w:t>
      </w:r>
      <w:r>
        <w:rPr>
          <w:sz w:val="26"/>
          <w:szCs w:val="26"/>
        </w:rPr>
        <w:t>marta</w:t>
      </w:r>
      <w:r w:rsidRPr="004D7F78">
        <w:rPr>
          <w:sz w:val="26"/>
          <w:szCs w:val="26"/>
        </w:rPr>
        <w:t xml:space="preserve"> vēstule Nr.1-</w:t>
      </w:r>
      <w:r>
        <w:rPr>
          <w:sz w:val="26"/>
          <w:szCs w:val="26"/>
        </w:rPr>
        <w:t>5</w:t>
      </w:r>
      <w:r w:rsidRPr="004D7F78">
        <w:rPr>
          <w:sz w:val="26"/>
          <w:szCs w:val="26"/>
        </w:rPr>
        <w:t>/</w:t>
      </w:r>
      <w:r>
        <w:rPr>
          <w:sz w:val="26"/>
          <w:szCs w:val="26"/>
        </w:rPr>
        <w:t>77</w:t>
      </w:r>
      <w:r w:rsidRPr="004D7F78">
        <w:rPr>
          <w:sz w:val="26"/>
          <w:szCs w:val="26"/>
        </w:rPr>
        <w:t xml:space="preserve"> (turpmāk – vēstule), kurā </w:t>
      </w:r>
      <w:r>
        <w:rPr>
          <w:sz w:val="26"/>
          <w:szCs w:val="26"/>
        </w:rPr>
        <w:t>pausts viedoklis par nepieciešamību uzsākt aktīvu darbu pie nepieciešamo likumprojektu izstrādes partnerattiecību tiesiskā regulējuma jomā.</w:t>
      </w:r>
    </w:p>
    <w:p w:rsidR="00CA48B1" w:rsidRDefault="00AF11CC" w:rsidP="00AF11CC">
      <w:pPr>
        <w:ind w:firstLine="702"/>
        <w:jc w:val="both"/>
        <w:rPr>
          <w:sz w:val="26"/>
          <w:szCs w:val="26"/>
        </w:rPr>
      </w:pPr>
      <w:r>
        <w:rPr>
          <w:sz w:val="26"/>
          <w:szCs w:val="26"/>
        </w:rPr>
        <w:t xml:space="preserve">Vēstulē minēts, ka Jūs iebilstat pret 2012.gada 16.martā sniegtajā </w:t>
      </w:r>
      <w:r w:rsidRPr="00AF11CC">
        <w:rPr>
          <w:sz w:val="26"/>
          <w:szCs w:val="26"/>
        </w:rPr>
        <w:t>atbild</w:t>
      </w:r>
      <w:r>
        <w:rPr>
          <w:sz w:val="26"/>
          <w:szCs w:val="26"/>
        </w:rPr>
        <w:t>ē Nr.18/TA-219 pausto secinājumu, ka tiesiskās vienlīdzības principa nodrošinājumu</w:t>
      </w:r>
      <w:r w:rsidR="00CA48B1">
        <w:rPr>
          <w:sz w:val="26"/>
          <w:szCs w:val="26"/>
        </w:rPr>
        <w:t xml:space="preserve"> iespējams panākt interpretācijas ceļā, jo Jūsu praksē, izskatot pārbaudes lietas, vairākkārt ir apstiprinājies fakts, ka tiesību normu piemērotāji pārāk šauri interpretē tiesību normas, nonākot pie nepareiziem secinājumiem, kas rezultātā noved pie personas tiesības aizskāruma.</w:t>
      </w:r>
    </w:p>
    <w:p w:rsidR="00AF11CC" w:rsidRPr="00717D1D" w:rsidRDefault="00CA48B1" w:rsidP="00AF11CC">
      <w:pPr>
        <w:ind w:firstLine="702"/>
        <w:jc w:val="both"/>
        <w:rPr>
          <w:sz w:val="26"/>
          <w:szCs w:val="26"/>
        </w:rPr>
      </w:pPr>
      <w:r>
        <w:rPr>
          <w:sz w:val="26"/>
          <w:szCs w:val="26"/>
        </w:rPr>
        <w:t xml:space="preserve">Tāpat vēstulē vērsta uzmanība uz Latvijas Republikas Augstākās tiesas Senāta Civillietu departamenta 2012.gada 1.februāra spriedumu lietā Nr. SKC-4/2012, kurā Augstākā tiesa nonākusi pie atziņas, ka faktiskais laulātais nav atzīstams par īrnieka ģimenes locekli likuma „Par dzīvojamo telpu īri” izpratnē un ka minētā sprieduma 12.2.punktā Augstākās tiesas Senāts </w:t>
      </w:r>
      <w:r w:rsidR="005526E2">
        <w:rPr>
          <w:sz w:val="26"/>
          <w:szCs w:val="26"/>
        </w:rPr>
        <w:t>norāda</w:t>
      </w:r>
      <w:r>
        <w:rPr>
          <w:sz w:val="26"/>
          <w:szCs w:val="26"/>
        </w:rPr>
        <w:t xml:space="preserve"> </w:t>
      </w:r>
      <w:r w:rsidRPr="00717D1D">
        <w:rPr>
          <w:sz w:val="26"/>
          <w:szCs w:val="26"/>
        </w:rPr>
        <w:t>„ka</w:t>
      </w:r>
      <w:r w:rsidR="005526E2">
        <w:rPr>
          <w:sz w:val="26"/>
          <w:szCs w:val="26"/>
        </w:rPr>
        <w:t>,</w:t>
      </w:r>
      <w:r w:rsidRPr="00717D1D">
        <w:rPr>
          <w:sz w:val="26"/>
          <w:szCs w:val="26"/>
        </w:rPr>
        <w:t xml:space="preserve"> </w:t>
      </w:r>
      <w:r w:rsidR="00717D1D" w:rsidRPr="00717D1D">
        <w:rPr>
          <w:sz w:val="26"/>
          <w:szCs w:val="26"/>
        </w:rPr>
        <w:t>ievērojot iepriekš norādītos apsvērumus, Senāts uzskata, ka ir nepieciešama likumdevēja nepārprotama izšķiršanās par jautājumu, vai tiesiski ir atzīstamas partnerattiecības, citiem vārdiem sakot, vai divu personu faktiskai kopdzīvei ir tādas pašas tiesiskās sekas, kādas ir, noslēdzot laulību.</w:t>
      </w:r>
      <w:r w:rsidR="00873696">
        <w:rPr>
          <w:sz w:val="26"/>
          <w:szCs w:val="26"/>
        </w:rPr>
        <w:t xml:space="preserve"> </w:t>
      </w:r>
      <w:r w:rsidR="00717D1D" w:rsidRPr="00717D1D">
        <w:rPr>
          <w:sz w:val="26"/>
          <w:szCs w:val="26"/>
        </w:rPr>
        <w:t xml:space="preserve"> </w:t>
      </w:r>
      <w:r w:rsidR="00873696">
        <w:rPr>
          <w:sz w:val="26"/>
          <w:szCs w:val="26"/>
        </w:rPr>
        <w:t xml:space="preserve">[..] </w:t>
      </w:r>
      <w:r w:rsidR="00717D1D" w:rsidRPr="00717D1D">
        <w:rPr>
          <w:sz w:val="26"/>
          <w:szCs w:val="26"/>
        </w:rPr>
        <w:t>ne Senātam, ne arī tiesu instancēm, kas izskata civillietas pēc būtības, nav kompetences tiesību tālākveidošanas ceļā divu personu faktisko kopdzīvi pielīdzināt laulībai un kopdzīves partnerim noteikt tādas pašas tiesības kā laulātajam. Tas izriet no varas dalīšanas principa, kas nošķir likumdevēju no tiesu varas un leģitimē tiesu veikt tiesību jaunradi tikai gadījumos, kad tā nav saistāma ar iejaukšanos likumdevēja pilnvarās</w:t>
      </w:r>
      <w:r w:rsidR="00873696">
        <w:rPr>
          <w:sz w:val="26"/>
          <w:szCs w:val="26"/>
        </w:rPr>
        <w:t xml:space="preserve"> [..]</w:t>
      </w:r>
      <w:r w:rsidR="00717D1D">
        <w:rPr>
          <w:sz w:val="26"/>
          <w:szCs w:val="26"/>
        </w:rPr>
        <w:t>”</w:t>
      </w:r>
      <w:r w:rsidR="00AF11CC" w:rsidRPr="00717D1D">
        <w:rPr>
          <w:sz w:val="26"/>
          <w:szCs w:val="26"/>
        </w:rPr>
        <w:t xml:space="preserve"> </w:t>
      </w:r>
    </w:p>
    <w:p w:rsidR="00AF11CC" w:rsidRDefault="00AF11CC" w:rsidP="005526E2">
      <w:pPr>
        <w:ind w:firstLine="702"/>
        <w:jc w:val="both"/>
        <w:rPr>
          <w:sz w:val="26"/>
          <w:szCs w:val="26"/>
        </w:rPr>
      </w:pPr>
      <w:r w:rsidRPr="00AF11CC">
        <w:rPr>
          <w:sz w:val="26"/>
          <w:szCs w:val="26"/>
        </w:rPr>
        <w:t xml:space="preserve">Ar Ministru prezidenta 2012.gada </w:t>
      </w:r>
      <w:r>
        <w:rPr>
          <w:sz w:val="26"/>
          <w:szCs w:val="26"/>
        </w:rPr>
        <w:t>3</w:t>
      </w:r>
      <w:r w:rsidRPr="00AF11CC">
        <w:rPr>
          <w:sz w:val="26"/>
          <w:szCs w:val="26"/>
        </w:rPr>
        <w:t>.</w:t>
      </w:r>
      <w:r>
        <w:rPr>
          <w:sz w:val="26"/>
          <w:szCs w:val="26"/>
        </w:rPr>
        <w:t>aprīļa</w:t>
      </w:r>
      <w:r w:rsidRPr="00AF11CC">
        <w:rPr>
          <w:sz w:val="26"/>
          <w:szCs w:val="26"/>
        </w:rPr>
        <w:t xml:space="preserve"> rezolūciju Nr.90/TA-219</w:t>
      </w:r>
      <w:r>
        <w:rPr>
          <w:sz w:val="26"/>
          <w:szCs w:val="26"/>
        </w:rPr>
        <w:t>/4123</w:t>
      </w:r>
      <w:r w:rsidRPr="00AF11CC">
        <w:rPr>
          <w:sz w:val="26"/>
          <w:szCs w:val="26"/>
        </w:rPr>
        <w:t xml:space="preserve"> tieslietu ministrs, veselības ministrs, labklājības ministrs un finanšu ministrs tika lūgti iepazīties ar vēstuli un </w:t>
      </w:r>
      <w:r>
        <w:rPr>
          <w:sz w:val="26"/>
          <w:szCs w:val="26"/>
        </w:rPr>
        <w:t xml:space="preserve">kopīgi </w:t>
      </w:r>
      <w:r w:rsidRPr="00AF11CC">
        <w:rPr>
          <w:sz w:val="26"/>
          <w:szCs w:val="26"/>
        </w:rPr>
        <w:t>sagatavot</w:t>
      </w:r>
      <w:r>
        <w:rPr>
          <w:sz w:val="26"/>
          <w:szCs w:val="26"/>
        </w:rPr>
        <w:t xml:space="preserve"> papildinājumus</w:t>
      </w:r>
      <w:r w:rsidRPr="00AF11CC">
        <w:rPr>
          <w:sz w:val="26"/>
          <w:szCs w:val="26"/>
        </w:rPr>
        <w:t xml:space="preserve"> Jums </w:t>
      </w:r>
      <w:r>
        <w:rPr>
          <w:sz w:val="26"/>
          <w:szCs w:val="26"/>
        </w:rPr>
        <w:t xml:space="preserve">2012.gada 16.martā sniegtajai </w:t>
      </w:r>
      <w:r w:rsidRPr="00AF11CC">
        <w:rPr>
          <w:sz w:val="26"/>
          <w:szCs w:val="26"/>
        </w:rPr>
        <w:t>atbild</w:t>
      </w:r>
      <w:r>
        <w:rPr>
          <w:sz w:val="26"/>
          <w:szCs w:val="26"/>
        </w:rPr>
        <w:t>e</w:t>
      </w:r>
      <w:r w:rsidRPr="00AF11CC">
        <w:rPr>
          <w:sz w:val="26"/>
          <w:szCs w:val="26"/>
        </w:rPr>
        <w:t>i</w:t>
      </w:r>
      <w:r>
        <w:rPr>
          <w:sz w:val="26"/>
          <w:szCs w:val="26"/>
        </w:rPr>
        <w:t xml:space="preserve"> Nr.18/TA-219.</w:t>
      </w:r>
      <w:r w:rsidRPr="00AF11CC">
        <w:rPr>
          <w:sz w:val="26"/>
          <w:szCs w:val="26"/>
        </w:rPr>
        <w:t xml:space="preserve"> </w:t>
      </w:r>
      <w:r w:rsidR="00717D1D">
        <w:rPr>
          <w:sz w:val="26"/>
          <w:szCs w:val="26"/>
        </w:rPr>
        <w:t xml:space="preserve">Ņemot vērā minēto, papildus 2012.gada 16.martā sniegtajai </w:t>
      </w:r>
      <w:r w:rsidR="00717D1D" w:rsidRPr="00AF11CC">
        <w:rPr>
          <w:sz w:val="26"/>
          <w:szCs w:val="26"/>
        </w:rPr>
        <w:t>atbild</w:t>
      </w:r>
      <w:r w:rsidR="00717D1D">
        <w:rPr>
          <w:sz w:val="26"/>
          <w:szCs w:val="26"/>
        </w:rPr>
        <w:t xml:space="preserve">ei Nr.18/TA-219 sniedzam Jums šādu </w:t>
      </w:r>
      <w:r w:rsidR="006A5247">
        <w:rPr>
          <w:sz w:val="26"/>
          <w:szCs w:val="26"/>
        </w:rPr>
        <w:t>viedokli</w:t>
      </w:r>
      <w:r w:rsidR="00717D1D">
        <w:rPr>
          <w:sz w:val="26"/>
          <w:szCs w:val="26"/>
        </w:rPr>
        <w:t>.</w:t>
      </w:r>
    </w:p>
    <w:p w:rsidR="00717D1D" w:rsidRDefault="00717D1D" w:rsidP="00717D1D">
      <w:pPr>
        <w:ind w:firstLine="720"/>
        <w:jc w:val="both"/>
        <w:rPr>
          <w:sz w:val="26"/>
          <w:szCs w:val="26"/>
        </w:rPr>
      </w:pPr>
      <w:r w:rsidRPr="00717D1D">
        <w:rPr>
          <w:sz w:val="26"/>
          <w:szCs w:val="26"/>
        </w:rPr>
        <w:t xml:space="preserve">Piekrītam </w:t>
      </w:r>
      <w:r w:rsidR="0024704C">
        <w:rPr>
          <w:sz w:val="26"/>
          <w:szCs w:val="26"/>
        </w:rPr>
        <w:t xml:space="preserve">Latvijas Republikas Augstākās tiesas Senāta Civillietu departamenta 2012.gada 1.februāra spriedumā lietā Nr. SKC-4/2012 konstatētajam, ka </w:t>
      </w:r>
      <w:r w:rsidRPr="00717D1D">
        <w:rPr>
          <w:sz w:val="26"/>
          <w:szCs w:val="26"/>
        </w:rPr>
        <w:t>jautājums par ārpus laulības savienībā dzīvojošām personām piešķiramajām tiesībām ir risināms likumdošanas ceļā, nevis atstājams izlemšanai tiesai.</w:t>
      </w:r>
    </w:p>
    <w:p w:rsidR="0024704C" w:rsidRDefault="0024704C" w:rsidP="00717D1D">
      <w:pPr>
        <w:ind w:firstLine="720"/>
        <w:jc w:val="both"/>
        <w:rPr>
          <w:sz w:val="26"/>
          <w:szCs w:val="26"/>
        </w:rPr>
      </w:pPr>
      <w:r w:rsidRPr="0024704C">
        <w:rPr>
          <w:sz w:val="26"/>
          <w:szCs w:val="26"/>
        </w:rPr>
        <w:t>Ņemot vērā minēto, vēršam Jūsu uzmanību uz to, ka likumdevējs</w:t>
      </w:r>
      <w:r>
        <w:rPr>
          <w:sz w:val="26"/>
          <w:szCs w:val="26"/>
        </w:rPr>
        <w:t>,</w:t>
      </w:r>
      <w:r w:rsidRPr="0024704C">
        <w:rPr>
          <w:sz w:val="26"/>
          <w:szCs w:val="26"/>
        </w:rPr>
        <w:t xml:space="preserve"> veicot 2005.gada  15.decembrī grozījumu Latvijas Republikas Satversmē un izsakot tā 110.pantu šādā redakcijā: „110. Valsts aizsargā un atbalsta laulību - savienību starp vīrieti un sievieti, ģimeni, vecāku un bērna tiesības. Valsts īpaši palīdz </w:t>
      </w:r>
      <w:r w:rsidRPr="0024704C">
        <w:rPr>
          <w:sz w:val="26"/>
          <w:szCs w:val="26"/>
        </w:rPr>
        <w:lastRenderedPageBreak/>
        <w:t>bērniem invalīdiem, bērniem, kas palikuši bez vecāku gādības vai cietuši no varmācības</w:t>
      </w:r>
      <w:r>
        <w:rPr>
          <w:sz w:val="26"/>
          <w:szCs w:val="26"/>
        </w:rPr>
        <w:t>”, ir</w:t>
      </w:r>
      <w:r w:rsidRPr="0024704C">
        <w:rPr>
          <w:sz w:val="26"/>
          <w:szCs w:val="26"/>
        </w:rPr>
        <w:t xml:space="preserve"> </w:t>
      </w:r>
      <w:r>
        <w:rPr>
          <w:sz w:val="26"/>
          <w:szCs w:val="26"/>
        </w:rPr>
        <w:t>politiski izšķīries par to, ka personu ārpuslaulības savienība nav pielīdzināma laulībai, t. i., savienībai starp vīrieti un sievieti.</w:t>
      </w:r>
    </w:p>
    <w:p w:rsidR="00553E84" w:rsidRPr="00553E84" w:rsidRDefault="00553E84" w:rsidP="00717D1D">
      <w:pPr>
        <w:ind w:firstLine="720"/>
        <w:jc w:val="both"/>
        <w:rPr>
          <w:sz w:val="26"/>
          <w:szCs w:val="26"/>
        </w:rPr>
      </w:pPr>
      <w:r w:rsidRPr="00553E84">
        <w:rPr>
          <w:sz w:val="26"/>
          <w:szCs w:val="26"/>
        </w:rPr>
        <w:t>Kā norādīts 2005.gada 15.decembra likuma „Grozījums Latvijas Republikas Satversmē” anotācijas 1.punktā, minētie grozījumi bija nepieciešami, lai, ņemot vērā tradicionālo uzskatu par laulību un ģimeni, kas Latvijā izveidojies kultūrvēsturiskās attīstības gaitā, kā arī pastāvīgos apdraudējumus šai tradicionālajai vērtībai, ir nepieciešams Latvijas likumdošanā iekļaut laulības definīciju</w:t>
      </w:r>
      <w:r w:rsidR="005526E2">
        <w:rPr>
          <w:sz w:val="26"/>
          <w:szCs w:val="26"/>
        </w:rPr>
        <w:t>.</w:t>
      </w:r>
      <w:r>
        <w:rPr>
          <w:rStyle w:val="Vresatsauce"/>
          <w:sz w:val="26"/>
          <w:szCs w:val="26"/>
        </w:rPr>
        <w:footnoteReference w:id="1"/>
      </w:r>
    </w:p>
    <w:p w:rsidR="00553E84" w:rsidRDefault="00717D1D" w:rsidP="00553E84">
      <w:pPr>
        <w:ind w:firstLine="709"/>
        <w:jc w:val="both"/>
        <w:rPr>
          <w:sz w:val="26"/>
          <w:szCs w:val="26"/>
        </w:rPr>
      </w:pPr>
      <w:r>
        <w:rPr>
          <w:sz w:val="26"/>
          <w:szCs w:val="26"/>
        </w:rPr>
        <w:t xml:space="preserve"> </w:t>
      </w:r>
      <w:r w:rsidR="0024704C">
        <w:rPr>
          <w:sz w:val="26"/>
          <w:szCs w:val="26"/>
        </w:rPr>
        <w:t xml:space="preserve">Ņemot vērā minēto, </w:t>
      </w:r>
      <w:r w:rsidR="00187380">
        <w:rPr>
          <w:sz w:val="26"/>
          <w:szCs w:val="26"/>
        </w:rPr>
        <w:t>būtu izvērtējams, vai nepieciešams</w:t>
      </w:r>
      <w:r w:rsidR="00553E84">
        <w:rPr>
          <w:sz w:val="26"/>
          <w:szCs w:val="26"/>
        </w:rPr>
        <w:t xml:space="preserve"> uzsākt aktīvu darbu pie nepieciešamo likumprojektu izstrādes partnerattiecību tiesiskā regulējuma jomā.</w:t>
      </w:r>
    </w:p>
    <w:p w:rsidR="00AF11CC" w:rsidRDefault="00AF11CC" w:rsidP="00553E84">
      <w:pPr>
        <w:jc w:val="both"/>
        <w:rPr>
          <w:sz w:val="26"/>
          <w:szCs w:val="26"/>
        </w:rPr>
      </w:pPr>
    </w:p>
    <w:p w:rsidR="00553E84" w:rsidRDefault="00553E84" w:rsidP="00553E84">
      <w:pPr>
        <w:jc w:val="both"/>
        <w:rPr>
          <w:sz w:val="26"/>
          <w:szCs w:val="26"/>
        </w:rPr>
      </w:pPr>
      <w:r>
        <w:rPr>
          <w:sz w:val="26"/>
          <w:szCs w:val="26"/>
        </w:rPr>
        <w:t>Cieņā,</w:t>
      </w:r>
    </w:p>
    <w:p w:rsidR="00553E84" w:rsidRPr="004D7F78" w:rsidRDefault="00553E84" w:rsidP="00553E84">
      <w:pPr>
        <w:jc w:val="both"/>
        <w:rPr>
          <w:sz w:val="26"/>
          <w:szCs w:val="26"/>
        </w:rPr>
      </w:pPr>
    </w:p>
    <w:p w:rsidR="00AF11CC" w:rsidRDefault="00AF11CC" w:rsidP="00553E84">
      <w:pPr>
        <w:tabs>
          <w:tab w:val="left" w:pos="993"/>
        </w:tabs>
        <w:jc w:val="both"/>
        <w:rPr>
          <w:i/>
          <w:sz w:val="26"/>
          <w:szCs w:val="26"/>
        </w:rPr>
      </w:pPr>
      <w:r w:rsidRPr="004D7F78">
        <w:rPr>
          <w:sz w:val="26"/>
          <w:szCs w:val="26"/>
        </w:rPr>
        <w:t>Ministru prezidents</w:t>
      </w:r>
      <w:r w:rsidRPr="004D7F78">
        <w:rPr>
          <w:sz w:val="26"/>
          <w:szCs w:val="26"/>
        </w:rPr>
        <w:tab/>
      </w:r>
      <w:r w:rsidRPr="004D7F78">
        <w:rPr>
          <w:sz w:val="26"/>
          <w:szCs w:val="26"/>
        </w:rPr>
        <w:tab/>
      </w:r>
      <w:r w:rsidRPr="004D7F78">
        <w:rPr>
          <w:sz w:val="26"/>
          <w:szCs w:val="26"/>
        </w:rPr>
        <w:tab/>
      </w:r>
      <w:r w:rsidRPr="004D7F78">
        <w:rPr>
          <w:sz w:val="26"/>
          <w:szCs w:val="26"/>
        </w:rPr>
        <w:tab/>
      </w:r>
      <w:r w:rsidRPr="004D7F78">
        <w:rPr>
          <w:sz w:val="26"/>
          <w:szCs w:val="26"/>
        </w:rPr>
        <w:tab/>
        <w:t xml:space="preserve">      </w:t>
      </w:r>
      <w:r>
        <w:rPr>
          <w:sz w:val="26"/>
          <w:szCs w:val="26"/>
        </w:rPr>
        <w:t xml:space="preserve">                 V</w:t>
      </w:r>
      <w:r w:rsidRPr="004D7F78">
        <w:rPr>
          <w:sz w:val="26"/>
          <w:szCs w:val="26"/>
        </w:rPr>
        <w:t>. Dombrovskis</w:t>
      </w: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sz w:val="26"/>
          <w:szCs w:val="26"/>
        </w:rPr>
      </w:pPr>
    </w:p>
    <w:p w:rsidR="00AF11CC" w:rsidRDefault="00AF11CC" w:rsidP="00AF11CC">
      <w:pPr>
        <w:tabs>
          <w:tab w:val="left" w:pos="993"/>
        </w:tabs>
        <w:ind w:firstLine="709"/>
        <w:jc w:val="both"/>
        <w:rPr>
          <w:i/>
        </w:rPr>
      </w:pPr>
    </w:p>
    <w:p w:rsidR="00AF11CC" w:rsidRDefault="00AF11CC" w:rsidP="00AF11CC">
      <w:pPr>
        <w:tabs>
          <w:tab w:val="left" w:pos="993"/>
        </w:tabs>
        <w:ind w:firstLine="709"/>
        <w:jc w:val="both"/>
        <w:rPr>
          <w:i/>
        </w:rPr>
      </w:pPr>
    </w:p>
    <w:p w:rsidR="00003F6F" w:rsidRDefault="00003F6F" w:rsidP="00AF11CC">
      <w:pPr>
        <w:tabs>
          <w:tab w:val="left" w:pos="993"/>
        </w:tabs>
        <w:ind w:firstLine="709"/>
        <w:jc w:val="both"/>
        <w:rPr>
          <w:i/>
        </w:rPr>
      </w:pPr>
    </w:p>
    <w:p w:rsidR="00AF11CC" w:rsidRDefault="00AF11CC" w:rsidP="00AF11CC">
      <w:pPr>
        <w:tabs>
          <w:tab w:val="left" w:pos="993"/>
        </w:tabs>
        <w:ind w:firstLine="709"/>
        <w:jc w:val="both"/>
        <w:rPr>
          <w:i/>
        </w:rPr>
      </w:pPr>
    </w:p>
    <w:p w:rsidR="00873696" w:rsidRDefault="00873696" w:rsidP="00AF11CC">
      <w:pPr>
        <w:tabs>
          <w:tab w:val="left" w:pos="993"/>
        </w:tabs>
        <w:ind w:firstLine="709"/>
        <w:jc w:val="both"/>
        <w:rPr>
          <w:i/>
        </w:rPr>
      </w:pPr>
    </w:p>
    <w:p w:rsidR="00873696" w:rsidRDefault="00873696" w:rsidP="00AF11CC">
      <w:pPr>
        <w:tabs>
          <w:tab w:val="left" w:pos="993"/>
        </w:tabs>
        <w:ind w:firstLine="709"/>
        <w:jc w:val="both"/>
        <w:rPr>
          <w:i/>
        </w:rPr>
      </w:pPr>
    </w:p>
    <w:p w:rsidR="00873696" w:rsidRDefault="00873696" w:rsidP="00AF11CC">
      <w:pPr>
        <w:tabs>
          <w:tab w:val="left" w:pos="993"/>
        </w:tabs>
        <w:ind w:firstLine="709"/>
        <w:jc w:val="both"/>
        <w:rPr>
          <w:i/>
        </w:rPr>
      </w:pPr>
    </w:p>
    <w:p w:rsidR="00873696" w:rsidRDefault="00873696" w:rsidP="00AF11CC">
      <w:pPr>
        <w:tabs>
          <w:tab w:val="left" w:pos="993"/>
        </w:tabs>
        <w:ind w:firstLine="709"/>
        <w:jc w:val="both"/>
        <w:rPr>
          <w:i/>
        </w:rPr>
      </w:pPr>
    </w:p>
    <w:p w:rsidR="00873696" w:rsidRDefault="00873696" w:rsidP="00AF11CC">
      <w:pPr>
        <w:tabs>
          <w:tab w:val="left" w:pos="993"/>
        </w:tabs>
        <w:ind w:firstLine="709"/>
        <w:jc w:val="both"/>
        <w:rPr>
          <w:i/>
        </w:rPr>
      </w:pPr>
    </w:p>
    <w:p w:rsidR="00873696" w:rsidRDefault="00873696" w:rsidP="00AF11CC">
      <w:pPr>
        <w:tabs>
          <w:tab w:val="left" w:pos="993"/>
        </w:tabs>
        <w:ind w:firstLine="709"/>
        <w:jc w:val="both"/>
        <w:rPr>
          <w:i/>
        </w:rPr>
      </w:pPr>
    </w:p>
    <w:p w:rsidR="00873696" w:rsidRPr="004D7F78" w:rsidRDefault="00873696" w:rsidP="00AF11CC">
      <w:pPr>
        <w:tabs>
          <w:tab w:val="left" w:pos="993"/>
        </w:tabs>
        <w:ind w:firstLine="709"/>
        <w:jc w:val="both"/>
        <w:rPr>
          <w:i/>
        </w:rPr>
      </w:pPr>
    </w:p>
    <w:p w:rsidR="00AF11CC" w:rsidRPr="004D7F78" w:rsidRDefault="00003F6F" w:rsidP="00AF11CC">
      <w:r>
        <w:t>20</w:t>
      </w:r>
      <w:r w:rsidR="00AF11CC" w:rsidRPr="004D7F78">
        <w:t>.0</w:t>
      </w:r>
      <w:r w:rsidR="00553E84">
        <w:t>4</w:t>
      </w:r>
      <w:r w:rsidR="00AF11CC" w:rsidRPr="004D7F78">
        <w:t xml:space="preserve">.2012. </w:t>
      </w:r>
      <w:r>
        <w:t>8</w:t>
      </w:r>
      <w:r w:rsidR="00AF11CC" w:rsidRPr="004D7F78">
        <w:t>:</w:t>
      </w:r>
      <w:r w:rsidR="00553E84">
        <w:t>4</w:t>
      </w:r>
      <w:r>
        <w:t>5</w:t>
      </w:r>
    </w:p>
    <w:p w:rsidR="00AF11CC" w:rsidRPr="004D7F78" w:rsidRDefault="00873696" w:rsidP="00AF11CC">
      <w:r>
        <w:t>465</w:t>
      </w:r>
    </w:p>
    <w:p w:rsidR="00AF11CC" w:rsidRPr="004D7F78" w:rsidRDefault="00AF11CC" w:rsidP="00AF11CC">
      <w:r w:rsidRPr="004D7F78">
        <w:t xml:space="preserve">Rāgs </w:t>
      </w:r>
      <w:hyperlink r:id="rId9" w:history="1">
        <w:r w:rsidRPr="004D7F78">
          <w:rPr>
            <w:rStyle w:val="Hipersaite"/>
            <w:color w:val="auto"/>
            <w:u w:val="none"/>
          </w:rPr>
          <w:t>67036974</w:t>
        </w:r>
      </w:hyperlink>
    </w:p>
    <w:p w:rsidR="00372078" w:rsidRDefault="00AF11CC">
      <w:bookmarkStart w:id="3" w:name="OLE_LINK2"/>
      <w:bookmarkStart w:id="4" w:name="OLE_LINK1"/>
      <w:r w:rsidRPr="004D7F78">
        <w:t>Sandris.Rags@tm.gov.lv</w:t>
      </w:r>
      <w:bookmarkEnd w:id="3"/>
      <w:bookmarkEnd w:id="4"/>
    </w:p>
    <w:sectPr w:rsidR="00372078" w:rsidSect="00E90CFA">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84" w:rsidRDefault="00553E84" w:rsidP="00553E84">
      <w:r>
        <w:separator/>
      </w:r>
    </w:p>
  </w:endnote>
  <w:endnote w:type="continuationSeparator" w:id="0">
    <w:p w:rsidR="00553E84" w:rsidRDefault="00553E84" w:rsidP="0055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0B" w:rsidRDefault="00553E84" w:rsidP="00BD616D">
    <w:pPr>
      <w:pStyle w:val="Kjene"/>
      <w:jc w:val="both"/>
    </w:pPr>
    <w:r>
      <w:t>TMatb_</w:t>
    </w:r>
    <w:r w:rsidR="00003F6F">
      <w:t>20</w:t>
    </w:r>
    <w:r>
      <w:t>0412_Tiesibsargs; Ministru kabineta atbildes projekts Tiesībsargam par partnerattiecību tiesisko regulējumu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0B" w:rsidRDefault="00553E84" w:rsidP="00BD616D">
    <w:pPr>
      <w:pStyle w:val="Kjene"/>
      <w:jc w:val="both"/>
    </w:pPr>
    <w:r>
      <w:t>TMatb_</w:t>
    </w:r>
    <w:r w:rsidR="00061E8D">
      <w:t>20</w:t>
    </w:r>
    <w:r>
      <w:t>0412_Tiesibsargs; Ministru kabineta atbildes projekts Tiesībsargam par partnerattiecību tiesisko regulējumu</w:t>
    </w:r>
  </w:p>
  <w:p w:rsidR="0080020B" w:rsidRPr="00BD616D" w:rsidRDefault="00584ED5" w:rsidP="00BD61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84" w:rsidRDefault="00553E84" w:rsidP="00553E84">
      <w:r>
        <w:separator/>
      </w:r>
    </w:p>
  </w:footnote>
  <w:footnote w:type="continuationSeparator" w:id="0">
    <w:p w:rsidR="00553E84" w:rsidRDefault="00553E84" w:rsidP="00553E84">
      <w:r>
        <w:continuationSeparator/>
      </w:r>
    </w:p>
  </w:footnote>
  <w:footnote w:id="1">
    <w:p w:rsidR="00553E84" w:rsidRDefault="00553E84">
      <w:pPr>
        <w:pStyle w:val="Vresteksts"/>
      </w:pPr>
      <w:r>
        <w:rPr>
          <w:rStyle w:val="Vresatsauce"/>
        </w:rPr>
        <w:footnoteRef/>
      </w:r>
      <w:r>
        <w:t xml:space="preserve"> </w:t>
      </w:r>
      <w:r w:rsidRPr="00553E84">
        <w:t>http://helios-web.saeima.lv/bi8/lasa?dd=LP1400_0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641"/>
      <w:docPartObj>
        <w:docPartGallery w:val="Page Numbers (Top of Page)"/>
        <w:docPartUnique/>
      </w:docPartObj>
    </w:sdtPr>
    <w:sdtEndPr/>
    <w:sdtContent>
      <w:p w:rsidR="0080020B" w:rsidRDefault="002C46F6">
        <w:pPr>
          <w:pStyle w:val="Galvene"/>
          <w:jc w:val="center"/>
        </w:pPr>
        <w:r>
          <w:fldChar w:fldCharType="begin"/>
        </w:r>
        <w:r w:rsidR="00553E84">
          <w:instrText xml:space="preserve"> PAGE   \* MERGEFORMAT </w:instrText>
        </w:r>
        <w:r>
          <w:fldChar w:fldCharType="separate"/>
        </w:r>
        <w:r w:rsidR="00584ED5">
          <w:rPr>
            <w:noProof/>
          </w:rPr>
          <w:t>2</w:t>
        </w:r>
        <w:r>
          <w:rPr>
            <w:noProof/>
          </w:rPr>
          <w:fldChar w:fldCharType="end"/>
        </w:r>
      </w:p>
    </w:sdtContent>
  </w:sdt>
  <w:p w:rsidR="0080020B" w:rsidRDefault="00584E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0B" w:rsidRDefault="00553E84" w:rsidP="004D7F78">
    <w:pPr>
      <w:tabs>
        <w:tab w:val="left" w:pos="993"/>
      </w:tabs>
      <w:ind w:firstLine="709"/>
      <w:jc w:val="right"/>
      <w:rPr>
        <w:i/>
        <w:szCs w:val="28"/>
      </w:rPr>
    </w:pPr>
    <w:r>
      <w:rPr>
        <w:i/>
        <w:szCs w:val="28"/>
      </w:rPr>
      <w:t xml:space="preserve">Ministru kabineta atbildes projekts </w:t>
    </w:r>
  </w:p>
  <w:p w:rsidR="0080020B" w:rsidRDefault="00584ED5">
    <w:pPr>
      <w:pStyle w:val="Galvene"/>
    </w:pPr>
  </w:p>
  <w:p w:rsidR="0080020B" w:rsidRDefault="00584E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6AD"/>
    <w:multiLevelType w:val="hybridMultilevel"/>
    <w:tmpl w:val="ADAE67A8"/>
    <w:lvl w:ilvl="0" w:tplc="4816C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1D96F36"/>
    <w:multiLevelType w:val="hybridMultilevel"/>
    <w:tmpl w:val="30743C06"/>
    <w:lvl w:ilvl="0" w:tplc="D5AE2C9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6527AEB"/>
    <w:multiLevelType w:val="hybridMultilevel"/>
    <w:tmpl w:val="349E17D2"/>
    <w:lvl w:ilvl="0" w:tplc="D0D873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8F22A8A"/>
    <w:multiLevelType w:val="hybridMultilevel"/>
    <w:tmpl w:val="E2162B38"/>
    <w:lvl w:ilvl="0" w:tplc="4F12F8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CC"/>
    <w:rsid w:val="00003F6F"/>
    <w:rsid w:val="00061E8D"/>
    <w:rsid w:val="00065C58"/>
    <w:rsid w:val="000A7DE1"/>
    <w:rsid w:val="00187380"/>
    <w:rsid w:val="0024704C"/>
    <w:rsid w:val="002C46F6"/>
    <w:rsid w:val="005526E2"/>
    <w:rsid w:val="00553E84"/>
    <w:rsid w:val="00584ED5"/>
    <w:rsid w:val="006A5247"/>
    <w:rsid w:val="00717D1D"/>
    <w:rsid w:val="00873696"/>
    <w:rsid w:val="00AF11CC"/>
    <w:rsid w:val="00CA48B1"/>
    <w:rsid w:val="00DF6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11C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AF11CC"/>
    <w:rPr>
      <w:rFonts w:ascii="Times New Roman" w:hAnsi="Times New Roman" w:cs="Times New Roman" w:hint="default"/>
      <w:color w:val="D9D9FF"/>
      <w:u w:val="single"/>
    </w:rPr>
  </w:style>
  <w:style w:type="paragraph" w:styleId="Sarakstarindkopa">
    <w:name w:val="List Paragraph"/>
    <w:basedOn w:val="Parasts"/>
    <w:uiPriority w:val="34"/>
    <w:qFormat/>
    <w:rsid w:val="00AF11CC"/>
    <w:pPr>
      <w:ind w:left="720"/>
    </w:pPr>
  </w:style>
  <w:style w:type="paragraph" w:styleId="Galvene">
    <w:name w:val="header"/>
    <w:basedOn w:val="Parasts"/>
    <w:link w:val="GalveneRakstz"/>
    <w:uiPriority w:val="99"/>
    <w:unhideWhenUsed/>
    <w:rsid w:val="00AF11CC"/>
    <w:pPr>
      <w:tabs>
        <w:tab w:val="center" w:pos="4153"/>
        <w:tab w:val="right" w:pos="8306"/>
      </w:tabs>
    </w:pPr>
  </w:style>
  <w:style w:type="character" w:customStyle="1" w:styleId="GalveneRakstz">
    <w:name w:val="Galvene Rakstz."/>
    <w:basedOn w:val="Noklusjumarindkopasfonts"/>
    <w:link w:val="Galvene"/>
    <w:uiPriority w:val="99"/>
    <w:rsid w:val="00AF11C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F11CC"/>
    <w:pPr>
      <w:tabs>
        <w:tab w:val="center" w:pos="4153"/>
        <w:tab w:val="right" w:pos="8306"/>
      </w:tabs>
    </w:pPr>
  </w:style>
  <w:style w:type="character" w:customStyle="1" w:styleId="KjeneRakstz">
    <w:name w:val="Kājene Rakstz."/>
    <w:basedOn w:val="Noklusjumarindkopasfonts"/>
    <w:link w:val="Kjene"/>
    <w:uiPriority w:val="99"/>
    <w:rsid w:val="00AF11C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53E84"/>
    <w:rPr>
      <w:sz w:val="20"/>
      <w:szCs w:val="20"/>
    </w:rPr>
  </w:style>
  <w:style w:type="character" w:customStyle="1" w:styleId="VrestekstsRakstz">
    <w:name w:val="Vēres teksts Rakstz."/>
    <w:basedOn w:val="Noklusjumarindkopasfonts"/>
    <w:link w:val="Vresteksts"/>
    <w:uiPriority w:val="99"/>
    <w:semiHidden/>
    <w:rsid w:val="00553E84"/>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553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11C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AF11CC"/>
    <w:rPr>
      <w:rFonts w:ascii="Times New Roman" w:hAnsi="Times New Roman" w:cs="Times New Roman" w:hint="default"/>
      <w:color w:val="D9D9FF"/>
      <w:u w:val="single"/>
    </w:rPr>
  </w:style>
  <w:style w:type="paragraph" w:styleId="Sarakstarindkopa">
    <w:name w:val="List Paragraph"/>
    <w:basedOn w:val="Parasts"/>
    <w:uiPriority w:val="34"/>
    <w:qFormat/>
    <w:rsid w:val="00AF11CC"/>
    <w:pPr>
      <w:ind w:left="720"/>
    </w:pPr>
  </w:style>
  <w:style w:type="paragraph" w:styleId="Galvene">
    <w:name w:val="header"/>
    <w:basedOn w:val="Parasts"/>
    <w:link w:val="GalveneRakstz"/>
    <w:uiPriority w:val="99"/>
    <w:unhideWhenUsed/>
    <w:rsid w:val="00AF11CC"/>
    <w:pPr>
      <w:tabs>
        <w:tab w:val="center" w:pos="4153"/>
        <w:tab w:val="right" w:pos="8306"/>
      </w:tabs>
    </w:pPr>
  </w:style>
  <w:style w:type="character" w:customStyle="1" w:styleId="GalveneRakstz">
    <w:name w:val="Galvene Rakstz."/>
    <w:basedOn w:val="Noklusjumarindkopasfonts"/>
    <w:link w:val="Galvene"/>
    <w:uiPriority w:val="99"/>
    <w:rsid w:val="00AF11C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F11CC"/>
    <w:pPr>
      <w:tabs>
        <w:tab w:val="center" w:pos="4153"/>
        <w:tab w:val="right" w:pos="8306"/>
      </w:tabs>
    </w:pPr>
  </w:style>
  <w:style w:type="character" w:customStyle="1" w:styleId="KjeneRakstz">
    <w:name w:val="Kājene Rakstz."/>
    <w:basedOn w:val="Noklusjumarindkopasfonts"/>
    <w:link w:val="Kjene"/>
    <w:uiPriority w:val="99"/>
    <w:rsid w:val="00AF11C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53E84"/>
    <w:rPr>
      <w:sz w:val="20"/>
      <w:szCs w:val="20"/>
    </w:rPr>
  </w:style>
  <w:style w:type="character" w:customStyle="1" w:styleId="VrestekstsRakstz">
    <w:name w:val="Vēres teksts Rakstz."/>
    <w:basedOn w:val="Noklusjumarindkopasfonts"/>
    <w:link w:val="Vresteksts"/>
    <w:uiPriority w:val="99"/>
    <w:semiHidden/>
    <w:rsid w:val="00553E84"/>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55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8721">
      <w:bodyDiv w:val="1"/>
      <w:marLeft w:val="0"/>
      <w:marRight w:val="0"/>
      <w:marTop w:val="0"/>
      <w:marBottom w:val="0"/>
      <w:divBdr>
        <w:top w:val="none" w:sz="0" w:space="0" w:color="auto"/>
        <w:left w:val="none" w:sz="0" w:space="0" w:color="auto"/>
        <w:bottom w:val="none" w:sz="0" w:space="0" w:color="auto"/>
        <w:right w:val="none" w:sz="0" w:space="0" w:color="auto"/>
      </w:divBdr>
    </w:div>
    <w:div w:id="18381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67046124"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780-B847-4221-8A61-5E257A2F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2445</Words>
  <Characters>1395</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Sandris Rags</cp:lastModifiedBy>
  <cp:revision>2</cp:revision>
  <cp:lastPrinted>2012-04-20T05:46:00Z</cp:lastPrinted>
  <dcterms:created xsi:type="dcterms:W3CDTF">2012-04-20T09:15:00Z</dcterms:created>
  <dcterms:modified xsi:type="dcterms:W3CDTF">2012-04-20T09:15:00Z</dcterms:modified>
</cp:coreProperties>
</file>