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B" w:rsidRPr="00DE094E" w:rsidRDefault="00FA311B" w:rsidP="00FA311B">
      <w:pPr>
        <w:pStyle w:val="naisc"/>
        <w:spacing w:before="0" w:after="0"/>
        <w:jc w:val="right"/>
        <w:rPr>
          <w:sz w:val="28"/>
          <w:szCs w:val="28"/>
          <w:lang w:val="lv-LV"/>
        </w:rPr>
      </w:pPr>
      <w:r w:rsidRPr="00DE094E">
        <w:rPr>
          <w:sz w:val="28"/>
          <w:szCs w:val="28"/>
          <w:lang w:val="lv-LV"/>
        </w:rPr>
        <w:t>Likumprojekts</w:t>
      </w:r>
    </w:p>
    <w:p w:rsidR="001607DB" w:rsidRDefault="001607DB" w:rsidP="000C27F9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7DB" w:rsidRDefault="001607DB" w:rsidP="000C27F9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A6D" w:rsidRDefault="00DD6A6D" w:rsidP="000C27F9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A6D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likumā "Par policiju"</w:t>
      </w:r>
    </w:p>
    <w:p w:rsidR="001607DB" w:rsidRDefault="001607DB" w:rsidP="000C27F9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7DB" w:rsidRPr="00DD6A6D" w:rsidRDefault="001607DB" w:rsidP="000C27F9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6A6D" w:rsidRPr="00DD6A6D" w:rsidRDefault="00DD6A6D" w:rsidP="000C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A6D">
        <w:rPr>
          <w:rFonts w:ascii="Times New Roman" w:eastAsia="Times New Roman" w:hAnsi="Times New Roman" w:cs="Times New Roman"/>
          <w:sz w:val="28"/>
          <w:szCs w:val="28"/>
        </w:rPr>
        <w:t>Izdarīt likumā "Par policiju" (Latvijas Republikas Augstākās Padomes un Valdības Ziņotājs, 1991, 31./32.nr.; 1992, 37./38.nr.; Latvijas Republikas Saeimas un Ministru Kabineta Ziņotājs, 1994, 13., 23.nr.; 1995, 2., 24.nr.; 1996, 13.nr.; 1997, 2., 8., 23.nr.; 1999, 12., 23.nr.; 2000, 14.nr.; 2001, 21.nr.; 2002, 2., 4., 16., 22.nr.; 2003, 2., 8., 14.</w:t>
      </w:r>
      <w:r w:rsidRPr="00634F12">
        <w:rPr>
          <w:rFonts w:ascii="Times New Roman" w:eastAsia="Times New Roman" w:hAnsi="Times New Roman" w:cs="Times New Roman"/>
          <w:sz w:val="28"/>
          <w:szCs w:val="28"/>
        </w:rPr>
        <w:t>nr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>.; 2004, 13.nr.; 2005, 2., 10., 22.nr.; 2006, 14., 20.nr.; 2008, 14.nr.; 2009, 3.nr.; Latvijas Vēstnesis, 2010, 157.</w:t>
      </w:r>
      <w:r w:rsidR="00974584">
        <w:rPr>
          <w:rFonts w:ascii="Times New Roman" w:eastAsia="Times New Roman" w:hAnsi="Times New Roman" w:cs="Times New Roman"/>
          <w:sz w:val="28"/>
          <w:szCs w:val="28"/>
        </w:rPr>
        <w:t>, 183.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F333D6">
        <w:rPr>
          <w:rFonts w:ascii="Times New Roman" w:eastAsia="Times New Roman" w:hAnsi="Times New Roman" w:cs="Times New Roman"/>
          <w:sz w:val="28"/>
          <w:szCs w:val="28"/>
        </w:rPr>
        <w:t>, 2011, 120.nr.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>) šādus grozījumus:</w:t>
      </w:r>
      <w:bookmarkStart w:id="0" w:name="_GoBack"/>
      <w:bookmarkEnd w:id="0"/>
    </w:p>
    <w:p w:rsidR="000C27F9" w:rsidRDefault="000C27F9" w:rsidP="000C27F9">
      <w:pPr>
        <w:pStyle w:val="Komentrateksts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C27F9" w:rsidRPr="001607DB" w:rsidRDefault="00767B36" w:rsidP="00ED7D01">
      <w:pPr>
        <w:pStyle w:val="Komentrateksts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B">
        <w:rPr>
          <w:rFonts w:ascii="Times New Roman" w:hAnsi="Times New Roman" w:cs="Times New Roman"/>
          <w:sz w:val="28"/>
          <w:szCs w:val="28"/>
        </w:rPr>
        <w:t>1</w:t>
      </w:r>
      <w:r w:rsidR="000C27F9" w:rsidRPr="001607DB">
        <w:rPr>
          <w:rFonts w:ascii="Times New Roman" w:hAnsi="Times New Roman" w:cs="Times New Roman"/>
          <w:sz w:val="28"/>
          <w:szCs w:val="28"/>
        </w:rPr>
        <w:t>. Papildināt 10.pant</w:t>
      </w:r>
      <w:r w:rsidR="00ED7D01" w:rsidRPr="001607DB">
        <w:rPr>
          <w:rFonts w:ascii="Times New Roman" w:hAnsi="Times New Roman" w:cs="Times New Roman"/>
          <w:sz w:val="28"/>
          <w:szCs w:val="28"/>
        </w:rPr>
        <w:t xml:space="preserve">a pirmo daļu </w:t>
      </w:r>
      <w:r w:rsidR="000C27F9" w:rsidRPr="001607DB">
        <w:rPr>
          <w:rFonts w:ascii="Times New Roman" w:hAnsi="Times New Roman" w:cs="Times New Roman"/>
          <w:sz w:val="28"/>
          <w:szCs w:val="28"/>
        </w:rPr>
        <w:t>ar 21.</w:t>
      </w:r>
      <w:r w:rsidR="001B5925" w:rsidRPr="001607DB">
        <w:rPr>
          <w:rFonts w:ascii="Times New Roman" w:hAnsi="Times New Roman" w:cs="Times New Roman"/>
          <w:sz w:val="28"/>
          <w:szCs w:val="28"/>
        </w:rPr>
        <w:t xml:space="preserve"> un 22. </w:t>
      </w:r>
      <w:r w:rsidR="000C27F9" w:rsidRPr="001607DB">
        <w:rPr>
          <w:rFonts w:ascii="Times New Roman" w:hAnsi="Times New Roman" w:cs="Times New Roman"/>
          <w:sz w:val="28"/>
          <w:szCs w:val="28"/>
        </w:rPr>
        <w:t>punktu šādā redakcijā:</w:t>
      </w:r>
    </w:p>
    <w:p w:rsidR="009E33FA" w:rsidRDefault="000C27F9" w:rsidP="00ED7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7DB">
        <w:rPr>
          <w:rFonts w:ascii="Times New Roman" w:eastAsia="Times New Roman" w:hAnsi="Times New Roman"/>
          <w:sz w:val="28"/>
          <w:szCs w:val="28"/>
        </w:rPr>
        <w:t>„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 xml:space="preserve">21) </w:t>
      </w:r>
      <w:r w:rsidR="003171E0" w:rsidRPr="001607DB">
        <w:rPr>
          <w:rFonts w:ascii="Times New Roman" w:hAnsi="Times New Roman"/>
          <w:sz w:val="28"/>
          <w:szCs w:val="28"/>
          <w:lang w:eastAsia="ar-SA"/>
        </w:rPr>
        <w:t>novērst tūlītējus draudus gadījumos, kad persona, kas atrodas mājoklī vai tā tuvumā, var nodarīt kaitējumu citas personas, kas pastāvīgi dzīvo šajā mājoklī, dzīvībai, brīvībai vai veselībai</w:t>
      </w:r>
      <w:r w:rsidR="003171E0" w:rsidRPr="001607DB">
        <w:t xml:space="preserve"> </w:t>
      </w:r>
      <w:r w:rsidR="003171E0" w:rsidRPr="001607DB">
        <w:rPr>
          <w:rFonts w:ascii="Times New Roman" w:hAnsi="Times New Roman" w:cs="Times New Roman"/>
          <w:sz w:val="28"/>
          <w:szCs w:val="28"/>
        </w:rPr>
        <w:t>līdz tiesa izskata jautājumu par personisko tiesību aizsardzības nodrošināšanu</w:t>
      </w:r>
      <w:r w:rsidR="00992235" w:rsidRPr="001607DB">
        <w:rPr>
          <w:rFonts w:ascii="Times New Roman" w:hAnsi="Times New Roman" w:cs="Times New Roman"/>
          <w:sz w:val="28"/>
          <w:szCs w:val="28"/>
        </w:rPr>
        <w:t>;</w:t>
      </w:r>
      <w:r w:rsidR="003171E0" w:rsidRPr="001607D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C27F9" w:rsidRPr="001607DB" w:rsidRDefault="001B5925" w:rsidP="00ED7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7DB">
        <w:rPr>
          <w:rFonts w:ascii="Times New Roman" w:hAnsi="Times New Roman"/>
          <w:sz w:val="28"/>
          <w:szCs w:val="28"/>
          <w:lang w:eastAsia="ar-SA"/>
        </w:rPr>
        <w:t xml:space="preserve">22) </w:t>
      </w:r>
      <w:r w:rsidR="003171E0" w:rsidRPr="001607DB">
        <w:rPr>
          <w:rFonts w:ascii="Times New Roman" w:hAnsi="Times New Roman"/>
          <w:sz w:val="28"/>
          <w:szCs w:val="28"/>
          <w:lang w:eastAsia="ar-SA"/>
        </w:rPr>
        <w:t>kontrolēt tiesas (tiesneša) nolēmumu par personisko tiesību aizsardzības nodrošināšanu pildīšanu</w:t>
      </w:r>
      <w:r w:rsidR="009E33FA">
        <w:rPr>
          <w:rFonts w:ascii="Times New Roman" w:hAnsi="Times New Roman"/>
          <w:sz w:val="28"/>
          <w:szCs w:val="28"/>
          <w:lang w:eastAsia="ar-SA"/>
        </w:rPr>
        <w:t>.</w:t>
      </w:r>
      <w:r w:rsidR="00992235" w:rsidRPr="001607DB">
        <w:rPr>
          <w:rFonts w:ascii="Times New Roman" w:hAnsi="Times New Roman"/>
          <w:sz w:val="28"/>
          <w:szCs w:val="28"/>
          <w:lang w:eastAsia="ar-SA"/>
        </w:rPr>
        <w:t>”</w:t>
      </w:r>
    </w:p>
    <w:p w:rsidR="001607DB" w:rsidRPr="001607DB" w:rsidRDefault="001607DB" w:rsidP="00ED7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27F9" w:rsidRPr="001607DB" w:rsidRDefault="00767B36" w:rsidP="00ED7D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607DB">
        <w:rPr>
          <w:rFonts w:ascii="Times New Roman" w:eastAsia="Times New Roman" w:hAnsi="Times New Roman"/>
          <w:sz w:val="28"/>
          <w:szCs w:val="28"/>
        </w:rPr>
        <w:t>2</w:t>
      </w:r>
      <w:r w:rsidR="000C27F9" w:rsidRPr="001607DB">
        <w:rPr>
          <w:rFonts w:ascii="Times New Roman" w:eastAsia="Times New Roman" w:hAnsi="Times New Roman"/>
          <w:sz w:val="28"/>
          <w:szCs w:val="28"/>
        </w:rPr>
        <w:t>.</w:t>
      </w:r>
      <w:r w:rsidR="00EB4640" w:rsidRPr="001607DB">
        <w:rPr>
          <w:rFonts w:ascii="Times New Roman" w:eastAsia="Times New Roman" w:hAnsi="Times New Roman"/>
          <w:sz w:val="28"/>
          <w:szCs w:val="28"/>
        </w:rPr>
        <w:t xml:space="preserve"> P</w:t>
      </w:r>
      <w:r w:rsidR="00870434" w:rsidRPr="001607DB">
        <w:rPr>
          <w:rFonts w:ascii="Times New Roman" w:eastAsia="Times New Roman" w:hAnsi="Times New Roman"/>
          <w:sz w:val="28"/>
          <w:szCs w:val="28"/>
        </w:rPr>
        <w:t xml:space="preserve">apildināt </w:t>
      </w:r>
      <w:r w:rsidR="00EB4640" w:rsidRPr="001607DB">
        <w:rPr>
          <w:rFonts w:ascii="Times New Roman" w:eastAsia="Times New Roman" w:hAnsi="Times New Roman"/>
          <w:sz w:val="28"/>
          <w:szCs w:val="28"/>
        </w:rPr>
        <w:t xml:space="preserve">12.panta </w:t>
      </w:r>
      <w:r w:rsidR="00ED7D01" w:rsidRPr="001607DB">
        <w:rPr>
          <w:rFonts w:ascii="Times New Roman" w:eastAsia="Times New Roman" w:hAnsi="Times New Roman"/>
          <w:sz w:val="28"/>
          <w:szCs w:val="28"/>
        </w:rPr>
        <w:t xml:space="preserve">pirmo daļu </w:t>
      </w:r>
      <w:r w:rsidR="000C27F9" w:rsidRPr="001607DB">
        <w:rPr>
          <w:rFonts w:ascii="Times New Roman" w:eastAsia="Times New Roman" w:hAnsi="Times New Roman"/>
          <w:sz w:val="28"/>
          <w:szCs w:val="28"/>
        </w:rPr>
        <w:t>ar 10.</w:t>
      </w:r>
      <w:r w:rsidR="000C27F9" w:rsidRPr="001607DB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0C27F9" w:rsidRPr="001607DB">
        <w:rPr>
          <w:rFonts w:ascii="Times New Roman" w:eastAsia="Times New Roman" w:hAnsi="Times New Roman"/>
          <w:sz w:val="28"/>
          <w:szCs w:val="28"/>
        </w:rPr>
        <w:t xml:space="preserve"> punktu šādā redakcijā:</w:t>
      </w:r>
    </w:p>
    <w:p w:rsidR="00177A48" w:rsidRPr="001607DB" w:rsidRDefault="000C27F9" w:rsidP="00177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7DB">
        <w:rPr>
          <w:rFonts w:ascii="Times New Roman" w:eastAsia="Times New Roman" w:hAnsi="Times New Roman"/>
          <w:sz w:val="28"/>
          <w:szCs w:val="28"/>
        </w:rPr>
        <w:t>„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>10</w:t>
      </w:r>
      <w:r w:rsidR="00177A48" w:rsidRPr="001607DB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 xml:space="preserve">) uz rakstveida pieteikuma pamata gadījumos, kad pastāv tūlītēji draudi, ka persona, kas atrodas mājoklī vai tā tuvumā, varētu nodarīt kaitējumu citas personas, kas pastāvīgi dzīvo šajā mājoklī, </w:t>
      </w:r>
      <w:r w:rsidR="00C75E4A" w:rsidRPr="001607DB">
        <w:rPr>
          <w:rFonts w:ascii="Times New Roman" w:hAnsi="Times New Roman"/>
          <w:sz w:val="28"/>
          <w:szCs w:val="28"/>
          <w:lang w:eastAsia="ar-SA"/>
        </w:rPr>
        <w:t xml:space="preserve">dzīvībai, 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>brīvībai vai veselībai</w:t>
      </w:r>
      <w:r w:rsidR="008C2B6A" w:rsidRPr="001607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3985" w:rsidRPr="001607DB">
        <w:rPr>
          <w:rFonts w:ascii="Times New Roman" w:hAnsi="Times New Roman"/>
          <w:sz w:val="28"/>
          <w:szCs w:val="28"/>
          <w:lang w:eastAsia="ar-SA"/>
        </w:rPr>
        <w:t xml:space="preserve"> (turpmāk – apdraudētā persona)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>, pieņemt lēmumu, kas uzliek par pienākumu personai, kas rada draudus, atstāt, neatgriezties un neuzturēties mājoklī</w:t>
      </w:r>
      <w:r w:rsidR="001607DB" w:rsidRPr="001607DB">
        <w:rPr>
          <w:rFonts w:ascii="Times New Roman" w:hAnsi="Times New Roman"/>
          <w:sz w:val="28"/>
          <w:szCs w:val="28"/>
          <w:lang w:eastAsia="ar-SA"/>
        </w:rPr>
        <w:t xml:space="preserve">, kur 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7DB" w:rsidRPr="001607DB">
        <w:rPr>
          <w:rFonts w:ascii="Times New Roman" w:hAnsi="Times New Roman"/>
          <w:sz w:val="28"/>
          <w:szCs w:val="28"/>
          <w:lang w:eastAsia="ar-SA"/>
        </w:rPr>
        <w:t xml:space="preserve">pastāvīgi dzīvo apdraudētā persona, </w:t>
      </w:r>
      <w:r w:rsidR="00B43985" w:rsidRPr="001607DB">
        <w:rPr>
          <w:rFonts w:ascii="Times New Roman" w:hAnsi="Times New Roman"/>
          <w:sz w:val="28"/>
          <w:szCs w:val="28"/>
          <w:lang w:eastAsia="ar-SA"/>
        </w:rPr>
        <w:t>un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07DB" w:rsidRPr="001607DB">
        <w:rPr>
          <w:rFonts w:ascii="Times New Roman" w:hAnsi="Times New Roman"/>
          <w:sz w:val="28"/>
          <w:szCs w:val="28"/>
          <w:lang w:eastAsia="ar-SA"/>
        </w:rPr>
        <w:t xml:space="preserve">šī mājokļa 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 xml:space="preserve"> tuvumā</w:t>
      </w:r>
      <w:r w:rsidR="00950A92" w:rsidRPr="001607DB">
        <w:rPr>
          <w:rFonts w:ascii="Times New Roman" w:hAnsi="Times New Roman"/>
          <w:sz w:val="28"/>
          <w:szCs w:val="28"/>
          <w:lang w:eastAsia="ar-SA"/>
        </w:rPr>
        <w:t xml:space="preserve"> tuvāk par lēmumā noteikto attālumu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 xml:space="preserve"> (turpmāk – policijas lēmums par </w:t>
      </w:r>
      <w:r w:rsidR="009264A0" w:rsidRPr="001607DB">
        <w:rPr>
          <w:rFonts w:ascii="Times New Roman" w:hAnsi="Times New Roman"/>
          <w:sz w:val="28"/>
          <w:szCs w:val="28"/>
          <w:lang w:eastAsia="ar-SA"/>
        </w:rPr>
        <w:t>nošķiršanu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>) uz laiku līdz četrām darbdienām no lēmuma pieņemšanas brīža. Šajā lēmumā var noteikt arī aizliegumu personai, kas rada draudus, kontaktēties ar apdraudēto personu;</w:t>
      </w:r>
      <w:r w:rsidR="00EB4640" w:rsidRPr="001607DB">
        <w:rPr>
          <w:rFonts w:ascii="Times New Roman" w:hAnsi="Times New Roman"/>
          <w:sz w:val="28"/>
          <w:szCs w:val="28"/>
          <w:lang w:eastAsia="ar-SA"/>
        </w:rPr>
        <w:t>”.</w:t>
      </w:r>
    </w:p>
    <w:p w:rsidR="00AA0CC8" w:rsidRPr="001607DB" w:rsidRDefault="00AA0CC8" w:rsidP="00ED7D01">
      <w:pPr>
        <w:pStyle w:val="naisf"/>
        <w:spacing w:before="0" w:after="0"/>
        <w:ind w:firstLine="709"/>
        <w:rPr>
          <w:sz w:val="28"/>
          <w:szCs w:val="28"/>
        </w:rPr>
      </w:pPr>
    </w:p>
    <w:p w:rsidR="003130A1" w:rsidRPr="001607DB" w:rsidRDefault="002C0F95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</w:rPr>
        <w:t>3</w:t>
      </w:r>
      <w:r w:rsidR="00177A48" w:rsidRPr="001607DB">
        <w:rPr>
          <w:rFonts w:ascii="Times New Roman" w:hAnsi="Times New Roman" w:cs="Times New Roman"/>
          <w:sz w:val="28"/>
          <w:szCs w:val="28"/>
        </w:rPr>
        <w:t>.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Papildināt likumu ar 12.</w:t>
      </w:r>
      <w:r w:rsidR="003130A1" w:rsidRPr="001607DB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pantu šādā redakcijā: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„</w:t>
      </w:r>
      <w:r w:rsidRPr="00634F12">
        <w:rPr>
          <w:rFonts w:ascii="Times New Roman" w:hAnsi="Times New Roman" w:cs="Times New Roman"/>
          <w:b/>
          <w:sz w:val="28"/>
          <w:szCs w:val="28"/>
          <w:lang w:eastAsia="ar-SA"/>
        </w:rPr>
        <w:t>12.</w:t>
      </w:r>
      <w:r w:rsidRPr="00634F12">
        <w:rPr>
          <w:rFonts w:ascii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Pr="00634F1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pants. Policijas lēmums par </w:t>
      </w:r>
      <w:r w:rsidR="009264A0" w:rsidRPr="00634F12">
        <w:rPr>
          <w:rFonts w:ascii="Times New Roman" w:hAnsi="Times New Roman" w:cs="Times New Roman"/>
          <w:b/>
          <w:sz w:val="28"/>
          <w:szCs w:val="28"/>
          <w:lang w:eastAsia="ar-SA"/>
        </w:rPr>
        <w:t>nošķiršanu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Policijas lēmumā par </w:t>
      </w:r>
      <w:r w:rsidR="009264A0" w:rsidRPr="001607DB">
        <w:rPr>
          <w:rFonts w:ascii="Times New Roman" w:hAnsi="Times New Roman" w:cs="Times New Roman"/>
          <w:sz w:val="28"/>
          <w:szCs w:val="28"/>
          <w:lang w:eastAsia="ar-SA"/>
        </w:rPr>
        <w:t>nošķiršanu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norāda: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1) iestādes nosaukumu, adresi;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2) lēmuma sastādītāja amatu, vārdu, uzvārdu;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3) personas, kas rada draudus vārdu, uzvārdu, personas kodu, dzīvesvietas adresi;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4) apdraudētās personas vārdu, uzvārdu, personas kodu vai dzimšanas datumu, dzīvesvietas adresi;</w:t>
      </w:r>
    </w:p>
    <w:p w:rsidR="003130A1" w:rsidRPr="001607DB" w:rsidRDefault="003130A1" w:rsidP="002C0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5) apdraudētās personas </w:t>
      </w:r>
      <w:r w:rsidR="002C0F95" w:rsidRPr="001607DB">
        <w:rPr>
          <w:rFonts w:ascii="Times New Roman" w:hAnsi="Times New Roman" w:cs="Times New Roman"/>
          <w:sz w:val="28"/>
          <w:szCs w:val="28"/>
          <w:lang w:eastAsia="ar-SA"/>
        </w:rPr>
        <w:t>vai tā</w:t>
      </w:r>
      <w:r w:rsidR="00992235" w:rsidRPr="001607DB">
        <w:rPr>
          <w:rFonts w:ascii="Times New Roman" w:hAnsi="Times New Roman" w:cs="Times New Roman"/>
          <w:sz w:val="28"/>
          <w:szCs w:val="28"/>
          <w:lang w:eastAsia="ar-SA"/>
        </w:rPr>
        <w:t>s</w:t>
      </w:r>
      <w:r w:rsidR="002C0F95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likumiskā pārstāvja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īsu pieteikuma</w:t>
      </w:r>
      <w:r w:rsidR="001146CE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policijai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saturu;</w:t>
      </w:r>
    </w:p>
    <w:p w:rsidR="003130A1" w:rsidRPr="001607DB" w:rsidRDefault="002C0F95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6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>) personai, kas rada draudus, uzliktos tiesiskos pienākumus;</w:t>
      </w:r>
    </w:p>
    <w:p w:rsidR="003130A1" w:rsidRPr="001607DB" w:rsidRDefault="002C0F95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>) personas, kas rada draudus, korespondences adresi;</w:t>
      </w:r>
    </w:p>
    <w:p w:rsidR="008453D1" w:rsidRPr="001607DB" w:rsidRDefault="002C0F95" w:rsidP="002C0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8)</w:t>
      </w:r>
      <w:r w:rsidR="008453D1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lēmuma pamatojumu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(faktu konstatējumu un tiesību normu, saskaņā ar kuru lēmums pieņemts)</w:t>
      </w:r>
      <w:r w:rsidR="0031345A" w:rsidRPr="001607D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130A1" w:rsidRPr="001607DB" w:rsidRDefault="002C0F95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) ierakstu par lēmuma eksemplāra saņemšanu vai ierakstu par personas atteikšanos parakstīt lēmumu; 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C0F95" w:rsidRPr="001607D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) ziņas par lēmumam pievienotajiem dokumentiem; 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C0F95" w:rsidRPr="001607D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) policijas darbinieka parakstu; 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C0F95" w:rsidRPr="001607D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) kur un kādā termiņā šo lēmumu var apstrīdēt vai pārsūdzēt. 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Pieņemtais policijas lēmums </w:t>
      </w:r>
      <w:r w:rsidR="009264A0" w:rsidRPr="001607DB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65135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stājas spēkā tā pieņemšanas brīdī un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ir izpildāms nekavējoties.</w:t>
      </w:r>
    </w:p>
    <w:p w:rsidR="003130A1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Policijas lēmums </w:t>
      </w:r>
      <w:r w:rsidR="009264A0" w:rsidRPr="001607DB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0D27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ir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apstrīdams </w:t>
      </w:r>
      <w:r w:rsidR="0000747D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un pārsūdzams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Administratīvā procesa likumā noteiktajā kārtībā. Policijas lēmuma </w:t>
      </w:r>
      <w:r w:rsidR="009264A0" w:rsidRPr="001607DB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apstrīdēšana </w:t>
      </w:r>
      <w:r w:rsidR="0000747D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un pārsūdzēšana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neaptur tā </w:t>
      </w:r>
      <w:r w:rsidR="00C57CF7" w:rsidRPr="001607DB">
        <w:rPr>
          <w:rFonts w:ascii="Times New Roman" w:hAnsi="Times New Roman" w:cs="Times New Roman"/>
          <w:sz w:val="28"/>
          <w:szCs w:val="28"/>
          <w:lang w:eastAsia="ar-SA"/>
        </w:rPr>
        <w:t>darbību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9433A" w:rsidRPr="001607DB" w:rsidRDefault="00F9433A" w:rsidP="00C57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Policijas lēmuma </w:t>
      </w:r>
      <w:r w:rsidR="009264A0" w:rsidRPr="001607DB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pieņemšanas gadījumā, ja apdraudētā persona </w:t>
      </w:r>
      <w:r w:rsidR="00B43985" w:rsidRPr="001607DB">
        <w:rPr>
          <w:rFonts w:ascii="Times New Roman" w:hAnsi="Times New Roman" w:cs="Times New Roman"/>
          <w:sz w:val="28"/>
          <w:szCs w:val="28"/>
        </w:rPr>
        <w:t>vai tā</w:t>
      </w:r>
      <w:r w:rsidR="00406F79" w:rsidRPr="001607DB">
        <w:rPr>
          <w:rFonts w:ascii="Times New Roman" w:hAnsi="Times New Roman" w:cs="Times New Roman"/>
          <w:sz w:val="28"/>
          <w:szCs w:val="28"/>
        </w:rPr>
        <w:t>s</w:t>
      </w:r>
      <w:r w:rsidR="00B43985" w:rsidRPr="001607DB">
        <w:rPr>
          <w:rFonts w:ascii="Times New Roman" w:hAnsi="Times New Roman" w:cs="Times New Roman"/>
          <w:sz w:val="28"/>
          <w:szCs w:val="28"/>
        </w:rPr>
        <w:t xml:space="preserve"> likumiskais pārstāvis</w:t>
      </w:r>
      <w:r w:rsidR="00B43985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vēlas, lai tiesa izskatītu jautājumu par personisko tiesību aizsardzības </w:t>
      </w:r>
      <w:r w:rsidR="00FC723F" w:rsidRPr="001607DB">
        <w:rPr>
          <w:rFonts w:ascii="Times New Roman" w:hAnsi="Times New Roman" w:cs="Times New Roman"/>
          <w:sz w:val="28"/>
          <w:szCs w:val="28"/>
          <w:lang w:eastAsia="ar-SA"/>
        </w:rPr>
        <w:t>nodrošināšanu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, policija nekavējoties, bet ne ilgāk kā nākamajā darbdienā, nosūta tiesai lēmuma norakstu, personas rakstveida pieteikumu</w:t>
      </w:r>
      <w:r w:rsidR="002C0F95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tiesai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, kā arī citu informāciju, kas ir policijas rīcībā un kas var būt noderīga tiesai, izskatot jautājumu par personisko tiesību aizsardzības </w:t>
      </w:r>
      <w:r w:rsidR="00FC723F" w:rsidRPr="001607DB">
        <w:rPr>
          <w:rFonts w:ascii="Times New Roman" w:hAnsi="Times New Roman" w:cs="Times New Roman"/>
          <w:sz w:val="28"/>
          <w:szCs w:val="28"/>
          <w:lang w:eastAsia="ar-SA"/>
        </w:rPr>
        <w:t>nodrošināšanu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0747D" w:rsidRPr="001607DB" w:rsidRDefault="00B65135" w:rsidP="00DC1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P</w:t>
      </w:r>
      <w:r w:rsidR="00DC10FC" w:rsidRPr="001607DB">
        <w:rPr>
          <w:rFonts w:ascii="Times New Roman" w:hAnsi="Times New Roman" w:cs="Times New Roman"/>
          <w:sz w:val="28"/>
          <w:szCs w:val="28"/>
          <w:lang w:eastAsia="ar-SA"/>
        </w:rPr>
        <w:t>ersonai, kas rada draudus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C10FC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var uzlikt </w:t>
      </w:r>
      <w:r w:rsidR="0000747D" w:rsidRPr="001607DB">
        <w:rPr>
          <w:rFonts w:ascii="Times New Roman" w:hAnsi="Times New Roman" w:cs="Times New Roman"/>
          <w:sz w:val="28"/>
          <w:szCs w:val="28"/>
          <w:lang w:eastAsia="ar-SA"/>
        </w:rPr>
        <w:t>piespiedu naud</w:t>
      </w:r>
      <w:r w:rsidR="00DC10FC" w:rsidRPr="001607DB">
        <w:rPr>
          <w:rFonts w:ascii="Times New Roman" w:hAnsi="Times New Roman" w:cs="Times New Roman"/>
          <w:sz w:val="28"/>
          <w:szCs w:val="28"/>
          <w:lang w:eastAsia="ar-SA"/>
        </w:rPr>
        <w:t>u</w:t>
      </w:r>
      <w:r w:rsidR="0000747D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16924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katru reizi, kad tā pārkāpusi </w:t>
      </w:r>
      <w:r w:rsidR="00DC10FC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policijas lēmumu </w:t>
      </w:r>
      <w:r w:rsidR="009264A0" w:rsidRPr="001607DB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="00816924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20CC9" w:rsidRPr="001607DB" w:rsidRDefault="0000747D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Šā panta piektajā daļā minēto</w:t>
      </w:r>
      <w:r w:rsidR="00220CC9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piespiedu i</w:t>
      </w:r>
      <w:r w:rsidR="0024417F" w:rsidRPr="001607DB">
        <w:rPr>
          <w:rFonts w:ascii="Times New Roman" w:hAnsi="Times New Roman" w:cs="Times New Roman"/>
          <w:sz w:val="28"/>
          <w:szCs w:val="28"/>
          <w:lang w:eastAsia="ar-SA"/>
        </w:rPr>
        <w:t>zpildes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līdzekļu piemērošanas apstrīdēšana vai pārsūdzēšana neaptur to izpildi.</w:t>
      </w:r>
      <w:r w:rsidR="00220CC9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D0DAF" w:rsidRPr="001607DB" w:rsidRDefault="003130A1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>Ministru kabinets</w:t>
      </w:r>
      <w:r w:rsidR="003909A7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izdod noteikumus, kuros nosaka</w:t>
      </w:r>
      <w:r w:rsidR="007D0DAF" w:rsidRPr="001607DB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D0DAF" w:rsidRPr="001607DB" w:rsidRDefault="007D0DAF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3909A7" w:rsidRPr="001607DB">
        <w:rPr>
          <w:rFonts w:ascii="Times New Roman" w:hAnsi="Times New Roman" w:cs="Times New Roman"/>
          <w:sz w:val="28"/>
          <w:szCs w:val="28"/>
          <w:lang w:eastAsia="ar-SA"/>
        </w:rPr>
        <w:t>p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olicijas lēmuma </w:t>
      </w:r>
      <w:r w:rsidR="009264A0" w:rsidRPr="001607DB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paraugu, tā izgatavošanas, pieņemšanas, izsniegšanas, izpildīšanas un uzskaites</w:t>
      </w:r>
      <w:r w:rsidR="003909A7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 kārtību</w:t>
      </w:r>
      <w:r w:rsidRPr="001607D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D0DAF" w:rsidRPr="001607DB" w:rsidRDefault="007D0DAF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2) </w:t>
      </w:r>
      <w:r w:rsidR="002C0F95" w:rsidRPr="001607DB">
        <w:rPr>
          <w:rFonts w:ascii="Times New Roman" w:hAnsi="Times New Roman" w:cs="Times New Roman"/>
          <w:sz w:val="28"/>
          <w:szCs w:val="28"/>
          <w:lang w:eastAsia="ar-SA"/>
        </w:rPr>
        <w:t>pieteikuma tiesai</w:t>
      </w:r>
      <w:r w:rsidR="002C0F95" w:rsidRPr="001607DB">
        <w:rPr>
          <w:rFonts w:ascii="Times New Roman" w:hAnsi="Times New Roman" w:cs="Times New Roman"/>
          <w:sz w:val="28"/>
          <w:szCs w:val="28"/>
        </w:rPr>
        <w:t>, lai tiesa izskatītu jautājumu par p</w:t>
      </w:r>
      <w:r w:rsidR="002C0F95" w:rsidRPr="001607DB">
        <w:rPr>
          <w:rFonts w:ascii="Times New Roman" w:hAnsi="Times New Roman" w:cs="Times New Roman"/>
          <w:bCs/>
          <w:sz w:val="28"/>
          <w:szCs w:val="28"/>
        </w:rPr>
        <w:t>ersonisko tiesību aizsardzības nodrošināšanu</w:t>
      </w:r>
      <w:r w:rsidR="002C0F95" w:rsidRPr="001607DB">
        <w:rPr>
          <w:rFonts w:ascii="Times New Roman" w:hAnsi="Times New Roman" w:cs="Times New Roman"/>
          <w:sz w:val="28"/>
          <w:szCs w:val="28"/>
        </w:rPr>
        <w:t xml:space="preserve">, pieņemšanas un pārsūtīšanas </w:t>
      </w:r>
      <w:r w:rsidR="003909A7" w:rsidRPr="001607DB">
        <w:rPr>
          <w:rFonts w:ascii="Times New Roman" w:hAnsi="Times New Roman" w:cs="Times New Roman"/>
          <w:sz w:val="28"/>
          <w:szCs w:val="28"/>
        </w:rPr>
        <w:t>kārtību</w:t>
      </w:r>
      <w:r w:rsidRPr="001607DB">
        <w:rPr>
          <w:rFonts w:ascii="Times New Roman" w:hAnsi="Times New Roman" w:cs="Times New Roman"/>
          <w:sz w:val="28"/>
          <w:szCs w:val="28"/>
        </w:rPr>
        <w:t>;</w:t>
      </w:r>
    </w:p>
    <w:p w:rsidR="003130A1" w:rsidRPr="001607DB" w:rsidRDefault="007D0DAF" w:rsidP="003130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3) 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tiesas (tiesneša) nolēmuma par personisko tiesību aizsardzības </w:t>
      </w:r>
      <w:r w:rsidR="001146CE" w:rsidRPr="001607DB">
        <w:rPr>
          <w:rFonts w:ascii="Times New Roman" w:hAnsi="Times New Roman" w:cs="Times New Roman"/>
          <w:sz w:val="28"/>
          <w:szCs w:val="28"/>
          <w:lang w:eastAsia="ar-SA"/>
        </w:rPr>
        <w:t xml:space="preserve">nodrošināšanu </w:t>
      </w:r>
      <w:r w:rsidR="003130A1" w:rsidRPr="001607DB">
        <w:rPr>
          <w:rFonts w:ascii="Times New Roman" w:hAnsi="Times New Roman" w:cs="Times New Roman"/>
          <w:sz w:val="28"/>
          <w:szCs w:val="28"/>
          <w:lang w:eastAsia="ar-SA"/>
        </w:rPr>
        <w:t>pildīšanas kontroles kārtību.”.</w:t>
      </w:r>
    </w:p>
    <w:p w:rsidR="00177A48" w:rsidRPr="001607DB" w:rsidRDefault="00177A48" w:rsidP="00ED7D01">
      <w:pPr>
        <w:pStyle w:val="naisf"/>
        <w:spacing w:before="0" w:after="0"/>
        <w:ind w:firstLine="709"/>
        <w:rPr>
          <w:sz w:val="28"/>
          <w:szCs w:val="28"/>
        </w:rPr>
      </w:pPr>
    </w:p>
    <w:p w:rsidR="00DC10FC" w:rsidRPr="001607DB" w:rsidRDefault="00F24148" w:rsidP="00F1560F">
      <w:pPr>
        <w:pStyle w:val="Komentrateksts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B">
        <w:rPr>
          <w:rFonts w:ascii="Times New Roman" w:hAnsi="Times New Roman" w:cs="Times New Roman"/>
          <w:sz w:val="28"/>
          <w:szCs w:val="28"/>
        </w:rPr>
        <w:t xml:space="preserve">4. </w:t>
      </w:r>
      <w:r w:rsidR="00DC10FC" w:rsidRPr="001607DB">
        <w:rPr>
          <w:rFonts w:ascii="Times New Roman" w:hAnsi="Times New Roman" w:cs="Times New Roman"/>
          <w:sz w:val="28"/>
          <w:szCs w:val="28"/>
        </w:rPr>
        <w:t>19.pantā:</w:t>
      </w:r>
    </w:p>
    <w:p w:rsidR="00DC10FC" w:rsidRPr="001607DB" w:rsidRDefault="00DC10FC" w:rsidP="00F1560F">
      <w:pPr>
        <w:pStyle w:val="Komentrateksts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B">
        <w:rPr>
          <w:rFonts w:ascii="Times New Roman" w:hAnsi="Times New Roman" w:cs="Times New Roman"/>
          <w:sz w:val="28"/>
          <w:szCs w:val="28"/>
        </w:rPr>
        <w:t>p</w:t>
      </w:r>
      <w:r w:rsidR="00F24148" w:rsidRPr="001607DB">
        <w:rPr>
          <w:rFonts w:ascii="Times New Roman" w:hAnsi="Times New Roman" w:cs="Times New Roman"/>
          <w:sz w:val="28"/>
          <w:szCs w:val="28"/>
        </w:rPr>
        <w:t xml:space="preserve">apildināt </w:t>
      </w:r>
      <w:r w:rsidRPr="001607DB">
        <w:rPr>
          <w:rFonts w:ascii="Times New Roman" w:hAnsi="Times New Roman" w:cs="Times New Roman"/>
          <w:sz w:val="28"/>
          <w:szCs w:val="28"/>
        </w:rPr>
        <w:t>otro daļu ar 6.punktu šādā redakcijā:</w:t>
      </w:r>
    </w:p>
    <w:p w:rsidR="00DC10FC" w:rsidRPr="001607DB" w:rsidRDefault="00DC10FC" w:rsidP="00F1560F">
      <w:pPr>
        <w:pStyle w:val="Komentrateksts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607DB">
        <w:rPr>
          <w:rFonts w:ascii="Times New Roman" w:hAnsi="Times New Roman"/>
          <w:sz w:val="28"/>
          <w:szCs w:val="28"/>
          <w:lang w:eastAsia="ar-SA"/>
        </w:rPr>
        <w:t>6) tūlītēju draudu novēršana</w:t>
      </w:r>
      <w:r w:rsidR="001B040C" w:rsidRPr="001607DB">
        <w:rPr>
          <w:rFonts w:ascii="Times New Roman" w:hAnsi="Times New Roman"/>
          <w:sz w:val="28"/>
          <w:szCs w:val="28"/>
          <w:lang w:eastAsia="ar-SA"/>
        </w:rPr>
        <w:t xml:space="preserve"> gadījumos</w:t>
      </w:r>
      <w:r w:rsidRPr="001607D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B040C" w:rsidRPr="001607DB">
        <w:rPr>
          <w:rFonts w:ascii="Times New Roman" w:hAnsi="Times New Roman"/>
          <w:sz w:val="28"/>
          <w:szCs w:val="28"/>
          <w:lang w:eastAsia="ar-SA"/>
        </w:rPr>
        <w:t>kad</w:t>
      </w:r>
      <w:r w:rsidRPr="001607DB">
        <w:rPr>
          <w:rFonts w:ascii="Times New Roman" w:hAnsi="Times New Roman"/>
          <w:sz w:val="28"/>
          <w:szCs w:val="28"/>
          <w:lang w:eastAsia="ar-SA"/>
        </w:rPr>
        <w:t xml:space="preserve"> persona, kas atrodas mājoklī vai tā tuvumā, </w:t>
      </w:r>
      <w:r w:rsidR="001B040C" w:rsidRPr="001607DB">
        <w:rPr>
          <w:rFonts w:ascii="Times New Roman" w:hAnsi="Times New Roman"/>
          <w:sz w:val="28"/>
          <w:szCs w:val="28"/>
          <w:lang w:eastAsia="ar-SA"/>
        </w:rPr>
        <w:t>var</w:t>
      </w:r>
      <w:r w:rsidRPr="001607DB">
        <w:rPr>
          <w:rFonts w:ascii="Times New Roman" w:hAnsi="Times New Roman"/>
          <w:sz w:val="28"/>
          <w:szCs w:val="28"/>
          <w:lang w:eastAsia="ar-SA"/>
        </w:rPr>
        <w:t xml:space="preserve"> nodarīt kaitējumu citas personas, kas pastāvīgi dzīvo šajā mājoklī, dzīvībai, brīvībai vai veselībai</w:t>
      </w:r>
      <w:r w:rsidR="001B040C" w:rsidRPr="001607DB">
        <w:rPr>
          <w:rFonts w:ascii="Times New Roman" w:hAnsi="Times New Roman" w:cs="Times New Roman"/>
          <w:sz w:val="28"/>
          <w:szCs w:val="28"/>
        </w:rPr>
        <w:t xml:space="preserve"> līdz tiesa izskata jautājumu par personisko tiesību aizsardzības nodrošināšanu</w:t>
      </w:r>
      <w:r w:rsidRPr="001607DB">
        <w:rPr>
          <w:rFonts w:ascii="Times New Roman" w:hAnsi="Times New Roman"/>
          <w:sz w:val="28"/>
          <w:szCs w:val="28"/>
          <w:lang w:eastAsia="ar-SA"/>
        </w:rPr>
        <w:t>.”</w:t>
      </w:r>
      <w:r w:rsidR="00816924" w:rsidRPr="001607DB">
        <w:rPr>
          <w:rFonts w:ascii="Times New Roman" w:hAnsi="Times New Roman"/>
          <w:sz w:val="28"/>
          <w:szCs w:val="28"/>
          <w:lang w:eastAsia="ar-SA"/>
        </w:rPr>
        <w:t>;</w:t>
      </w:r>
    </w:p>
    <w:p w:rsidR="00DC10FC" w:rsidRPr="001607DB" w:rsidRDefault="00DC10FC" w:rsidP="00F1560F">
      <w:pPr>
        <w:pStyle w:val="Komentrateksts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7DB">
        <w:rPr>
          <w:rFonts w:ascii="Times New Roman" w:hAnsi="Times New Roman" w:cs="Times New Roman"/>
          <w:sz w:val="28"/>
          <w:szCs w:val="28"/>
        </w:rPr>
        <w:t>papildināt trešo daļu aiz skaitļiem „1. – 4.” ar vārdu un skaitli „un 6.”</w:t>
      </w:r>
      <w:r w:rsidR="009E33FA">
        <w:rPr>
          <w:rFonts w:ascii="Times New Roman" w:hAnsi="Times New Roman" w:cs="Times New Roman"/>
          <w:sz w:val="28"/>
          <w:szCs w:val="28"/>
        </w:rPr>
        <w:t>;</w:t>
      </w:r>
    </w:p>
    <w:p w:rsidR="00BC0D27" w:rsidRPr="001607DB" w:rsidRDefault="00DC10FC" w:rsidP="00F1560F">
      <w:pPr>
        <w:pStyle w:val="Komentrateksts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B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F24148" w:rsidRPr="001607DB">
        <w:rPr>
          <w:rFonts w:ascii="Times New Roman" w:hAnsi="Times New Roman" w:cs="Times New Roman"/>
          <w:sz w:val="28"/>
          <w:szCs w:val="28"/>
        </w:rPr>
        <w:t xml:space="preserve">sesto daļu aiz </w:t>
      </w:r>
      <w:r w:rsidR="00BC0D27" w:rsidRPr="001607DB">
        <w:rPr>
          <w:rFonts w:ascii="Times New Roman" w:hAnsi="Times New Roman" w:cs="Times New Roman"/>
          <w:sz w:val="28"/>
          <w:szCs w:val="28"/>
        </w:rPr>
        <w:t>vārdiem „minētās tiesības”</w:t>
      </w:r>
      <w:r w:rsidR="00F24148" w:rsidRPr="001607DB">
        <w:rPr>
          <w:rFonts w:ascii="Times New Roman" w:hAnsi="Times New Roman" w:cs="Times New Roman"/>
          <w:sz w:val="28"/>
          <w:szCs w:val="28"/>
        </w:rPr>
        <w:t xml:space="preserve"> ar </w:t>
      </w:r>
      <w:r w:rsidR="00BC0D27" w:rsidRPr="001607DB">
        <w:rPr>
          <w:rFonts w:ascii="Times New Roman" w:hAnsi="Times New Roman" w:cs="Times New Roman"/>
          <w:sz w:val="28"/>
          <w:szCs w:val="28"/>
        </w:rPr>
        <w:t xml:space="preserve">vārdiem un </w:t>
      </w:r>
      <w:r w:rsidR="00F24148" w:rsidRPr="001607DB">
        <w:rPr>
          <w:rFonts w:ascii="Times New Roman" w:hAnsi="Times New Roman" w:cs="Times New Roman"/>
          <w:sz w:val="28"/>
          <w:szCs w:val="28"/>
        </w:rPr>
        <w:t>skait</w:t>
      </w:r>
      <w:r w:rsidR="00C57CF7" w:rsidRPr="001607DB">
        <w:rPr>
          <w:rFonts w:ascii="Times New Roman" w:hAnsi="Times New Roman" w:cs="Times New Roman"/>
          <w:sz w:val="28"/>
          <w:szCs w:val="28"/>
        </w:rPr>
        <w:t>ļiem</w:t>
      </w:r>
      <w:r w:rsidR="00F24148" w:rsidRPr="001607DB">
        <w:rPr>
          <w:rFonts w:ascii="Times New Roman" w:hAnsi="Times New Roman" w:cs="Times New Roman"/>
          <w:sz w:val="28"/>
          <w:szCs w:val="28"/>
        </w:rPr>
        <w:t xml:space="preserve"> „</w:t>
      </w:r>
      <w:r w:rsidR="00BC0D27" w:rsidRPr="001607DB">
        <w:rPr>
          <w:rFonts w:ascii="Times New Roman" w:hAnsi="Times New Roman" w:cs="Times New Roman"/>
          <w:sz w:val="28"/>
          <w:szCs w:val="28"/>
        </w:rPr>
        <w:t xml:space="preserve">pildot šā panta otrās daļas 6.punktā minētos pienākumus, 12.panta </w:t>
      </w:r>
      <w:r w:rsidR="00F24148" w:rsidRPr="001607DB">
        <w:rPr>
          <w:rFonts w:ascii="Times New Roman" w:hAnsi="Times New Roman" w:cs="Times New Roman"/>
          <w:sz w:val="28"/>
          <w:szCs w:val="28"/>
        </w:rPr>
        <w:t>16.</w:t>
      </w:r>
      <w:r w:rsidR="00C57CF7" w:rsidRPr="001607DB">
        <w:rPr>
          <w:rFonts w:ascii="Times New Roman" w:hAnsi="Times New Roman" w:cs="Times New Roman"/>
          <w:sz w:val="28"/>
          <w:szCs w:val="28"/>
        </w:rPr>
        <w:t xml:space="preserve"> </w:t>
      </w:r>
      <w:r w:rsidR="00BC0D27" w:rsidRPr="001607DB">
        <w:rPr>
          <w:rFonts w:ascii="Times New Roman" w:hAnsi="Times New Roman" w:cs="Times New Roman"/>
          <w:sz w:val="28"/>
          <w:szCs w:val="28"/>
        </w:rPr>
        <w:t>punktā un 12.</w:t>
      </w:r>
      <w:r w:rsidR="00BC0D27" w:rsidRPr="001607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C0D27" w:rsidRPr="001607DB">
        <w:rPr>
          <w:rFonts w:ascii="Times New Roman" w:hAnsi="Times New Roman" w:cs="Times New Roman"/>
          <w:sz w:val="28"/>
          <w:szCs w:val="28"/>
        </w:rPr>
        <w:t>pantā minētās tiesības”.</w:t>
      </w:r>
    </w:p>
    <w:p w:rsidR="00F24148" w:rsidRPr="001607DB" w:rsidRDefault="00BC0D27" w:rsidP="00F1560F">
      <w:pPr>
        <w:pStyle w:val="Komentrateksts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1B" w:rsidRPr="00FC723F" w:rsidRDefault="00FA311B" w:rsidP="00FA311B">
      <w:pPr>
        <w:pStyle w:val="Komentrateksts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3F">
        <w:rPr>
          <w:rFonts w:ascii="Times New Roman" w:hAnsi="Times New Roman" w:cs="Times New Roman"/>
          <w:sz w:val="28"/>
          <w:szCs w:val="28"/>
        </w:rPr>
        <w:lastRenderedPageBreak/>
        <w:t>Likums stājas spēkā 201</w:t>
      </w:r>
      <w:r w:rsidR="00177A48" w:rsidRPr="00FC723F">
        <w:rPr>
          <w:rFonts w:ascii="Times New Roman" w:hAnsi="Times New Roman" w:cs="Times New Roman"/>
          <w:sz w:val="28"/>
          <w:szCs w:val="28"/>
        </w:rPr>
        <w:t>4</w:t>
      </w:r>
      <w:r w:rsidRPr="00FC723F">
        <w:rPr>
          <w:rFonts w:ascii="Times New Roman" w:hAnsi="Times New Roman" w:cs="Times New Roman"/>
          <w:sz w:val="28"/>
          <w:szCs w:val="28"/>
        </w:rPr>
        <w:t>.gada 1.janvārī.</w:t>
      </w:r>
    </w:p>
    <w:p w:rsidR="001607DB" w:rsidRDefault="001607DB" w:rsidP="00FA3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7DB" w:rsidRDefault="001607DB" w:rsidP="00FA3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11B" w:rsidRPr="00FC723F" w:rsidRDefault="00FA311B" w:rsidP="00FA311B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0A0C2E" w:rsidRPr="0009675A" w:rsidRDefault="000A0C2E" w:rsidP="000A0C2E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Tieslietu ministrs</w:t>
      </w:r>
      <w:proofErr w:type="gramStart"/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proofErr w:type="gramEnd"/>
      <w:r>
        <w:rPr>
          <w:sz w:val="28"/>
          <w:szCs w:val="28"/>
        </w:rPr>
        <w:t>J.Bordāns</w:t>
      </w:r>
      <w:proofErr w:type="spellEnd"/>
      <w:r w:rsidRPr="0009675A">
        <w:rPr>
          <w:sz w:val="28"/>
          <w:szCs w:val="28"/>
        </w:rPr>
        <w:t xml:space="preserve">  </w:t>
      </w:r>
    </w:p>
    <w:p w:rsidR="001607DB" w:rsidRDefault="001607DB" w:rsidP="00FA311B">
      <w:pPr>
        <w:pStyle w:val="Kjene"/>
        <w:tabs>
          <w:tab w:val="clear" w:pos="4153"/>
          <w:tab w:val="clear" w:pos="8306"/>
        </w:tabs>
        <w:contextualSpacing/>
        <w:rPr>
          <w:rFonts w:ascii="Times New Roman" w:hAnsi="Times New Roman"/>
          <w:sz w:val="20"/>
          <w:szCs w:val="20"/>
        </w:rPr>
      </w:pPr>
    </w:p>
    <w:p w:rsidR="001607DB" w:rsidRDefault="001607DB" w:rsidP="00FA311B">
      <w:pPr>
        <w:pStyle w:val="Kjene"/>
        <w:tabs>
          <w:tab w:val="clear" w:pos="4153"/>
          <w:tab w:val="clear" w:pos="8306"/>
        </w:tabs>
        <w:contextualSpacing/>
        <w:rPr>
          <w:rFonts w:ascii="Times New Roman" w:hAnsi="Times New Roman"/>
          <w:sz w:val="20"/>
          <w:szCs w:val="20"/>
        </w:rPr>
      </w:pPr>
    </w:p>
    <w:p w:rsidR="00FA311B" w:rsidRPr="009C2579" w:rsidRDefault="002F6423" w:rsidP="002E4842">
      <w:pPr>
        <w:pStyle w:val="Kjene"/>
        <w:tabs>
          <w:tab w:val="clear" w:pos="4153"/>
          <w:tab w:val="clear" w:pos="8306"/>
        </w:tabs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01</w:t>
      </w:r>
      <w:r w:rsidR="00FA311B" w:rsidRPr="009C2579">
        <w:rPr>
          <w:rFonts w:ascii="Times New Roman" w:hAnsi="Times New Roman"/>
          <w:sz w:val="20"/>
          <w:szCs w:val="20"/>
        </w:rPr>
        <w:t>.</w:t>
      </w:r>
      <w:r w:rsidR="009E33F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="00FA311B" w:rsidRPr="009C2579">
        <w:rPr>
          <w:rFonts w:ascii="Times New Roman" w:hAnsi="Times New Roman"/>
          <w:sz w:val="20"/>
          <w:szCs w:val="20"/>
        </w:rPr>
        <w:t>.201</w:t>
      </w:r>
      <w:r w:rsidR="00BC4599">
        <w:rPr>
          <w:rFonts w:ascii="Times New Roman" w:hAnsi="Times New Roman"/>
          <w:sz w:val="20"/>
          <w:szCs w:val="20"/>
        </w:rPr>
        <w:t>2</w:t>
      </w:r>
      <w:r w:rsidR="00FA311B" w:rsidRPr="009C2579">
        <w:rPr>
          <w:rFonts w:ascii="Times New Roman" w:hAnsi="Times New Roman"/>
          <w:sz w:val="20"/>
          <w:szCs w:val="20"/>
        </w:rPr>
        <w:t>.1</w:t>
      </w:r>
      <w:r w:rsidR="00CA2D77">
        <w:rPr>
          <w:rFonts w:ascii="Times New Roman" w:hAnsi="Times New Roman"/>
          <w:sz w:val="20"/>
          <w:szCs w:val="20"/>
        </w:rPr>
        <w:t>5</w:t>
      </w:r>
      <w:r w:rsidR="00FA311B" w:rsidRPr="009C2579">
        <w:rPr>
          <w:rFonts w:ascii="Times New Roman" w:hAnsi="Times New Roman"/>
          <w:sz w:val="20"/>
          <w:szCs w:val="20"/>
        </w:rPr>
        <w:t>:</w:t>
      </w:r>
      <w:r w:rsidR="00CA2D77">
        <w:rPr>
          <w:rFonts w:ascii="Times New Roman" w:hAnsi="Times New Roman"/>
          <w:sz w:val="20"/>
          <w:szCs w:val="20"/>
        </w:rPr>
        <w:t>16</w:t>
      </w:r>
    </w:p>
    <w:p w:rsidR="00517CFC" w:rsidRDefault="009E33FA" w:rsidP="00517CFC">
      <w:pPr>
        <w:pStyle w:val="Kjene"/>
        <w:tabs>
          <w:tab w:val="clear" w:pos="4153"/>
          <w:tab w:val="clear" w:pos="8306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bookmarkStart w:id="1" w:name="OLE_LINK1"/>
      <w:bookmarkStart w:id="2" w:name="OLE_LINK2"/>
      <w:bookmarkStart w:id="3" w:name="OLE_LINK14"/>
      <w:bookmarkStart w:id="4" w:name="OLE_LINK7"/>
      <w:bookmarkStart w:id="5" w:name="OLE_LINK8"/>
      <w:r w:rsidR="002E4842">
        <w:rPr>
          <w:rFonts w:ascii="Times New Roman" w:hAnsi="Times New Roman"/>
          <w:sz w:val="20"/>
          <w:szCs w:val="20"/>
        </w:rPr>
        <w:t>37</w:t>
      </w:r>
    </w:p>
    <w:p w:rsidR="00FA311B" w:rsidRPr="009C2579" w:rsidRDefault="00FA311B" w:rsidP="00517CFC">
      <w:pPr>
        <w:pStyle w:val="Kjene"/>
        <w:tabs>
          <w:tab w:val="clear" w:pos="4153"/>
          <w:tab w:val="clear" w:pos="8306"/>
        </w:tabs>
        <w:contextualSpacing/>
        <w:rPr>
          <w:rFonts w:ascii="Times New Roman" w:hAnsi="Times New Roman"/>
          <w:sz w:val="20"/>
          <w:szCs w:val="20"/>
        </w:rPr>
      </w:pPr>
      <w:r w:rsidRPr="009C2579">
        <w:rPr>
          <w:rFonts w:ascii="Times New Roman" w:hAnsi="Times New Roman"/>
          <w:sz w:val="20"/>
          <w:szCs w:val="20"/>
        </w:rPr>
        <w:t>Drobiševska</w:t>
      </w:r>
    </w:p>
    <w:p w:rsidR="00CA0188" w:rsidRPr="00ED7D01" w:rsidRDefault="00FA311B" w:rsidP="00FA311B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</w:pPr>
      <w:bookmarkStart w:id="6" w:name="OLE_LINK3"/>
      <w:bookmarkStart w:id="7" w:name="OLE_LINK4"/>
      <w:bookmarkStart w:id="8" w:name="OLE_LINK9"/>
      <w:bookmarkStart w:id="9" w:name="OLE_LINK10"/>
      <w:bookmarkStart w:id="10" w:name="OLE_LINK13"/>
      <w:bookmarkStart w:id="11" w:name="OLE_LINK15"/>
      <w:bookmarkStart w:id="12" w:name="OLE_LINK5"/>
      <w:bookmarkEnd w:id="1"/>
      <w:bookmarkEnd w:id="2"/>
      <w:bookmarkEnd w:id="3"/>
      <w:r w:rsidRPr="009C2579">
        <w:rPr>
          <w:rFonts w:ascii="Times New Roman" w:hAnsi="Times New Roman"/>
          <w:sz w:val="20"/>
          <w:szCs w:val="20"/>
        </w:rPr>
        <w:t xml:space="preserve">67036954, </w:t>
      </w:r>
      <w:hyperlink r:id="rId8" w:history="1">
        <w:r w:rsidRPr="009C2579">
          <w:rPr>
            <w:rStyle w:val="Hipersaite"/>
            <w:rFonts w:ascii="Times New Roman" w:hAnsi="Times New Roman"/>
            <w:sz w:val="20"/>
            <w:szCs w:val="20"/>
          </w:rPr>
          <w:t>Evita.Drobisevska@tm.gov.lv</w:t>
        </w:r>
      </w:hyperlink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CA0188" w:rsidRPr="00ED7D01" w:rsidSect="00FA311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E1" w:rsidRDefault="00AE64E1" w:rsidP="00FA311B">
      <w:pPr>
        <w:spacing w:after="0" w:line="240" w:lineRule="auto"/>
      </w:pPr>
      <w:r>
        <w:separator/>
      </w:r>
    </w:p>
  </w:endnote>
  <w:endnote w:type="continuationSeparator" w:id="0">
    <w:p w:rsidR="00AE64E1" w:rsidRDefault="00AE64E1" w:rsidP="00FA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B" w:rsidRPr="002D138F" w:rsidRDefault="001607DB" w:rsidP="00076977">
    <w:pPr>
      <w:spacing w:after="0" w:line="240" w:lineRule="auto"/>
      <w:jc w:val="both"/>
    </w:pPr>
    <w:r w:rsidRPr="009A72E1">
      <w:rPr>
        <w:rFonts w:ascii="Times New Roman" w:hAnsi="Times New Roman" w:cs="Times New Roman"/>
        <w:sz w:val="20"/>
        <w:szCs w:val="20"/>
        <w:lang w:val="de-DE"/>
      </w:rPr>
      <w:t>TM</w:t>
    </w:r>
    <w:r>
      <w:rPr>
        <w:rFonts w:ascii="Times New Roman" w:hAnsi="Times New Roman" w:cs="Times New Roman"/>
        <w:sz w:val="20"/>
        <w:szCs w:val="20"/>
        <w:lang w:val="de-DE"/>
      </w:rPr>
      <w:t>lik</w:t>
    </w:r>
    <w:r w:rsidRPr="009A72E1">
      <w:rPr>
        <w:rFonts w:ascii="Times New Roman" w:hAnsi="Times New Roman" w:cs="Times New Roman"/>
        <w:sz w:val="20"/>
        <w:szCs w:val="20"/>
        <w:lang w:val="de-DE"/>
      </w:rPr>
      <w:t>_</w:t>
    </w:r>
    <w:r w:rsidR="0051396F">
      <w:rPr>
        <w:rFonts w:ascii="Times New Roman" w:hAnsi="Times New Roman" w:cs="Times New Roman"/>
        <w:sz w:val="20"/>
        <w:szCs w:val="20"/>
        <w:lang w:val="de-DE"/>
      </w:rPr>
      <w:t>2</w:t>
    </w:r>
    <w:r>
      <w:rPr>
        <w:rFonts w:ascii="Times New Roman" w:hAnsi="Times New Roman" w:cs="Times New Roman"/>
        <w:sz w:val="20"/>
        <w:szCs w:val="20"/>
        <w:lang w:val="de-DE"/>
      </w:rPr>
      <w:t>31012</w:t>
    </w:r>
    <w:r w:rsidRPr="009A72E1">
      <w:rPr>
        <w:rFonts w:ascii="Times New Roman" w:hAnsi="Times New Roman" w:cs="Times New Roman"/>
        <w:sz w:val="20"/>
        <w:szCs w:val="20"/>
        <w:lang w:val="de-DE"/>
      </w:rPr>
      <w:t>_Gr</w:t>
    </w:r>
    <w:r>
      <w:rPr>
        <w:rFonts w:ascii="Times New Roman" w:hAnsi="Times New Roman" w:cs="Times New Roman"/>
        <w:sz w:val="20"/>
        <w:szCs w:val="20"/>
        <w:lang w:val="de-DE"/>
      </w:rPr>
      <w:t>Policijas</w:t>
    </w:r>
    <w:r>
      <w:rPr>
        <w:rFonts w:ascii="Times New Roman" w:hAnsi="Times New Roman"/>
        <w:sz w:val="20"/>
        <w:szCs w:val="20"/>
        <w:lang w:val="de-DE"/>
      </w:rPr>
      <w:t>L</w:t>
    </w:r>
    <w:r w:rsidRPr="009A72E1">
      <w:rPr>
        <w:rFonts w:ascii="Times New Roman" w:hAnsi="Times New Roman" w:cs="Times New Roman"/>
        <w:sz w:val="20"/>
        <w:szCs w:val="20"/>
        <w:lang w:val="de-DE"/>
      </w:rPr>
      <w:t xml:space="preserve">; </w:t>
    </w:r>
    <w:r w:rsidRPr="009A72E1">
      <w:rPr>
        <w:rFonts w:ascii="Times New Roman" w:eastAsia="Times New Roman" w:hAnsi="Times New Roman" w:cs="Times New Roman"/>
        <w:bCs/>
        <w:sz w:val="20"/>
        <w:szCs w:val="20"/>
      </w:rPr>
      <w:t>Likumprojekt</w:t>
    </w:r>
    <w:r>
      <w:rPr>
        <w:rFonts w:ascii="Times New Roman" w:eastAsia="Times New Roman" w:hAnsi="Times New Roman" w:cs="Times New Roman"/>
        <w:bCs/>
        <w:sz w:val="20"/>
        <w:szCs w:val="20"/>
      </w:rPr>
      <w:t>s</w:t>
    </w:r>
    <w:r w:rsidRPr="009A72E1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Pr="009A72E1">
      <w:rPr>
        <w:rFonts w:ascii="Times New Roman" w:hAnsi="Times New Roman" w:cs="Times New Roman"/>
        <w:sz w:val="20"/>
        <w:szCs w:val="20"/>
      </w:rPr>
      <w:t>„Grozījumi likumā</w:t>
    </w:r>
    <w:r>
      <w:rPr>
        <w:rFonts w:ascii="Times New Roman" w:hAnsi="Times New Roman" w:cs="Times New Roman"/>
        <w:sz w:val="20"/>
        <w:szCs w:val="20"/>
      </w:rPr>
      <w:t xml:space="preserve"> „Par policiju”</w:t>
    </w:r>
    <w:r w:rsidRPr="009A72E1">
      <w:rPr>
        <w:rFonts w:ascii="Times New Roman" w:hAnsi="Times New Roman" w:cs="Times New Roman"/>
        <w:sz w:val="20"/>
        <w:szCs w:val="20"/>
      </w:rPr>
      <w:t xml:space="preserve">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DB" w:rsidRDefault="001607DB">
    <w:pPr>
      <w:spacing w:after="0" w:line="240" w:lineRule="auto"/>
      <w:jc w:val="both"/>
    </w:pPr>
    <w:r w:rsidRPr="009A72E1">
      <w:rPr>
        <w:rFonts w:ascii="Times New Roman" w:hAnsi="Times New Roman" w:cs="Times New Roman"/>
        <w:sz w:val="20"/>
        <w:szCs w:val="20"/>
        <w:lang w:val="de-DE"/>
      </w:rPr>
      <w:t>TM</w:t>
    </w:r>
    <w:r>
      <w:rPr>
        <w:rFonts w:ascii="Times New Roman" w:hAnsi="Times New Roman" w:cs="Times New Roman"/>
        <w:sz w:val="20"/>
        <w:szCs w:val="20"/>
        <w:lang w:val="de-DE"/>
      </w:rPr>
      <w:t>lik</w:t>
    </w:r>
    <w:r w:rsidRPr="009A72E1">
      <w:rPr>
        <w:rFonts w:ascii="Times New Roman" w:hAnsi="Times New Roman" w:cs="Times New Roman"/>
        <w:sz w:val="20"/>
        <w:szCs w:val="20"/>
        <w:lang w:val="de-DE"/>
      </w:rPr>
      <w:t>_</w:t>
    </w:r>
    <w:r w:rsidR="0051396F">
      <w:rPr>
        <w:rFonts w:ascii="Times New Roman" w:hAnsi="Times New Roman" w:cs="Times New Roman"/>
        <w:sz w:val="20"/>
        <w:szCs w:val="20"/>
        <w:lang w:val="de-DE"/>
      </w:rPr>
      <w:t>2</w:t>
    </w:r>
    <w:r>
      <w:rPr>
        <w:rFonts w:ascii="Times New Roman" w:hAnsi="Times New Roman" w:cs="Times New Roman"/>
        <w:sz w:val="20"/>
        <w:szCs w:val="20"/>
        <w:lang w:val="de-DE"/>
      </w:rPr>
      <w:t>31012</w:t>
    </w:r>
    <w:r w:rsidRPr="009A72E1">
      <w:rPr>
        <w:rFonts w:ascii="Times New Roman" w:hAnsi="Times New Roman" w:cs="Times New Roman"/>
        <w:sz w:val="20"/>
        <w:szCs w:val="20"/>
        <w:lang w:val="de-DE"/>
      </w:rPr>
      <w:t>_Gr</w:t>
    </w:r>
    <w:r>
      <w:rPr>
        <w:rFonts w:ascii="Times New Roman" w:hAnsi="Times New Roman" w:cs="Times New Roman"/>
        <w:sz w:val="20"/>
        <w:szCs w:val="20"/>
        <w:lang w:val="de-DE"/>
      </w:rPr>
      <w:t>Policijas</w:t>
    </w:r>
    <w:r>
      <w:rPr>
        <w:rFonts w:ascii="Times New Roman" w:hAnsi="Times New Roman"/>
        <w:sz w:val="20"/>
        <w:szCs w:val="20"/>
        <w:lang w:val="de-DE"/>
      </w:rPr>
      <w:t>L</w:t>
    </w:r>
    <w:r w:rsidRPr="009A72E1">
      <w:rPr>
        <w:rFonts w:ascii="Times New Roman" w:hAnsi="Times New Roman" w:cs="Times New Roman"/>
        <w:sz w:val="20"/>
        <w:szCs w:val="20"/>
        <w:lang w:val="de-DE"/>
      </w:rPr>
      <w:t xml:space="preserve">; </w:t>
    </w:r>
    <w:bookmarkStart w:id="13" w:name="OLE_LINK6"/>
    <w:bookmarkStart w:id="14" w:name="OLE_LINK11"/>
    <w:r w:rsidRPr="009A72E1">
      <w:rPr>
        <w:rFonts w:ascii="Times New Roman" w:eastAsia="Times New Roman" w:hAnsi="Times New Roman" w:cs="Times New Roman"/>
        <w:bCs/>
        <w:sz w:val="20"/>
        <w:szCs w:val="20"/>
      </w:rPr>
      <w:t>Likumprojekt</w:t>
    </w:r>
    <w:r>
      <w:rPr>
        <w:rFonts w:ascii="Times New Roman" w:eastAsia="Times New Roman" w:hAnsi="Times New Roman" w:cs="Times New Roman"/>
        <w:bCs/>
        <w:sz w:val="20"/>
        <w:szCs w:val="20"/>
      </w:rPr>
      <w:t>s</w:t>
    </w:r>
    <w:r w:rsidRPr="009A72E1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  <w:r w:rsidRPr="009A72E1">
      <w:rPr>
        <w:rFonts w:ascii="Times New Roman" w:hAnsi="Times New Roman" w:cs="Times New Roman"/>
        <w:sz w:val="20"/>
        <w:szCs w:val="20"/>
      </w:rPr>
      <w:t>„Grozījumi likumā</w:t>
    </w:r>
    <w:r>
      <w:rPr>
        <w:rFonts w:ascii="Times New Roman" w:hAnsi="Times New Roman" w:cs="Times New Roman"/>
        <w:sz w:val="20"/>
        <w:szCs w:val="20"/>
      </w:rPr>
      <w:t xml:space="preserve"> „Par policiju”</w:t>
    </w:r>
    <w:r w:rsidRPr="009A72E1">
      <w:rPr>
        <w:rFonts w:ascii="Times New Roman" w:hAnsi="Times New Roman" w:cs="Times New Roman"/>
        <w:sz w:val="20"/>
        <w:szCs w:val="20"/>
      </w:rPr>
      <w:t xml:space="preserve">” </w:t>
    </w:r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E1" w:rsidRDefault="00AE64E1" w:rsidP="00FA311B">
      <w:pPr>
        <w:spacing w:after="0" w:line="240" w:lineRule="auto"/>
      </w:pPr>
      <w:r>
        <w:separator/>
      </w:r>
    </w:p>
  </w:footnote>
  <w:footnote w:type="continuationSeparator" w:id="0">
    <w:p w:rsidR="00AE64E1" w:rsidRDefault="00AE64E1" w:rsidP="00FA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07DB" w:rsidRDefault="00731B26">
        <w:pPr>
          <w:pStyle w:val="Galvene"/>
          <w:jc w:val="center"/>
        </w:pPr>
        <w:r w:rsidRPr="002535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07DB" w:rsidRPr="002535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5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D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35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07DB" w:rsidRDefault="001607D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4A3"/>
    <w:multiLevelType w:val="hybridMultilevel"/>
    <w:tmpl w:val="2182D072"/>
    <w:lvl w:ilvl="0" w:tplc="4A5AD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B3ED6"/>
    <w:multiLevelType w:val="hybridMultilevel"/>
    <w:tmpl w:val="6EE494F8"/>
    <w:lvl w:ilvl="0" w:tplc="11CC1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5E40"/>
    <w:rsid w:val="0000747D"/>
    <w:rsid w:val="00010130"/>
    <w:rsid w:val="00016D60"/>
    <w:rsid w:val="00020989"/>
    <w:rsid w:val="00037D54"/>
    <w:rsid w:val="00061BFE"/>
    <w:rsid w:val="0006394D"/>
    <w:rsid w:val="00063985"/>
    <w:rsid w:val="00067200"/>
    <w:rsid w:val="00074F8A"/>
    <w:rsid w:val="00076977"/>
    <w:rsid w:val="00084BD3"/>
    <w:rsid w:val="00093175"/>
    <w:rsid w:val="00094CE4"/>
    <w:rsid w:val="000A0C2E"/>
    <w:rsid w:val="000A738D"/>
    <w:rsid w:val="000C27F9"/>
    <w:rsid w:val="000C5632"/>
    <w:rsid w:val="000D25D3"/>
    <w:rsid w:val="000D3876"/>
    <w:rsid w:val="000F04F1"/>
    <w:rsid w:val="001000FD"/>
    <w:rsid w:val="00104EE8"/>
    <w:rsid w:val="00105C85"/>
    <w:rsid w:val="001146CE"/>
    <w:rsid w:val="00136039"/>
    <w:rsid w:val="00145AA6"/>
    <w:rsid w:val="001607DB"/>
    <w:rsid w:val="00162C84"/>
    <w:rsid w:val="00177A48"/>
    <w:rsid w:val="001A05B1"/>
    <w:rsid w:val="001A1FF4"/>
    <w:rsid w:val="001A7FC4"/>
    <w:rsid w:val="001B040C"/>
    <w:rsid w:val="001B5925"/>
    <w:rsid w:val="001C0970"/>
    <w:rsid w:val="001C38DC"/>
    <w:rsid w:val="001E3D64"/>
    <w:rsid w:val="001F64DD"/>
    <w:rsid w:val="00203EAD"/>
    <w:rsid w:val="002122F5"/>
    <w:rsid w:val="002135B9"/>
    <w:rsid w:val="0021390F"/>
    <w:rsid w:val="00220CC9"/>
    <w:rsid w:val="0024417F"/>
    <w:rsid w:val="00253559"/>
    <w:rsid w:val="00266EB8"/>
    <w:rsid w:val="00266FEC"/>
    <w:rsid w:val="00281347"/>
    <w:rsid w:val="002A2A2E"/>
    <w:rsid w:val="002C0F95"/>
    <w:rsid w:val="002C3173"/>
    <w:rsid w:val="002D0B31"/>
    <w:rsid w:val="002D0D82"/>
    <w:rsid w:val="002D138F"/>
    <w:rsid w:val="002D23EE"/>
    <w:rsid w:val="002E4842"/>
    <w:rsid w:val="002F16C6"/>
    <w:rsid w:val="002F6423"/>
    <w:rsid w:val="00301A37"/>
    <w:rsid w:val="00303B48"/>
    <w:rsid w:val="003067FA"/>
    <w:rsid w:val="003130A1"/>
    <w:rsid w:val="0031345A"/>
    <w:rsid w:val="003171E0"/>
    <w:rsid w:val="00317C87"/>
    <w:rsid w:val="00322B54"/>
    <w:rsid w:val="00334561"/>
    <w:rsid w:val="003721FA"/>
    <w:rsid w:val="0038569A"/>
    <w:rsid w:val="003909A7"/>
    <w:rsid w:val="003A76BE"/>
    <w:rsid w:val="003B5595"/>
    <w:rsid w:val="003D1000"/>
    <w:rsid w:val="00402CF3"/>
    <w:rsid w:val="00406F79"/>
    <w:rsid w:val="0040757F"/>
    <w:rsid w:val="00412A83"/>
    <w:rsid w:val="00427033"/>
    <w:rsid w:val="00455DFB"/>
    <w:rsid w:val="0045770D"/>
    <w:rsid w:val="0046166F"/>
    <w:rsid w:val="00466FEE"/>
    <w:rsid w:val="0047037B"/>
    <w:rsid w:val="00476F45"/>
    <w:rsid w:val="00486E49"/>
    <w:rsid w:val="004D6912"/>
    <w:rsid w:val="004E3B3F"/>
    <w:rsid w:val="005117D9"/>
    <w:rsid w:val="00512F9E"/>
    <w:rsid w:val="0051396F"/>
    <w:rsid w:val="00517CFC"/>
    <w:rsid w:val="00521FE8"/>
    <w:rsid w:val="005262EC"/>
    <w:rsid w:val="005357A0"/>
    <w:rsid w:val="00561301"/>
    <w:rsid w:val="00570E68"/>
    <w:rsid w:val="0059093C"/>
    <w:rsid w:val="005930DF"/>
    <w:rsid w:val="005A3B98"/>
    <w:rsid w:val="005B2601"/>
    <w:rsid w:val="005E59D1"/>
    <w:rsid w:val="006034F7"/>
    <w:rsid w:val="00603DED"/>
    <w:rsid w:val="00610E3E"/>
    <w:rsid w:val="00621AC1"/>
    <w:rsid w:val="00627082"/>
    <w:rsid w:val="00634F12"/>
    <w:rsid w:val="00646F58"/>
    <w:rsid w:val="00654D39"/>
    <w:rsid w:val="00667A80"/>
    <w:rsid w:val="00685148"/>
    <w:rsid w:val="006B33EA"/>
    <w:rsid w:val="006E775D"/>
    <w:rsid w:val="00707E08"/>
    <w:rsid w:val="00731B26"/>
    <w:rsid w:val="00767B36"/>
    <w:rsid w:val="00787038"/>
    <w:rsid w:val="007B0938"/>
    <w:rsid w:val="007B105F"/>
    <w:rsid w:val="007C36E0"/>
    <w:rsid w:val="007C60AD"/>
    <w:rsid w:val="007D0DAF"/>
    <w:rsid w:val="008049F9"/>
    <w:rsid w:val="00816924"/>
    <w:rsid w:val="00816BFB"/>
    <w:rsid w:val="00820B88"/>
    <w:rsid w:val="008453D1"/>
    <w:rsid w:val="008562F6"/>
    <w:rsid w:val="00870434"/>
    <w:rsid w:val="008765AB"/>
    <w:rsid w:val="008878F9"/>
    <w:rsid w:val="008B0732"/>
    <w:rsid w:val="008B5C38"/>
    <w:rsid w:val="008C1364"/>
    <w:rsid w:val="008C2B6A"/>
    <w:rsid w:val="008C7125"/>
    <w:rsid w:val="008D1C1A"/>
    <w:rsid w:val="008D71EB"/>
    <w:rsid w:val="008F01CF"/>
    <w:rsid w:val="00901121"/>
    <w:rsid w:val="0090196A"/>
    <w:rsid w:val="009264A0"/>
    <w:rsid w:val="009277A4"/>
    <w:rsid w:val="00933134"/>
    <w:rsid w:val="00935838"/>
    <w:rsid w:val="00950496"/>
    <w:rsid w:val="00950A92"/>
    <w:rsid w:val="00951A21"/>
    <w:rsid w:val="00952316"/>
    <w:rsid w:val="00974584"/>
    <w:rsid w:val="00992235"/>
    <w:rsid w:val="00997201"/>
    <w:rsid w:val="009975B9"/>
    <w:rsid w:val="009A675C"/>
    <w:rsid w:val="009D0E81"/>
    <w:rsid w:val="009D5E40"/>
    <w:rsid w:val="009E33FA"/>
    <w:rsid w:val="00A35848"/>
    <w:rsid w:val="00A426AF"/>
    <w:rsid w:val="00A46AAB"/>
    <w:rsid w:val="00A46E0B"/>
    <w:rsid w:val="00A55017"/>
    <w:rsid w:val="00A62355"/>
    <w:rsid w:val="00A72078"/>
    <w:rsid w:val="00A8445E"/>
    <w:rsid w:val="00AA0CC8"/>
    <w:rsid w:val="00AC3C89"/>
    <w:rsid w:val="00AE1A5C"/>
    <w:rsid w:val="00AE64E1"/>
    <w:rsid w:val="00AE7B81"/>
    <w:rsid w:val="00B1522C"/>
    <w:rsid w:val="00B17BE5"/>
    <w:rsid w:val="00B22146"/>
    <w:rsid w:val="00B43985"/>
    <w:rsid w:val="00B45272"/>
    <w:rsid w:val="00B45775"/>
    <w:rsid w:val="00B65135"/>
    <w:rsid w:val="00B8615A"/>
    <w:rsid w:val="00B97847"/>
    <w:rsid w:val="00BA0CF8"/>
    <w:rsid w:val="00BA1CDB"/>
    <w:rsid w:val="00BC0D27"/>
    <w:rsid w:val="00BC3B69"/>
    <w:rsid w:val="00BC4599"/>
    <w:rsid w:val="00BD1072"/>
    <w:rsid w:val="00C03095"/>
    <w:rsid w:val="00C045DE"/>
    <w:rsid w:val="00C30C3D"/>
    <w:rsid w:val="00C36A07"/>
    <w:rsid w:val="00C37904"/>
    <w:rsid w:val="00C57CF7"/>
    <w:rsid w:val="00C75E4A"/>
    <w:rsid w:val="00C7665C"/>
    <w:rsid w:val="00C97CDC"/>
    <w:rsid w:val="00CA0188"/>
    <w:rsid w:val="00CA2D77"/>
    <w:rsid w:val="00CB4BB0"/>
    <w:rsid w:val="00D079F4"/>
    <w:rsid w:val="00D15678"/>
    <w:rsid w:val="00D27700"/>
    <w:rsid w:val="00D5571E"/>
    <w:rsid w:val="00D57885"/>
    <w:rsid w:val="00D71251"/>
    <w:rsid w:val="00D7694C"/>
    <w:rsid w:val="00D94496"/>
    <w:rsid w:val="00DC10FC"/>
    <w:rsid w:val="00DD69FA"/>
    <w:rsid w:val="00DD6A6D"/>
    <w:rsid w:val="00DE0B9C"/>
    <w:rsid w:val="00DE7053"/>
    <w:rsid w:val="00DF303F"/>
    <w:rsid w:val="00E121C7"/>
    <w:rsid w:val="00E47557"/>
    <w:rsid w:val="00E52295"/>
    <w:rsid w:val="00E8523D"/>
    <w:rsid w:val="00E87B7A"/>
    <w:rsid w:val="00E921C7"/>
    <w:rsid w:val="00EA5E61"/>
    <w:rsid w:val="00EA6F29"/>
    <w:rsid w:val="00EB040F"/>
    <w:rsid w:val="00EB238A"/>
    <w:rsid w:val="00EB4640"/>
    <w:rsid w:val="00EB53CE"/>
    <w:rsid w:val="00ED7D01"/>
    <w:rsid w:val="00EE6BD1"/>
    <w:rsid w:val="00EF72F4"/>
    <w:rsid w:val="00F12B1E"/>
    <w:rsid w:val="00F1560F"/>
    <w:rsid w:val="00F24148"/>
    <w:rsid w:val="00F333D6"/>
    <w:rsid w:val="00F4757B"/>
    <w:rsid w:val="00F646C4"/>
    <w:rsid w:val="00F815AD"/>
    <w:rsid w:val="00F845B9"/>
    <w:rsid w:val="00F857FF"/>
    <w:rsid w:val="00F87865"/>
    <w:rsid w:val="00F9433A"/>
    <w:rsid w:val="00FA311B"/>
    <w:rsid w:val="00FC2B7F"/>
    <w:rsid w:val="00FC723F"/>
    <w:rsid w:val="00FD30DE"/>
    <w:rsid w:val="00FE2845"/>
    <w:rsid w:val="00F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856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DD6A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0C27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C27F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27F9"/>
    <w:rPr>
      <w:sz w:val="16"/>
      <w:szCs w:val="16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7F9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ais"/>
    <w:rsid w:val="000C27F9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D7D01"/>
    <w:rPr>
      <w:rFonts w:ascii="Calibri" w:eastAsia="Calibri" w:hAnsi="Calibri" w:cs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D7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isc">
    <w:name w:val="naisc"/>
    <w:basedOn w:val="Parastais"/>
    <w:rsid w:val="00FA31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Galvene">
    <w:name w:val="header"/>
    <w:basedOn w:val="Parastais"/>
    <w:link w:val="GalveneRakstz"/>
    <w:uiPriority w:val="99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A311B"/>
  </w:style>
  <w:style w:type="paragraph" w:styleId="Kjene">
    <w:name w:val="footer"/>
    <w:basedOn w:val="Parastais"/>
    <w:link w:val="KjeneRakstz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A311B"/>
  </w:style>
  <w:style w:type="character" w:styleId="Hipersaite">
    <w:name w:val="Hyperlink"/>
    <w:basedOn w:val="Noklusjumarindkopasfonts"/>
    <w:uiPriority w:val="99"/>
    <w:semiHidden/>
    <w:unhideWhenUsed/>
    <w:rsid w:val="00FA311B"/>
    <w:rPr>
      <w:color w:val="00558D"/>
      <w:u w:val="single"/>
    </w:rPr>
  </w:style>
  <w:style w:type="paragraph" w:styleId="Sarakstarindkopa">
    <w:name w:val="List Paragraph"/>
    <w:basedOn w:val="Parastais"/>
    <w:uiPriority w:val="34"/>
    <w:qFormat/>
    <w:rsid w:val="0022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DD6A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Komentrateksts">
    <w:name w:val="annotation text"/>
    <w:basedOn w:val="Parasts"/>
    <w:link w:val="CommentTextChar"/>
    <w:uiPriority w:val="99"/>
    <w:unhideWhenUsed/>
    <w:rsid w:val="000C2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oklusjumarindkopasfonts"/>
    <w:link w:val="Komentrateksts"/>
    <w:uiPriority w:val="99"/>
    <w:rsid w:val="000C27F9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27F9"/>
    <w:rPr>
      <w:sz w:val="16"/>
      <w:szCs w:val="16"/>
    </w:rPr>
  </w:style>
  <w:style w:type="paragraph" w:styleId="Balonteksts">
    <w:name w:val="Balloon Text"/>
    <w:basedOn w:val="Parasts"/>
    <w:link w:val="BalloonTextChar"/>
    <w:uiPriority w:val="99"/>
    <w:semiHidden/>
    <w:unhideWhenUsed/>
    <w:rsid w:val="000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link w:val="Balonteksts"/>
    <w:uiPriority w:val="99"/>
    <w:semiHidden/>
    <w:rsid w:val="000C27F9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0C27F9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Komentratma">
    <w:name w:val="annotation subject"/>
    <w:basedOn w:val="Komentrateksts"/>
    <w:next w:val="Komentrateksts"/>
    <w:link w:val="CommentSubjectChar"/>
    <w:uiPriority w:val="99"/>
    <w:semiHidden/>
    <w:unhideWhenUsed/>
    <w:rsid w:val="00ED7D01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Komentratma"/>
    <w:uiPriority w:val="99"/>
    <w:semiHidden/>
    <w:rsid w:val="00ED7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isc">
    <w:name w:val="naisc"/>
    <w:basedOn w:val="Parasts"/>
    <w:rsid w:val="00FA31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Galvene">
    <w:name w:val="header"/>
    <w:basedOn w:val="Parasts"/>
    <w:link w:val="HeaderChar"/>
    <w:uiPriority w:val="99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Noklusjumarindkopasfonts"/>
    <w:link w:val="Galvene"/>
    <w:uiPriority w:val="99"/>
    <w:rsid w:val="00FA311B"/>
  </w:style>
  <w:style w:type="paragraph" w:styleId="Kjene">
    <w:name w:val="footer"/>
    <w:basedOn w:val="Parasts"/>
    <w:link w:val="FooterChar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Noklusjumarindkopasfonts"/>
    <w:link w:val="Kjene"/>
    <w:rsid w:val="00FA311B"/>
  </w:style>
  <w:style w:type="character" w:styleId="Hipersaite">
    <w:name w:val="Hyperlink"/>
    <w:basedOn w:val="Noklusjumarindkopasfonts"/>
    <w:uiPriority w:val="99"/>
    <w:semiHidden/>
    <w:unhideWhenUsed/>
    <w:rsid w:val="00FA311B"/>
    <w:rPr>
      <w:color w:val="00558D"/>
      <w:u w:val="single"/>
    </w:rPr>
  </w:style>
  <w:style w:type="paragraph" w:styleId="Sarakstarindkopa">
    <w:name w:val="List Paragraph"/>
    <w:basedOn w:val="Parasts"/>
    <w:uiPriority w:val="34"/>
    <w:qFormat/>
    <w:rsid w:val="0022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Drobisevska@t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59ED-882D-4B14-A710-3404DEC8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„Grozījumi likumā „Par policiju””</vt:lpstr>
      <vt:lpstr>Likumprojekts „Grozījumi likumā „Par policiju””</vt:lpstr>
    </vt:vector>
  </TitlesOfParts>
  <Company>Tieslietu Ministrija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likumā „Par policiju””</dc:title>
  <dc:subject>Likumprojekts</dc:subject>
  <dc:creator>Tieslietu ministrija</dc:creator>
  <dc:description>E.Drobiševska
67036954, Evita.Drobisevska@tm.gov.lv</dc:description>
  <cp:lastModifiedBy>ed1801</cp:lastModifiedBy>
  <cp:revision>5</cp:revision>
  <cp:lastPrinted>2012-10-25T12:16:00Z</cp:lastPrinted>
  <dcterms:created xsi:type="dcterms:W3CDTF">2012-10-25T13:30:00Z</dcterms:created>
  <dcterms:modified xsi:type="dcterms:W3CDTF">2012-11-01T13:16:00Z</dcterms:modified>
</cp:coreProperties>
</file>