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0D" w:rsidRPr="0077051B" w:rsidRDefault="0076700D" w:rsidP="0076700D">
      <w:pPr>
        <w:spacing w:after="0"/>
        <w:ind w:firstLine="578"/>
        <w:jc w:val="center"/>
        <w:rPr>
          <w:rFonts w:ascii="Times New Roman" w:hAnsi="Times New Roman"/>
          <w:b/>
          <w:sz w:val="24"/>
          <w:szCs w:val="24"/>
          <w:lang w:val="lv-LV"/>
        </w:rPr>
      </w:pPr>
      <w:r w:rsidRPr="0077051B">
        <w:rPr>
          <w:rFonts w:ascii="Times New Roman" w:hAnsi="Times New Roman"/>
          <w:b/>
          <w:sz w:val="24"/>
          <w:szCs w:val="24"/>
          <w:lang w:val="lv-LV"/>
        </w:rPr>
        <w:t>Kopsavilkums</w:t>
      </w:r>
    </w:p>
    <w:p w:rsidR="0076700D" w:rsidRDefault="0076700D" w:rsidP="0076700D">
      <w:pPr>
        <w:spacing w:after="0"/>
        <w:ind w:firstLine="578"/>
        <w:jc w:val="both"/>
        <w:rPr>
          <w:rFonts w:ascii="Times New Roman" w:hAnsi="Times New Roman"/>
          <w:sz w:val="24"/>
          <w:szCs w:val="24"/>
          <w:lang w:val="lv-LV"/>
        </w:rPr>
      </w:pPr>
    </w:p>
    <w:p w:rsidR="0076700D" w:rsidRPr="00073EC7" w:rsidRDefault="0076700D" w:rsidP="0076700D">
      <w:pPr>
        <w:spacing w:after="0"/>
        <w:ind w:firstLine="578"/>
        <w:jc w:val="both"/>
        <w:rPr>
          <w:rFonts w:ascii="Times New Roman" w:hAnsi="Times New Roman"/>
          <w:sz w:val="24"/>
          <w:szCs w:val="24"/>
          <w:lang w:val="lv-LV"/>
        </w:rPr>
      </w:pPr>
      <w:r w:rsidRPr="00073EC7">
        <w:rPr>
          <w:rFonts w:ascii="Times New Roman" w:hAnsi="Times New Roman"/>
          <w:sz w:val="24"/>
          <w:szCs w:val="24"/>
          <w:lang w:val="lv-LV"/>
        </w:rPr>
        <w:t xml:space="preserve">Programmu ”Latvijas korekcijas dienestu un Valsts policijas īslaicīgās aizturēšanas vietu reforma” </w:t>
      </w:r>
      <w:r w:rsidRPr="000A57FE">
        <w:rPr>
          <w:rFonts w:ascii="Times New Roman" w:hAnsi="Times New Roman"/>
          <w:sz w:val="24"/>
          <w:szCs w:val="24"/>
          <w:lang w:val="lv-LV"/>
        </w:rPr>
        <w:t>sagatavojusi un īstenos Latvijas Republikas Tieslietu ministrija kā Programmas apsaimniekotājs (turpmāk – PA) sadarbībā ar Latvijas Republikas Iekšlietu ministriju kā Programmas partneri un sadarbībā ar Norvēģijas Tieslietu un policijas ministrijas Korekcijas dienestu departamentu kā Donoru Programmas partneri (turpmāk – DPP). Partneri piedalīsies bilaterālā dialoga veidošanā politiskā līmenī un veicinās sadarbību starp Latvijas un Norvēģijas institūcijām.</w:t>
      </w:r>
    </w:p>
    <w:p w:rsidR="0076700D" w:rsidRPr="00073EC7" w:rsidRDefault="0076700D" w:rsidP="0076700D">
      <w:pPr>
        <w:ind w:firstLine="576"/>
        <w:jc w:val="both"/>
        <w:rPr>
          <w:rFonts w:ascii="Times New Roman" w:hAnsi="Times New Roman"/>
          <w:sz w:val="24"/>
          <w:szCs w:val="24"/>
          <w:lang w:val="lv-LV"/>
        </w:rPr>
      </w:pPr>
      <w:r w:rsidRPr="000A57FE">
        <w:rPr>
          <w:rFonts w:ascii="Times New Roman" w:hAnsi="Times New Roman"/>
          <w:sz w:val="24"/>
          <w:szCs w:val="24"/>
          <w:lang w:val="lv-LV"/>
        </w:rPr>
        <w:t>Programmas mērķis ir uzlabot korekcijas dienestu sistēmu saskaņā ar atbilstošiem starptautisko cilvēktiesību instrumentiem.</w:t>
      </w:r>
    </w:p>
    <w:p w:rsidR="0076700D" w:rsidRPr="00073EC7" w:rsidRDefault="0076700D" w:rsidP="0076700D">
      <w:pPr>
        <w:spacing w:after="0"/>
        <w:ind w:firstLine="576"/>
        <w:jc w:val="both"/>
        <w:rPr>
          <w:rFonts w:ascii="Times New Roman" w:hAnsi="Times New Roman"/>
          <w:sz w:val="24"/>
          <w:szCs w:val="24"/>
          <w:lang w:val="lv-LV"/>
        </w:rPr>
      </w:pPr>
      <w:r w:rsidRPr="000A57FE">
        <w:rPr>
          <w:rFonts w:ascii="Times New Roman" w:hAnsi="Times New Roman"/>
          <w:sz w:val="24"/>
          <w:szCs w:val="24"/>
          <w:lang w:val="lv-LV"/>
        </w:rPr>
        <w:t>Programmas ietvaros plānoti četri rezultāti:</w:t>
      </w:r>
    </w:p>
    <w:p w:rsidR="0076700D" w:rsidRPr="00073EC7" w:rsidRDefault="0076700D" w:rsidP="0076700D">
      <w:pPr>
        <w:numPr>
          <w:ilvl w:val="0"/>
          <w:numId w:val="1"/>
        </w:numPr>
        <w:spacing w:after="0"/>
        <w:jc w:val="both"/>
        <w:rPr>
          <w:rFonts w:ascii="Times New Roman" w:hAnsi="Times New Roman"/>
          <w:sz w:val="24"/>
          <w:szCs w:val="24"/>
          <w:lang w:val="lv-LV"/>
        </w:rPr>
      </w:pPr>
      <w:r w:rsidRPr="000A57FE">
        <w:rPr>
          <w:rFonts w:ascii="Times New Roman" w:hAnsi="Times New Roman"/>
          <w:sz w:val="24"/>
          <w:szCs w:val="24"/>
          <w:lang w:val="lv-LV"/>
        </w:rPr>
        <w:t>Atrisināt problēmas saistībā ar pieaugošo ieslodzīto skaitu un pārapdzīvotību cietumos</w:t>
      </w:r>
      <w:r w:rsidRPr="00073EC7">
        <w:rPr>
          <w:rStyle w:val="Vresatsauce"/>
          <w:rFonts w:ascii="Times New Roman" w:hAnsi="Times New Roman"/>
          <w:sz w:val="24"/>
          <w:szCs w:val="24"/>
          <w:lang w:val="lv-LV"/>
        </w:rPr>
        <w:footnoteReference w:id="1"/>
      </w:r>
      <w:r w:rsidRPr="00073EC7">
        <w:rPr>
          <w:rFonts w:ascii="Times New Roman" w:hAnsi="Times New Roman"/>
          <w:sz w:val="24"/>
          <w:szCs w:val="24"/>
          <w:lang w:val="lv-LV"/>
        </w:rPr>
        <w:t>;</w:t>
      </w:r>
    </w:p>
    <w:p w:rsidR="0076700D" w:rsidRPr="00073EC7" w:rsidRDefault="0076700D" w:rsidP="0076700D">
      <w:pPr>
        <w:numPr>
          <w:ilvl w:val="0"/>
          <w:numId w:val="1"/>
        </w:numPr>
        <w:spacing w:after="0"/>
        <w:jc w:val="both"/>
        <w:rPr>
          <w:rFonts w:ascii="Times New Roman" w:hAnsi="Times New Roman"/>
          <w:sz w:val="24"/>
          <w:szCs w:val="24"/>
          <w:lang w:val="lv-LV"/>
        </w:rPr>
      </w:pPr>
      <w:r w:rsidRPr="000A57FE">
        <w:rPr>
          <w:rFonts w:ascii="Times New Roman" w:hAnsi="Times New Roman"/>
          <w:sz w:val="24"/>
          <w:szCs w:val="24"/>
          <w:lang w:val="lv-LV"/>
        </w:rPr>
        <w:t>Palielināta brīvības atņemšanas alternatīvu izmantošana;</w:t>
      </w:r>
    </w:p>
    <w:p w:rsidR="0076700D" w:rsidRPr="00073EC7" w:rsidRDefault="0076700D" w:rsidP="0076700D">
      <w:pPr>
        <w:numPr>
          <w:ilvl w:val="0"/>
          <w:numId w:val="1"/>
        </w:numPr>
        <w:spacing w:after="0"/>
        <w:jc w:val="both"/>
        <w:rPr>
          <w:rFonts w:ascii="Times New Roman" w:hAnsi="Times New Roman"/>
          <w:sz w:val="24"/>
          <w:szCs w:val="24"/>
          <w:lang w:val="lv-LV"/>
        </w:rPr>
      </w:pPr>
      <w:r w:rsidRPr="000A57FE">
        <w:rPr>
          <w:rFonts w:ascii="Times New Roman" w:hAnsi="Times New Roman"/>
          <w:sz w:val="24"/>
          <w:szCs w:val="24"/>
          <w:lang w:val="lv-LV"/>
        </w:rPr>
        <w:t>Pastiprināta uzmanība īpaši jūtīgajām ieslodzīto grupām cietumā;</w:t>
      </w:r>
    </w:p>
    <w:p w:rsidR="0076700D" w:rsidRPr="00073EC7" w:rsidRDefault="0076700D" w:rsidP="0076700D">
      <w:pPr>
        <w:numPr>
          <w:ilvl w:val="0"/>
          <w:numId w:val="1"/>
        </w:numPr>
        <w:spacing w:after="0"/>
        <w:jc w:val="both"/>
        <w:rPr>
          <w:rFonts w:ascii="Times New Roman" w:hAnsi="Times New Roman"/>
          <w:sz w:val="24"/>
          <w:szCs w:val="24"/>
          <w:lang w:val="lv-LV"/>
        </w:rPr>
      </w:pPr>
      <w:r w:rsidRPr="000A57FE">
        <w:rPr>
          <w:rFonts w:ascii="Times New Roman" w:hAnsi="Times New Roman"/>
          <w:sz w:val="24"/>
          <w:szCs w:val="24"/>
          <w:lang w:val="lv-LV"/>
        </w:rPr>
        <w:t>Ieslodzīto un cietuma darbinieku kompetenču uzlabošana.</w:t>
      </w:r>
    </w:p>
    <w:p w:rsidR="0076700D" w:rsidRPr="00073EC7" w:rsidRDefault="0076700D" w:rsidP="0076700D">
      <w:pPr>
        <w:spacing w:after="0"/>
        <w:ind w:firstLine="576"/>
        <w:jc w:val="both"/>
        <w:rPr>
          <w:rFonts w:ascii="Times New Roman" w:hAnsi="Times New Roman"/>
          <w:sz w:val="24"/>
          <w:szCs w:val="24"/>
          <w:lang w:val="lv-LV"/>
        </w:rPr>
      </w:pPr>
      <w:r w:rsidRPr="000A57FE">
        <w:rPr>
          <w:rFonts w:ascii="Times New Roman" w:hAnsi="Times New Roman"/>
          <w:sz w:val="24"/>
          <w:szCs w:val="24"/>
          <w:lang w:val="lv-LV"/>
        </w:rPr>
        <w:t>Saskaņā ar Latvijas Republikas un Norvēģijas Karalistes noslēgtā Saprašanās memorandu par NFI īstenošanu 2009.-2014. gadā (turpmāk – SM) tieslietas un iekšlietas ir viens no prioritārajiem sektoriem, kurā Latvijai kopumā ir piešķirti EUR 13 056 000 korekcijas dienestu un ar brīvības atņemšanu nesaistīto sankciju jomā, lai veiktu reformas Latvijas korekcijas dienestos un Valsts policijas īslaicīgās aizturēšanas vietās.</w:t>
      </w:r>
    </w:p>
    <w:p w:rsidR="0076700D" w:rsidRPr="00073EC7" w:rsidRDefault="0076700D" w:rsidP="0076700D">
      <w:pPr>
        <w:spacing w:after="0"/>
        <w:ind w:firstLine="576"/>
        <w:jc w:val="both"/>
        <w:rPr>
          <w:rFonts w:ascii="Times New Roman" w:hAnsi="Times New Roman"/>
          <w:sz w:val="24"/>
          <w:szCs w:val="24"/>
          <w:lang w:val="lv-LV"/>
        </w:rPr>
      </w:pPr>
    </w:p>
    <w:p w:rsidR="0076700D" w:rsidRPr="00073EC7" w:rsidRDefault="0076700D" w:rsidP="0076700D">
      <w:pPr>
        <w:spacing w:after="0"/>
        <w:ind w:firstLine="576"/>
        <w:jc w:val="both"/>
        <w:rPr>
          <w:rFonts w:ascii="Times New Roman" w:hAnsi="Times New Roman"/>
          <w:sz w:val="24"/>
          <w:szCs w:val="24"/>
          <w:lang w:val="lv-LV"/>
        </w:rPr>
      </w:pPr>
      <w:r w:rsidRPr="000A57FE">
        <w:rPr>
          <w:rFonts w:ascii="Times New Roman" w:hAnsi="Times New Roman"/>
          <w:sz w:val="24"/>
          <w:szCs w:val="24"/>
          <w:lang w:val="lv-LV"/>
        </w:rPr>
        <w:t>SM iekļauti trīs iepriekš noteiktie projekti:</w:t>
      </w:r>
    </w:p>
    <w:p w:rsidR="0076700D" w:rsidRPr="00073EC7" w:rsidRDefault="0076700D" w:rsidP="0076700D">
      <w:pPr>
        <w:numPr>
          <w:ilvl w:val="0"/>
          <w:numId w:val="2"/>
        </w:numPr>
        <w:spacing w:after="0"/>
        <w:ind w:left="426"/>
        <w:jc w:val="both"/>
        <w:rPr>
          <w:rFonts w:ascii="Times New Roman" w:hAnsi="Times New Roman"/>
          <w:sz w:val="24"/>
          <w:szCs w:val="24"/>
          <w:lang w:val="lv-LV"/>
        </w:rPr>
      </w:pPr>
      <w:r w:rsidRPr="000A57FE">
        <w:rPr>
          <w:rFonts w:ascii="Times New Roman" w:hAnsi="Times New Roman"/>
          <w:sz w:val="24"/>
          <w:szCs w:val="24"/>
          <w:lang w:val="lv-LV"/>
        </w:rPr>
        <w:t>Alternatīvu brīvības atņemšanai sekmēšana (ieskaitot iespējamo pilotprojektu elektroniskajai uzraudzībai);</w:t>
      </w:r>
    </w:p>
    <w:p w:rsidR="0076700D" w:rsidRPr="00073EC7" w:rsidRDefault="0076700D" w:rsidP="0076700D">
      <w:pPr>
        <w:numPr>
          <w:ilvl w:val="0"/>
          <w:numId w:val="2"/>
        </w:numPr>
        <w:spacing w:after="0"/>
        <w:ind w:left="426"/>
        <w:jc w:val="both"/>
        <w:rPr>
          <w:rFonts w:ascii="Times New Roman" w:hAnsi="Times New Roman"/>
          <w:sz w:val="24"/>
          <w:szCs w:val="24"/>
          <w:lang w:val="lv-LV"/>
        </w:rPr>
      </w:pPr>
      <w:r w:rsidRPr="000A57FE">
        <w:rPr>
          <w:rFonts w:ascii="Times New Roman" w:hAnsi="Times New Roman"/>
          <w:sz w:val="24"/>
          <w:szCs w:val="24"/>
          <w:lang w:val="lv-LV"/>
        </w:rPr>
        <w:t>Jauna nodaļa Olaines cietumā, ieskaitot būvniecību un personāla apmācību</w:t>
      </w:r>
      <w:r w:rsidRPr="00073EC7">
        <w:rPr>
          <w:rStyle w:val="Vresatsauce"/>
          <w:rFonts w:ascii="Times New Roman" w:hAnsi="Times New Roman"/>
          <w:sz w:val="24"/>
          <w:szCs w:val="24"/>
          <w:lang w:val="lv-LV"/>
        </w:rPr>
        <w:footnoteReference w:id="2"/>
      </w:r>
      <w:r w:rsidRPr="00073EC7">
        <w:rPr>
          <w:rFonts w:ascii="Times New Roman" w:hAnsi="Times New Roman"/>
          <w:sz w:val="24"/>
          <w:szCs w:val="24"/>
          <w:lang w:val="lv-LV"/>
        </w:rPr>
        <w:t>;</w:t>
      </w:r>
    </w:p>
    <w:p w:rsidR="0076700D" w:rsidRPr="00073EC7" w:rsidRDefault="0076700D" w:rsidP="0076700D">
      <w:pPr>
        <w:numPr>
          <w:ilvl w:val="0"/>
          <w:numId w:val="2"/>
        </w:numPr>
        <w:ind w:left="426"/>
        <w:jc w:val="both"/>
        <w:rPr>
          <w:rFonts w:ascii="Times New Roman" w:hAnsi="Times New Roman"/>
          <w:sz w:val="24"/>
          <w:szCs w:val="24"/>
          <w:lang w:val="lv-LV"/>
        </w:rPr>
      </w:pPr>
      <w:r w:rsidRPr="000A57FE">
        <w:rPr>
          <w:rFonts w:ascii="Times New Roman" w:hAnsi="Times New Roman"/>
          <w:sz w:val="24"/>
          <w:szCs w:val="24"/>
          <w:lang w:val="lv-LV"/>
        </w:rPr>
        <w:t>Valsts policijas īslaicīgās aizturēšanas vietu standartu uzlabošana, t.sk., aktivitātes infrastruktūras uzlabošanai; līdzšinējās prakses administratīvajai aizturēšanai samazināšana/likvidēšana; prakses maiņa, ievietojot tajās apcietinājumā esošos ieslodzītos turpmākai izmeklēšanai; atbilstošu apmācību nodrošināšana darbiniekiem, kas strādā īslaicīgās aizturēšanas vietās.</w:t>
      </w:r>
    </w:p>
    <w:p w:rsidR="0076700D" w:rsidRPr="00073EC7" w:rsidRDefault="0076700D" w:rsidP="0076700D">
      <w:pPr>
        <w:tabs>
          <w:tab w:val="left" w:pos="540"/>
        </w:tabs>
        <w:spacing w:after="0"/>
        <w:jc w:val="both"/>
        <w:rPr>
          <w:rFonts w:ascii="Times New Roman" w:hAnsi="Times New Roman"/>
          <w:bCs/>
          <w:sz w:val="24"/>
          <w:szCs w:val="24"/>
          <w:lang w:val="lv-LV"/>
        </w:rPr>
      </w:pPr>
      <w:r w:rsidRPr="000A57FE">
        <w:rPr>
          <w:rFonts w:ascii="Times New Roman" w:hAnsi="Times New Roman"/>
          <w:bCs/>
          <w:sz w:val="24"/>
          <w:szCs w:val="24"/>
          <w:lang w:val="lv-LV"/>
        </w:rPr>
        <w:tab/>
        <w:t>Iepriekš noteiktos projektus īstenos Valsts probācijas dienests, Ieslodzījuma vietu pārvalde un Valsts policija. Projekti Nr. 1 un Nr. 2 var tikt ieviesti sadarbībā ar Norvēģijas partneriem, taču partnerības līgumi vēl nav noslēgti, jo projektu apraksti vēl ir detalizēti jāizstrādā.</w:t>
      </w:r>
    </w:p>
    <w:p w:rsidR="0076700D" w:rsidRPr="00073EC7" w:rsidRDefault="0076700D" w:rsidP="0076700D">
      <w:pPr>
        <w:tabs>
          <w:tab w:val="left" w:pos="540"/>
        </w:tabs>
        <w:spacing w:after="0"/>
        <w:jc w:val="both"/>
        <w:rPr>
          <w:rFonts w:ascii="Times New Roman" w:hAnsi="Times New Roman"/>
          <w:bCs/>
          <w:sz w:val="24"/>
          <w:szCs w:val="24"/>
          <w:lang w:val="lv-LV"/>
        </w:rPr>
      </w:pPr>
      <w:r w:rsidRPr="000A57FE">
        <w:rPr>
          <w:rFonts w:ascii="Times New Roman" w:hAnsi="Times New Roman"/>
          <w:bCs/>
          <w:sz w:val="24"/>
          <w:szCs w:val="24"/>
          <w:lang w:val="lv-LV"/>
        </w:rPr>
        <w:tab/>
        <w:t>SM norādīti šādi īpašie nosacījumi: Vismaz 30% Programmas piešķīruma būtu jānovirza aktivitātēm, kas nav ieguldījumi infrastruktūrā vai aprīkojuma iegādē. Piemēram, apmācībām kapacitātes stiprināšanas un sistēmu attīstības aktivitātēm. Programmas izstrādes un ieviešanas laikā Puses izmantos Eiropas Padomes pieredzi un kompetenci.</w:t>
      </w:r>
    </w:p>
    <w:p w:rsidR="0076700D" w:rsidRPr="00073EC7" w:rsidRDefault="0076700D" w:rsidP="0076700D">
      <w:pPr>
        <w:tabs>
          <w:tab w:val="left" w:pos="540"/>
        </w:tabs>
        <w:spacing w:after="0"/>
        <w:jc w:val="both"/>
        <w:rPr>
          <w:rFonts w:ascii="Times New Roman" w:hAnsi="Times New Roman"/>
          <w:bCs/>
          <w:sz w:val="24"/>
          <w:szCs w:val="24"/>
          <w:lang w:val="lv-LV"/>
        </w:rPr>
      </w:pPr>
      <w:r w:rsidRPr="000A57FE">
        <w:rPr>
          <w:rFonts w:ascii="Times New Roman" w:hAnsi="Times New Roman"/>
          <w:bCs/>
          <w:sz w:val="24"/>
          <w:szCs w:val="24"/>
          <w:lang w:val="lv-LV"/>
        </w:rPr>
        <w:lastRenderedPageBreak/>
        <w:tab/>
        <w:t>Tā kā projekti nav detalizēti izstrādāti, šajā stadijā nav iespējams precīzi noteikt, cik liela daļa (procentos) Programmas piešķīruma tiks novirzīts aktivitātēm, kas nav ieguldījumi infrastruktūrā vai aprīkojuma iegādē. Šā nosacījuma ievērošanu īpaši izvērtēs Sadarbības komiteja, veicot projektu novērtēšanu un PA specifiski par to ziņos pirms projektu uzsākšanas.</w:t>
      </w:r>
    </w:p>
    <w:p w:rsidR="0076700D" w:rsidRPr="00073EC7" w:rsidRDefault="0076700D" w:rsidP="0076700D">
      <w:pPr>
        <w:tabs>
          <w:tab w:val="left" w:pos="540"/>
        </w:tabs>
        <w:spacing w:after="0"/>
        <w:jc w:val="both"/>
        <w:rPr>
          <w:rFonts w:ascii="Times New Roman" w:hAnsi="Times New Roman"/>
          <w:bCs/>
          <w:sz w:val="24"/>
          <w:szCs w:val="24"/>
          <w:lang w:val="lv-LV"/>
        </w:rPr>
      </w:pPr>
      <w:r w:rsidRPr="000A57FE">
        <w:rPr>
          <w:rFonts w:ascii="Times New Roman" w:hAnsi="Times New Roman"/>
          <w:bCs/>
          <w:sz w:val="24"/>
          <w:szCs w:val="24"/>
          <w:lang w:val="lv-LV"/>
        </w:rPr>
        <w:tab/>
        <w:t xml:space="preserve">Puses izmantos </w:t>
      </w:r>
      <w:r w:rsidR="00FB0932">
        <w:rPr>
          <w:rFonts w:ascii="Times New Roman" w:hAnsi="Times New Roman"/>
          <w:bCs/>
          <w:sz w:val="24"/>
          <w:szCs w:val="24"/>
          <w:lang w:val="lv-LV"/>
        </w:rPr>
        <w:t xml:space="preserve">Eiropas Padomes (turpmāk – EP) </w:t>
      </w:r>
      <w:r w:rsidRPr="000A57FE">
        <w:rPr>
          <w:rFonts w:ascii="Times New Roman" w:hAnsi="Times New Roman"/>
          <w:bCs/>
          <w:sz w:val="24"/>
          <w:szCs w:val="24"/>
          <w:lang w:val="lv-LV"/>
        </w:rPr>
        <w:t>pieredzi un kompetenci gan Programmas, gan projektu līmenī. EP ir uzaicināta piedalīties Sadarbības komitejā novērotāja statusā un Puses ar EP konsultēsies arī projektu izstrādē un ieviešanā.</w:t>
      </w:r>
    </w:p>
    <w:p w:rsidR="0076700D" w:rsidRPr="00073EC7" w:rsidRDefault="0076700D" w:rsidP="0076700D">
      <w:pPr>
        <w:tabs>
          <w:tab w:val="left" w:pos="540"/>
        </w:tabs>
        <w:spacing w:after="0"/>
        <w:jc w:val="both"/>
        <w:rPr>
          <w:rFonts w:ascii="Times New Roman" w:hAnsi="Times New Roman"/>
          <w:bCs/>
          <w:sz w:val="24"/>
          <w:szCs w:val="24"/>
          <w:lang w:val="lv-LV"/>
        </w:rPr>
      </w:pPr>
      <w:r w:rsidRPr="000A57FE">
        <w:rPr>
          <w:rFonts w:ascii="Times New Roman" w:hAnsi="Times New Roman"/>
          <w:bCs/>
          <w:sz w:val="24"/>
          <w:szCs w:val="24"/>
          <w:lang w:val="lv-LV"/>
        </w:rPr>
        <w:tab/>
        <w:t xml:space="preserve">DPP </w:t>
      </w:r>
      <w:r w:rsidRPr="000A57FE">
        <w:rPr>
          <w:rFonts w:ascii="Times New Roman" w:hAnsi="Times New Roman"/>
          <w:sz w:val="24"/>
          <w:szCs w:val="24"/>
          <w:lang w:val="lv-LV"/>
        </w:rPr>
        <w:t>līdzdarbosies Programmas Sadarbības komitejā kā balsstiesīgie locekļi un veiks iepriekš noteikto projektu izvērtēšanu, kā arī sniegs atbalstu Programmas vispārīgo mērķu sasniegšanā un piedalīsies Programmas koordinēšanā un uzraudzībā.</w:t>
      </w:r>
    </w:p>
    <w:p w:rsidR="00670864" w:rsidRDefault="0076700D" w:rsidP="0076700D">
      <w:pPr>
        <w:jc w:val="both"/>
        <w:rPr>
          <w:rFonts w:ascii="Times New Roman" w:hAnsi="Times New Roman"/>
          <w:sz w:val="24"/>
          <w:szCs w:val="24"/>
          <w:lang w:val="lv-LV"/>
        </w:rPr>
      </w:pPr>
      <w:r w:rsidRPr="000A57FE">
        <w:rPr>
          <w:rFonts w:ascii="Times New Roman" w:hAnsi="Times New Roman"/>
          <w:bCs/>
          <w:sz w:val="24"/>
          <w:szCs w:val="24"/>
          <w:lang w:val="lv-LV"/>
        </w:rPr>
        <w:tab/>
        <w:t>Programmas p</w:t>
      </w:r>
      <w:r w:rsidRPr="000A57FE">
        <w:rPr>
          <w:rFonts w:ascii="Times New Roman" w:hAnsi="Times New Roman"/>
          <w:sz w:val="24"/>
          <w:szCs w:val="24"/>
          <w:lang w:val="lv-LV"/>
        </w:rPr>
        <w:t>rimārā mērķa grupa ir aizturētie, ieslodzītie, no ieslodzījuma vietām atbrīvotās personas, kurām tiks piemērota elektroniskā uzraudzība, ieslodzītie ar atkarības problēmām, ieslodzījuma vietu un īslaicīgās aizturēšanas vietu/pagaidu turēšanas vietu darbinieki, projektu īstenotāju darbinieki - ieslodzījumu vietu sistēmas darbi</w:t>
      </w:r>
      <w:r w:rsidR="00FB0932">
        <w:rPr>
          <w:rFonts w:ascii="Times New Roman" w:hAnsi="Times New Roman"/>
          <w:sz w:val="24"/>
          <w:szCs w:val="24"/>
          <w:lang w:val="lv-LV"/>
        </w:rPr>
        <w:t>nieki, probācijas darbinieki, Valsts policijas</w:t>
      </w:r>
      <w:r w:rsidRPr="000A57FE">
        <w:rPr>
          <w:rFonts w:ascii="Times New Roman" w:hAnsi="Times New Roman"/>
          <w:sz w:val="24"/>
          <w:szCs w:val="24"/>
          <w:lang w:val="lv-LV"/>
        </w:rPr>
        <w:t xml:space="preserve"> darbinieki.</w:t>
      </w:r>
    </w:p>
    <w:p w:rsidR="0077051B" w:rsidRDefault="0077051B" w:rsidP="0076700D">
      <w:pPr>
        <w:jc w:val="both"/>
        <w:rPr>
          <w:rFonts w:ascii="Times New Roman" w:hAnsi="Times New Roman"/>
          <w:sz w:val="24"/>
          <w:szCs w:val="24"/>
          <w:lang w:val="lv-LV"/>
        </w:rPr>
      </w:pPr>
    </w:p>
    <w:p w:rsidR="0077051B" w:rsidRPr="0077051B" w:rsidRDefault="0077051B" w:rsidP="0077051B">
      <w:pPr>
        <w:tabs>
          <w:tab w:val="left" w:pos="6804"/>
        </w:tabs>
        <w:rPr>
          <w:rFonts w:ascii="Times New Roman" w:hAnsi="Times New Roman"/>
          <w:sz w:val="24"/>
          <w:szCs w:val="24"/>
        </w:rPr>
      </w:pPr>
      <w:r w:rsidRPr="0077051B">
        <w:rPr>
          <w:rFonts w:ascii="Times New Roman" w:hAnsi="Times New Roman"/>
          <w:sz w:val="24"/>
          <w:szCs w:val="24"/>
        </w:rPr>
        <w:t>Ministru prezidents                                                                       V. Dombrovskis</w:t>
      </w:r>
    </w:p>
    <w:p w:rsidR="0077051B" w:rsidRPr="0077051B" w:rsidRDefault="0077051B" w:rsidP="0077051B">
      <w:pPr>
        <w:tabs>
          <w:tab w:val="left" w:pos="6096"/>
          <w:tab w:val="left" w:pos="6521"/>
        </w:tabs>
        <w:ind w:firstLine="709"/>
        <w:rPr>
          <w:rFonts w:ascii="Times New Roman" w:hAnsi="Times New Roman"/>
          <w:sz w:val="24"/>
          <w:szCs w:val="24"/>
        </w:rPr>
      </w:pPr>
    </w:p>
    <w:p w:rsidR="0077051B" w:rsidRPr="0077051B" w:rsidRDefault="0077051B" w:rsidP="0077051B">
      <w:pPr>
        <w:tabs>
          <w:tab w:val="left" w:pos="6804"/>
        </w:tabs>
        <w:rPr>
          <w:rFonts w:ascii="Times New Roman" w:hAnsi="Times New Roman"/>
          <w:sz w:val="24"/>
          <w:szCs w:val="24"/>
        </w:rPr>
      </w:pPr>
      <w:r w:rsidRPr="0077051B">
        <w:rPr>
          <w:rFonts w:ascii="Times New Roman" w:hAnsi="Times New Roman"/>
          <w:sz w:val="24"/>
          <w:szCs w:val="24"/>
        </w:rPr>
        <w:t>Tieslietu ministrs                                                                             G.Bērziņš</w:t>
      </w:r>
    </w:p>
    <w:p w:rsidR="0077051B" w:rsidRPr="0077051B" w:rsidRDefault="0077051B" w:rsidP="0077051B">
      <w:pPr>
        <w:rPr>
          <w:rFonts w:ascii="Times New Roman" w:hAnsi="Times New Roman"/>
          <w:sz w:val="24"/>
          <w:szCs w:val="24"/>
        </w:rPr>
      </w:pPr>
    </w:p>
    <w:p w:rsidR="0077051B" w:rsidRPr="0077051B" w:rsidRDefault="0077051B" w:rsidP="0077051B">
      <w:pPr>
        <w:rPr>
          <w:rFonts w:ascii="Times New Roman" w:hAnsi="Times New Roman"/>
          <w:sz w:val="24"/>
          <w:szCs w:val="24"/>
        </w:rPr>
      </w:pPr>
      <w:r w:rsidRPr="0077051B">
        <w:rPr>
          <w:rFonts w:ascii="Times New Roman" w:hAnsi="Times New Roman"/>
          <w:sz w:val="24"/>
          <w:szCs w:val="24"/>
        </w:rPr>
        <w:t>Iesniedzējs: tieslietu ministrs                                                          G.Bērziņš</w:t>
      </w:r>
    </w:p>
    <w:p w:rsidR="0077051B" w:rsidRPr="0077051B" w:rsidRDefault="0077051B" w:rsidP="0077051B">
      <w:pPr>
        <w:rPr>
          <w:rFonts w:ascii="Times New Roman" w:hAnsi="Times New Roman"/>
          <w:sz w:val="28"/>
          <w:szCs w:val="28"/>
        </w:rPr>
      </w:pPr>
    </w:p>
    <w:p w:rsidR="0077051B" w:rsidRPr="0077051B" w:rsidRDefault="0077051B" w:rsidP="0077051B">
      <w:pPr>
        <w:rPr>
          <w:rFonts w:ascii="Times New Roman" w:hAnsi="Times New Roman"/>
          <w:sz w:val="28"/>
          <w:szCs w:val="28"/>
        </w:rPr>
      </w:pPr>
    </w:p>
    <w:p w:rsidR="0077051B" w:rsidRPr="0077051B" w:rsidRDefault="0077051B" w:rsidP="0077051B">
      <w:pPr>
        <w:spacing w:after="0"/>
        <w:rPr>
          <w:rFonts w:ascii="Times New Roman" w:hAnsi="Times New Roman"/>
          <w:sz w:val="16"/>
          <w:szCs w:val="16"/>
        </w:rPr>
      </w:pPr>
      <w:r w:rsidRPr="0077051B">
        <w:rPr>
          <w:rFonts w:ascii="Times New Roman" w:hAnsi="Times New Roman"/>
          <w:sz w:val="16"/>
          <w:szCs w:val="16"/>
        </w:rPr>
        <w:t>15.12.2011, 12:00</w:t>
      </w:r>
    </w:p>
    <w:p w:rsidR="0077051B" w:rsidRPr="0077051B" w:rsidRDefault="0077051B" w:rsidP="0077051B">
      <w:pPr>
        <w:spacing w:after="0"/>
        <w:rPr>
          <w:rFonts w:ascii="Times New Roman" w:hAnsi="Times New Roman"/>
          <w:sz w:val="16"/>
          <w:szCs w:val="16"/>
        </w:rPr>
      </w:pPr>
      <w:r>
        <w:rPr>
          <w:rFonts w:ascii="Times New Roman" w:hAnsi="Times New Roman"/>
          <w:sz w:val="16"/>
          <w:szCs w:val="16"/>
        </w:rPr>
        <w:t>519</w:t>
      </w:r>
    </w:p>
    <w:p w:rsidR="0077051B" w:rsidRPr="0077051B" w:rsidRDefault="0077051B" w:rsidP="0077051B">
      <w:pPr>
        <w:spacing w:after="0"/>
        <w:rPr>
          <w:rFonts w:ascii="Times New Roman" w:hAnsi="Times New Roman"/>
          <w:sz w:val="16"/>
          <w:szCs w:val="16"/>
        </w:rPr>
      </w:pPr>
      <w:r w:rsidRPr="0077051B">
        <w:rPr>
          <w:rFonts w:ascii="Times New Roman" w:hAnsi="Times New Roman"/>
          <w:sz w:val="16"/>
          <w:szCs w:val="16"/>
        </w:rPr>
        <w:t>Inta Remese</w:t>
      </w:r>
    </w:p>
    <w:p w:rsidR="0077051B" w:rsidRPr="0077051B" w:rsidRDefault="0077051B" w:rsidP="0077051B">
      <w:pPr>
        <w:spacing w:after="0"/>
        <w:rPr>
          <w:rFonts w:ascii="Times New Roman" w:hAnsi="Times New Roman"/>
          <w:sz w:val="16"/>
          <w:szCs w:val="16"/>
        </w:rPr>
      </w:pPr>
      <w:r w:rsidRPr="0077051B">
        <w:rPr>
          <w:rFonts w:ascii="Times New Roman" w:hAnsi="Times New Roman"/>
          <w:sz w:val="16"/>
          <w:szCs w:val="16"/>
        </w:rPr>
        <w:t xml:space="preserve">Tālr. 67036853; </w:t>
      </w:r>
      <w:hyperlink r:id="rId8" w:history="1">
        <w:r w:rsidRPr="0077051B">
          <w:rPr>
            <w:rStyle w:val="Hipersaite"/>
            <w:rFonts w:ascii="Times New Roman" w:hAnsi="Times New Roman"/>
            <w:sz w:val="16"/>
            <w:szCs w:val="16"/>
          </w:rPr>
          <w:t>inta.remese@tm.gov.lv</w:t>
        </w:r>
      </w:hyperlink>
      <w:r w:rsidRPr="0077051B">
        <w:rPr>
          <w:rFonts w:ascii="Times New Roman" w:hAnsi="Times New Roman"/>
          <w:sz w:val="16"/>
          <w:szCs w:val="16"/>
        </w:rPr>
        <w:t xml:space="preserve">  </w:t>
      </w:r>
    </w:p>
    <w:p w:rsidR="0077051B" w:rsidRDefault="0077051B" w:rsidP="0076700D">
      <w:pPr>
        <w:jc w:val="both"/>
      </w:pPr>
    </w:p>
    <w:sectPr w:rsidR="0077051B" w:rsidSect="00DA5DDB">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00D" w:rsidRDefault="0076700D" w:rsidP="0076700D">
      <w:pPr>
        <w:spacing w:after="0"/>
      </w:pPr>
      <w:r>
        <w:separator/>
      </w:r>
    </w:p>
  </w:endnote>
  <w:endnote w:type="continuationSeparator" w:id="0">
    <w:p w:rsidR="0076700D" w:rsidRDefault="0076700D" w:rsidP="007670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1B" w:rsidRDefault="0077051B">
    <w:pPr>
      <w:pStyle w:val="Kjene"/>
    </w:pPr>
  </w:p>
  <w:p w:rsidR="0077051B" w:rsidRPr="0077051B" w:rsidRDefault="0077051B">
    <w:pPr>
      <w:pStyle w:val="Kjene"/>
      <w:rPr>
        <w:rFonts w:ascii="Times New Roman" w:hAnsi="Times New Roman"/>
        <w:sz w:val="20"/>
        <w:szCs w:val="20"/>
      </w:rPr>
    </w:pPr>
    <w:r w:rsidRPr="0077051B">
      <w:rPr>
        <w:rFonts w:ascii="Times New Roman" w:hAnsi="Times New Roman"/>
        <w:sz w:val="20"/>
        <w:szCs w:val="20"/>
      </w:rPr>
      <w:t>TMpdsat_151211_norv;</w:t>
    </w:r>
    <w:r w:rsidRPr="0077051B">
      <w:rPr>
        <w:rFonts w:ascii="Times New Roman" w:hAnsi="Times New Roman"/>
        <w:bCs/>
        <w:sz w:val="20"/>
        <w:szCs w:val="20"/>
      </w:rPr>
      <w:t xml:space="preserve"> </w:t>
    </w:r>
    <w:bookmarkStart w:id="0" w:name="OLE_LINK8"/>
    <w:bookmarkStart w:id="1" w:name="OLE_LINK9"/>
    <w:r w:rsidRPr="0077051B">
      <w:rPr>
        <w:rFonts w:ascii="Times New Roman" w:hAnsi="Times New Roman"/>
        <w:bCs/>
        <w:sz w:val="20"/>
        <w:szCs w:val="20"/>
      </w:rPr>
      <w:t>Norvēģijas finanšu instrumenta līdzfinansētās programmas „</w:t>
    </w:r>
    <w:r w:rsidRPr="0077051B">
      <w:rPr>
        <w:rFonts w:ascii="Times New Roman" w:hAnsi="Times New Roman"/>
        <w:sz w:val="20"/>
        <w:szCs w:val="20"/>
      </w:rPr>
      <w:t>Latvijas korekcijas dienestu un Valsts policijas īslaicīgās aizturēšanas vietu reforma</w:t>
    </w:r>
    <w:r w:rsidRPr="0077051B">
      <w:rPr>
        <w:rFonts w:ascii="Times New Roman" w:hAnsi="Times New Roman"/>
        <w:bCs/>
        <w:sz w:val="20"/>
        <w:szCs w:val="20"/>
      </w:rPr>
      <w:t>” iesnieguma projekta kopsavilkums</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F0" w:rsidRPr="008823F0" w:rsidRDefault="008823F0">
    <w:pPr>
      <w:pStyle w:val="Kjene"/>
      <w:rPr>
        <w:rFonts w:ascii="Times New Roman" w:hAnsi="Times New Roman"/>
        <w:sz w:val="20"/>
        <w:szCs w:val="20"/>
      </w:rPr>
    </w:pPr>
    <w:r w:rsidRPr="0077051B">
      <w:rPr>
        <w:rFonts w:ascii="Times New Roman" w:hAnsi="Times New Roman"/>
        <w:sz w:val="20"/>
        <w:szCs w:val="20"/>
      </w:rPr>
      <w:t>TMpdsat_151211_norv;</w:t>
    </w:r>
    <w:r w:rsidRPr="0077051B">
      <w:rPr>
        <w:rFonts w:ascii="Times New Roman" w:hAnsi="Times New Roman"/>
        <w:bCs/>
        <w:sz w:val="20"/>
        <w:szCs w:val="20"/>
      </w:rPr>
      <w:t xml:space="preserve"> Norvēģijas finanšu instrumenta līdzfinansētās programmas „</w:t>
    </w:r>
    <w:r w:rsidRPr="0077051B">
      <w:rPr>
        <w:rFonts w:ascii="Times New Roman" w:hAnsi="Times New Roman"/>
        <w:sz w:val="20"/>
        <w:szCs w:val="20"/>
      </w:rPr>
      <w:t>Latvijas korekcijas dienestu un Valsts policijas īslaicīgās aizturēšanas vietu reforma</w:t>
    </w:r>
    <w:r w:rsidRPr="0077051B">
      <w:rPr>
        <w:rFonts w:ascii="Times New Roman" w:hAnsi="Times New Roman"/>
        <w:bCs/>
        <w:sz w:val="20"/>
        <w:szCs w:val="20"/>
      </w:rPr>
      <w:t>” iesnieguma projekta kopsavilkums</w:t>
    </w:r>
  </w:p>
  <w:p w:rsidR="008823F0" w:rsidRDefault="008823F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00D" w:rsidRDefault="0076700D" w:rsidP="0076700D">
      <w:pPr>
        <w:spacing w:after="0"/>
      </w:pPr>
      <w:r>
        <w:separator/>
      </w:r>
    </w:p>
  </w:footnote>
  <w:footnote w:type="continuationSeparator" w:id="0">
    <w:p w:rsidR="0076700D" w:rsidRDefault="0076700D" w:rsidP="0076700D">
      <w:pPr>
        <w:spacing w:after="0"/>
      </w:pPr>
      <w:r>
        <w:continuationSeparator/>
      </w:r>
    </w:p>
  </w:footnote>
  <w:footnote w:id="1">
    <w:p w:rsidR="0076700D" w:rsidRPr="00D0437A" w:rsidRDefault="0076700D" w:rsidP="0076700D">
      <w:pPr>
        <w:pStyle w:val="Vresteksts"/>
        <w:rPr>
          <w:rFonts w:ascii="Times New Roman" w:hAnsi="Times New Roman"/>
          <w:lang w:val="lv-LV"/>
        </w:rPr>
      </w:pPr>
      <w:r w:rsidRPr="00D0437A">
        <w:rPr>
          <w:rStyle w:val="Vresatsauce"/>
          <w:rFonts w:ascii="Times New Roman" w:hAnsi="Times New Roman"/>
        </w:rPr>
        <w:footnoteRef/>
      </w:r>
      <w:r w:rsidRPr="00D0437A">
        <w:rPr>
          <w:rFonts w:ascii="Times New Roman" w:hAnsi="Times New Roman"/>
        </w:rPr>
        <w:t xml:space="preserve"> </w:t>
      </w:r>
      <w:r w:rsidRPr="00D0437A">
        <w:rPr>
          <w:rFonts w:ascii="Times New Roman" w:hAnsi="Times New Roman"/>
          <w:lang w:val="lv-LV"/>
        </w:rPr>
        <w:t>Ņemot vērā standarta indikatorus, šīs Programmas kontekstā termins „cietumi” ietver arī īstermiņa aizturēšanas vietas, kā arī pagaidu turēšanas vietas.</w:t>
      </w:r>
    </w:p>
  </w:footnote>
  <w:footnote w:id="2">
    <w:p w:rsidR="0076700D" w:rsidRDefault="0076700D" w:rsidP="0076700D">
      <w:pPr>
        <w:pStyle w:val="Vresteksts"/>
        <w:rPr>
          <w:rFonts w:ascii="Times New Roman" w:hAnsi="Times New Roman"/>
          <w:lang w:val="lv-LV"/>
        </w:rPr>
      </w:pPr>
      <w:r w:rsidRPr="00D0437A">
        <w:rPr>
          <w:rStyle w:val="Vresatsauce"/>
          <w:rFonts w:ascii="Times New Roman" w:hAnsi="Times New Roman"/>
        </w:rPr>
        <w:footnoteRef/>
      </w:r>
      <w:r w:rsidRPr="00D0437A">
        <w:rPr>
          <w:rFonts w:ascii="Times New Roman" w:hAnsi="Times New Roman"/>
        </w:rPr>
        <w:t xml:space="preserve"> </w:t>
      </w:r>
      <w:r w:rsidRPr="00D0437A">
        <w:rPr>
          <w:rFonts w:ascii="Times New Roman" w:hAnsi="Times New Roman"/>
          <w:lang w:val="lv-LV"/>
        </w:rPr>
        <w:t>Šai nodaļai ir jāaizstāj līdzšinējo standartiem neatbilstoš</w:t>
      </w:r>
      <w:r>
        <w:rPr>
          <w:rFonts w:ascii="Times New Roman" w:hAnsi="Times New Roman"/>
          <w:lang w:val="lv-LV"/>
        </w:rPr>
        <w:t>as vietas</w:t>
      </w:r>
      <w:r w:rsidRPr="00D0437A">
        <w:rPr>
          <w:rFonts w:ascii="Times New Roman" w:hAnsi="Times New Roman"/>
          <w:lang w:val="lv-LV"/>
        </w:rPr>
        <w:t xml:space="preserve"> cietum</w:t>
      </w:r>
      <w:r>
        <w:rPr>
          <w:rFonts w:ascii="Times New Roman" w:hAnsi="Times New Roman"/>
          <w:lang w:val="lv-LV"/>
        </w:rPr>
        <w:t xml:space="preserve">os </w:t>
      </w:r>
      <w:r w:rsidRPr="00D0437A">
        <w:rPr>
          <w:rFonts w:ascii="Times New Roman" w:hAnsi="Times New Roman"/>
          <w:lang w:val="lv-LV"/>
        </w:rPr>
        <w:t>citviet Latvijā un jābalstās uz pētījumiem un progresīva</w:t>
      </w:r>
      <w:r>
        <w:rPr>
          <w:rFonts w:ascii="Times New Roman" w:hAnsi="Times New Roman"/>
          <w:lang w:val="lv-LV"/>
        </w:rPr>
        <w:t>s</w:t>
      </w:r>
      <w:r w:rsidRPr="00D0437A">
        <w:rPr>
          <w:rFonts w:ascii="Times New Roman" w:hAnsi="Times New Roman"/>
          <w:lang w:val="lv-LV"/>
        </w:rPr>
        <w:t xml:space="preserve"> soda </w:t>
      </w:r>
      <w:r>
        <w:rPr>
          <w:rFonts w:ascii="Times New Roman" w:hAnsi="Times New Roman"/>
          <w:lang w:val="lv-LV"/>
        </w:rPr>
        <w:t xml:space="preserve">izpildes </w:t>
      </w:r>
      <w:r w:rsidRPr="00D0437A">
        <w:rPr>
          <w:rFonts w:ascii="Times New Roman" w:hAnsi="Times New Roman"/>
          <w:lang w:val="lv-LV"/>
        </w:rPr>
        <w:t>principiem.</w:t>
      </w:r>
    </w:p>
    <w:p w:rsidR="008823F0" w:rsidRPr="00D0437A" w:rsidRDefault="008823F0" w:rsidP="0076700D">
      <w:pPr>
        <w:pStyle w:val="Vresteksts"/>
        <w:rPr>
          <w:rFonts w:ascii="Times New Roman" w:hAnsi="Times New Roman"/>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2816"/>
      <w:docPartObj>
        <w:docPartGallery w:val="Page Numbers (Top of Page)"/>
        <w:docPartUnique/>
      </w:docPartObj>
    </w:sdtPr>
    <w:sdtEndPr>
      <w:rPr>
        <w:rFonts w:ascii="Times New Roman" w:hAnsi="Times New Roman"/>
        <w:sz w:val="24"/>
        <w:szCs w:val="24"/>
      </w:rPr>
    </w:sdtEndPr>
    <w:sdtContent>
      <w:p w:rsidR="00154129" w:rsidRPr="008823F0" w:rsidRDefault="00E76147">
        <w:pPr>
          <w:pStyle w:val="Galvene"/>
          <w:jc w:val="center"/>
          <w:rPr>
            <w:rFonts w:ascii="Times New Roman" w:hAnsi="Times New Roman"/>
            <w:sz w:val="24"/>
            <w:szCs w:val="24"/>
          </w:rPr>
        </w:pPr>
        <w:r w:rsidRPr="008823F0">
          <w:rPr>
            <w:rFonts w:ascii="Times New Roman" w:hAnsi="Times New Roman"/>
            <w:sz w:val="24"/>
            <w:szCs w:val="24"/>
          </w:rPr>
          <w:fldChar w:fldCharType="begin"/>
        </w:r>
        <w:r w:rsidRPr="008823F0">
          <w:rPr>
            <w:rFonts w:ascii="Times New Roman" w:hAnsi="Times New Roman"/>
            <w:sz w:val="24"/>
            <w:szCs w:val="24"/>
          </w:rPr>
          <w:instrText xml:space="preserve"> PAGE   \* MERGEFORMAT </w:instrText>
        </w:r>
        <w:r w:rsidRPr="008823F0">
          <w:rPr>
            <w:rFonts w:ascii="Times New Roman" w:hAnsi="Times New Roman"/>
            <w:sz w:val="24"/>
            <w:szCs w:val="24"/>
          </w:rPr>
          <w:fldChar w:fldCharType="separate"/>
        </w:r>
        <w:r w:rsidR="008823F0">
          <w:rPr>
            <w:rFonts w:ascii="Times New Roman" w:hAnsi="Times New Roman"/>
            <w:noProof/>
            <w:sz w:val="24"/>
            <w:szCs w:val="24"/>
          </w:rPr>
          <w:t>2</w:t>
        </w:r>
        <w:r w:rsidRPr="008823F0">
          <w:rPr>
            <w:rFonts w:ascii="Times New Roman" w:hAnsi="Times New Roman"/>
            <w:sz w:val="24"/>
            <w:szCs w:val="24"/>
          </w:rPr>
          <w:fldChar w:fldCharType="end"/>
        </w:r>
      </w:p>
    </w:sdtContent>
  </w:sdt>
  <w:p w:rsidR="0077051B" w:rsidRDefault="0077051B" w:rsidP="0077051B">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3384"/>
    <w:multiLevelType w:val="hybridMultilevel"/>
    <w:tmpl w:val="2F64898A"/>
    <w:lvl w:ilvl="0" w:tplc="0426000F">
      <w:start w:val="1"/>
      <w:numFmt w:val="decimal"/>
      <w:lvlText w:val="%1."/>
      <w:lvlJc w:val="left"/>
      <w:pPr>
        <w:ind w:left="936" w:hanging="360"/>
      </w:pPr>
      <w:rPr>
        <w:rFonts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1">
    <w:nsid w:val="454C375D"/>
    <w:multiLevelType w:val="hybridMultilevel"/>
    <w:tmpl w:val="4516AA7A"/>
    <w:lvl w:ilvl="0" w:tplc="0426000F">
      <w:start w:val="1"/>
      <w:numFmt w:val="decimal"/>
      <w:lvlText w:val="%1."/>
      <w:lvlJc w:val="left"/>
      <w:pPr>
        <w:ind w:left="936" w:hanging="360"/>
      </w:pPr>
      <w:rPr>
        <w:rFonts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7262"/>
    <w:rsid w:val="00075B35"/>
    <w:rsid w:val="000C4F69"/>
    <w:rsid w:val="00154129"/>
    <w:rsid w:val="0026758C"/>
    <w:rsid w:val="0027232B"/>
    <w:rsid w:val="002F5CEE"/>
    <w:rsid w:val="00352031"/>
    <w:rsid w:val="00491183"/>
    <w:rsid w:val="004C4F86"/>
    <w:rsid w:val="00670864"/>
    <w:rsid w:val="0076700D"/>
    <w:rsid w:val="0077051B"/>
    <w:rsid w:val="007F0666"/>
    <w:rsid w:val="008823F0"/>
    <w:rsid w:val="008A7262"/>
    <w:rsid w:val="009410E5"/>
    <w:rsid w:val="00B3547E"/>
    <w:rsid w:val="00BF6B19"/>
    <w:rsid w:val="00CC6FFB"/>
    <w:rsid w:val="00D25934"/>
    <w:rsid w:val="00DA5DDB"/>
    <w:rsid w:val="00E76147"/>
    <w:rsid w:val="00FB09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700D"/>
    <w:pPr>
      <w:spacing w:after="120" w:line="240" w:lineRule="auto"/>
    </w:pPr>
    <w:rPr>
      <w:rFonts w:ascii="Calibri" w:eastAsia="Times New Roman" w:hAnsi="Calibri" w:cs="Times New Roman"/>
      <w:lang w:val="nb-NO"/>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ais"/>
    <w:link w:val="VrestekstsRakstz"/>
    <w:rsid w:val="0076700D"/>
    <w:pPr>
      <w:spacing w:after="0"/>
    </w:pPr>
    <w:rPr>
      <w:sz w:val="20"/>
      <w:szCs w:val="20"/>
    </w:rPr>
  </w:style>
  <w:style w:type="character" w:customStyle="1" w:styleId="VrestekstsRakstz">
    <w:name w:val="Vēres teksts Rakstz."/>
    <w:basedOn w:val="Noklusjumarindkopasfonts"/>
    <w:link w:val="Vresteksts"/>
    <w:rsid w:val="0076700D"/>
    <w:rPr>
      <w:rFonts w:ascii="Calibri" w:eastAsia="Times New Roman" w:hAnsi="Calibri" w:cs="Times New Roman"/>
      <w:sz w:val="20"/>
      <w:szCs w:val="20"/>
      <w:lang w:val="nb-NO"/>
    </w:rPr>
  </w:style>
  <w:style w:type="character" w:styleId="Vresatsauce">
    <w:name w:val="footnote reference"/>
    <w:basedOn w:val="Noklusjumarindkopasfonts"/>
    <w:rsid w:val="0076700D"/>
    <w:rPr>
      <w:vertAlign w:val="superscript"/>
    </w:rPr>
  </w:style>
  <w:style w:type="paragraph" w:styleId="Galvene">
    <w:name w:val="header"/>
    <w:basedOn w:val="Parastais"/>
    <w:link w:val="GalveneRakstz"/>
    <w:uiPriority w:val="99"/>
    <w:unhideWhenUsed/>
    <w:rsid w:val="0077051B"/>
    <w:pPr>
      <w:tabs>
        <w:tab w:val="center" w:pos="4153"/>
        <w:tab w:val="right" w:pos="8306"/>
      </w:tabs>
      <w:spacing w:after="0"/>
    </w:pPr>
  </w:style>
  <w:style w:type="character" w:customStyle="1" w:styleId="GalveneRakstz">
    <w:name w:val="Galvene Rakstz."/>
    <w:basedOn w:val="Noklusjumarindkopasfonts"/>
    <w:link w:val="Galvene"/>
    <w:uiPriority w:val="99"/>
    <w:rsid w:val="0077051B"/>
    <w:rPr>
      <w:rFonts w:ascii="Calibri" w:eastAsia="Times New Roman" w:hAnsi="Calibri" w:cs="Times New Roman"/>
      <w:lang w:val="nb-NO"/>
    </w:rPr>
  </w:style>
  <w:style w:type="paragraph" w:styleId="Kjene">
    <w:name w:val="footer"/>
    <w:basedOn w:val="Parastais"/>
    <w:link w:val="KjeneRakstz"/>
    <w:uiPriority w:val="99"/>
    <w:unhideWhenUsed/>
    <w:rsid w:val="0077051B"/>
    <w:pPr>
      <w:tabs>
        <w:tab w:val="center" w:pos="4153"/>
        <w:tab w:val="right" w:pos="8306"/>
      </w:tabs>
      <w:spacing w:after="0"/>
    </w:pPr>
  </w:style>
  <w:style w:type="character" w:customStyle="1" w:styleId="KjeneRakstz">
    <w:name w:val="Kājene Rakstz."/>
    <w:basedOn w:val="Noklusjumarindkopasfonts"/>
    <w:link w:val="Kjene"/>
    <w:uiPriority w:val="99"/>
    <w:rsid w:val="0077051B"/>
    <w:rPr>
      <w:rFonts w:ascii="Calibri" w:eastAsia="Times New Roman" w:hAnsi="Calibri" w:cs="Times New Roman"/>
      <w:lang w:val="nb-NO"/>
    </w:rPr>
  </w:style>
  <w:style w:type="character" w:styleId="Hipersaite">
    <w:name w:val="Hyperlink"/>
    <w:basedOn w:val="Noklusjumarindkopasfonts"/>
    <w:rsid w:val="0077051B"/>
    <w:rPr>
      <w:color w:val="0000FF"/>
      <w:u w:val="single"/>
    </w:rPr>
  </w:style>
  <w:style w:type="paragraph" w:styleId="Balonteksts">
    <w:name w:val="Balloon Text"/>
    <w:basedOn w:val="Parastais"/>
    <w:link w:val="BalontekstsRakstz"/>
    <w:uiPriority w:val="99"/>
    <w:semiHidden/>
    <w:unhideWhenUsed/>
    <w:rsid w:val="008823F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23F0"/>
    <w:rPr>
      <w:rFonts w:ascii="Tahoma" w:eastAsia="Times New Roman" w:hAnsi="Tahoma" w:cs="Tahoma"/>
      <w:sz w:val="16"/>
      <w:szCs w:val="16"/>
      <w:lang w:val="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remese@t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36CC9"/>
    <w:rsid w:val="00736CC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24D1EE26F3F442119A3812FC8CDB11F7">
    <w:name w:val="24D1EE26F3F442119A3812FC8CDB11F7"/>
    <w:rsid w:val="00736C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7EDFB-6039-4884-BADA-931E392D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2758</Words>
  <Characters>1573</Characters>
  <Application>Microsoft Office Word</Application>
  <DocSecurity>0</DocSecurity>
  <Lines>13</Lines>
  <Paragraphs>8</Paragraphs>
  <ScaleCrop>false</ScaleCrop>
  <Company>Tieslietu Ministrija</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līdzfinansētās programmas „Latvijas korekcijas dienestu un Valsts policijas īslaicīgās aizturēšanas vietu reforma” iesnieguma projekta kopsavilkums</dc:title>
  <dc:subject>Kopsavilkums</dc:subject>
  <dc:creator>Inta Remese</dc:creator>
  <dc:description>67036853; inta.remese@tm.gov.lv</dc:description>
  <cp:lastModifiedBy>Alise Lūse</cp:lastModifiedBy>
  <cp:revision>7</cp:revision>
  <cp:lastPrinted>2011-12-16T06:58:00Z</cp:lastPrinted>
  <dcterms:created xsi:type="dcterms:W3CDTF">2011-12-15T14:25:00Z</dcterms:created>
  <dcterms:modified xsi:type="dcterms:W3CDTF">2011-12-16T07:05:00Z</dcterms:modified>
</cp:coreProperties>
</file>