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AB" w:rsidRPr="00EC5EF7" w:rsidRDefault="004D796D" w:rsidP="00EC5EF7">
      <w:pPr>
        <w:pStyle w:val="Virsraksts1"/>
        <w:jc w:val="right"/>
        <w:rPr>
          <w:rFonts w:ascii="Times New Roman" w:hAnsi="Times New Roman" w:cs="Times New Roman"/>
          <w:b w:val="0"/>
          <w:color w:val="auto"/>
          <w:lang w:val="lv-LV"/>
        </w:rPr>
      </w:pPr>
      <w:r w:rsidRPr="00EC5EF7">
        <w:rPr>
          <w:rFonts w:ascii="Times New Roman" w:hAnsi="Times New Roman" w:cs="Times New Roman"/>
          <w:b w:val="0"/>
          <w:color w:val="auto"/>
          <w:lang w:val="lv-LV"/>
        </w:rPr>
        <w:t>Projekts</w:t>
      </w:r>
    </w:p>
    <w:p w:rsidR="004958AB" w:rsidRPr="005A52D5" w:rsidRDefault="004958AB" w:rsidP="004958AB">
      <w:pPr>
        <w:pStyle w:val="Galvene"/>
        <w:pBdr>
          <w:bottom w:val="single" w:sz="4" w:space="1" w:color="auto"/>
        </w:pBdr>
        <w:jc w:val="right"/>
        <w:rPr>
          <w:bCs/>
          <w:sz w:val="28"/>
          <w:szCs w:val="28"/>
          <w:lang w:val="lv-LV"/>
        </w:rPr>
      </w:pPr>
    </w:p>
    <w:p w:rsidR="004958AB" w:rsidRPr="005A52D5" w:rsidRDefault="004D796D" w:rsidP="004958AB">
      <w:pPr>
        <w:pStyle w:val="Galvene"/>
        <w:pBdr>
          <w:bottom w:val="single" w:sz="4" w:space="1" w:color="auto"/>
        </w:pBdr>
        <w:jc w:val="center"/>
        <w:outlineLvl w:val="0"/>
        <w:rPr>
          <w:bCs/>
          <w:sz w:val="28"/>
          <w:szCs w:val="28"/>
          <w:lang w:val="lv-LV"/>
        </w:rPr>
      </w:pPr>
      <w:r w:rsidRPr="005A52D5">
        <w:rPr>
          <w:bCs/>
          <w:sz w:val="28"/>
          <w:szCs w:val="28"/>
          <w:lang w:val="lv-LV"/>
        </w:rPr>
        <w:t>LATVIJAS REPUBLIKAS MINISTRU KABINETA</w:t>
      </w:r>
    </w:p>
    <w:p w:rsidR="004958AB" w:rsidRPr="005A52D5" w:rsidRDefault="004D796D" w:rsidP="004958AB">
      <w:pPr>
        <w:pStyle w:val="Galvene"/>
        <w:pBdr>
          <w:bottom w:val="single" w:sz="4" w:space="1" w:color="auto"/>
        </w:pBdr>
        <w:jc w:val="center"/>
        <w:outlineLvl w:val="0"/>
        <w:rPr>
          <w:bCs/>
          <w:sz w:val="28"/>
          <w:szCs w:val="28"/>
          <w:lang w:val="lv-LV"/>
        </w:rPr>
      </w:pPr>
      <w:r w:rsidRPr="005A52D5">
        <w:rPr>
          <w:bCs/>
          <w:sz w:val="28"/>
          <w:szCs w:val="28"/>
          <w:lang w:val="lv-LV"/>
        </w:rPr>
        <w:t>SĒDES PROTOKOLLĒMUMS</w:t>
      </w:r>
    </w:p>
    <w:p w:rsidR="004958AB" w:rsidRPr="005A52D5" w:rsidRDefault="004958AB" w:rsidP="004958AB">
      <w:pPr>
        <w:pStyle w:val="Galvene"/>
        <w:pBdr>
          <w:bottom w:val="single" w:sz="4" w:space="1" w:color="auto"/>
        </w:pBdr>
        <w:jc w:val="center"/>
        <w:outlineLvl w:val="0"/>
        <w:rPr>
          <w:sz w:val="28"/>
          <w:szCs w:val="28"/>
          <w:lang w:val="lv-LV"/>
        </w:rPr>
      </w:pPr>
    </w:p>
    <w:p w:rsidR="004958AB" w:rsidRPr="005A52D5" w:rsidRDefault="004958AB" w:rsidP="004958AB">
      <w:pPr>
        <w:tabs>
          <w:tab w:val="left" w:pos="6804"/>
        </w:tabs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077"/>
      </w:tblGrid>
      <w:tr w:rsidR="004958AB" w:rsidRPr="004958AB" w:rsidTr="00CB4777">
        <w:trPr>
          <w:cantSplit/>
        </w:trPr>
        <w:tc>
          <w:tcPr>
            <w:tcW w:w="3967" w:type="dxa"/>
            <w:hideMark/>
          </w:tcPr>
          <w:p w:rsidR="004958AB" w:rsidRPr="005A52D5" w:rsidRDefault="004D796D" w:rsidP="00CB4777">
            <w:pPr>
              <w:spacing w:line="276" w:lineRule="auto"/>
              <w:rPr>
                <w:sz w:val="28"/>
                <w:szCs w:val="28"/>
                <w:lang w:val="lv-LV"/>
              </w:rPr>
            </w:pPr>
            <w:r w:rsidRPr="005A52D5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4958AB" w:rsidRPr="005A52D5" w:rsidRDefault="004D796D" w:rsidP="00CB4777">
            <w:pPr>
              <w:spacing w:line="276" w:lineRule="auto"/>
              <w:rPr>
                <w:sz w:val="28"/>
                <w:szCs w:val="28"/>
                <w:lang w:val="lv-LV"/>
              </w:rPr>
            </w:pPr>
            <w:r w:rsidRPr="005A52D5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077" w:type="dxa"/>
            <w:hideMark/>
          </w:tcPr>
          <w:p w:rsidR="004958AB" w:rsidRPr="005A52D5" w:rsidRDefault="004D796D" w:rsidP="00553276">
            <w:pPr>
              <w:spacing w:line="276" w:lineRule="auto"/>
              <w:jc w:val="right"/>
              <w:rPr>
                <w:sz w:val="28"/>
                <w:szCs w:val="28"/>
                <w:lang w:val="lv-LV"/>
              </w:rPr>
            </w:pPr>
            <w:r w:rsidRPr="005A52D5">
              <w:rPr>
                <w:sz w:val="28"/>
                <w:szCs w:val="28"/>
                <w:lang w:val="lv-LV"/>
              </w:rPr>
              <w:t xml:space="preserve">  </w:t>
            </w:r>
            <w:r w:rsidR="00553276" w:rsidRPr="005A52D5">
              <w:rPr>
                <w:sz w:val="28"/>
                <w:szCs w:val="28"/>
                <w:lang w:val="lv-LV"/>
              </w:rPr>
              <w:t>201</w:t>
            </w:r>
            <w:r w:rsidR="00553276">
              <w:rPr>
                <w:sz w:val="28"/>
                <w:szCs w:val="28"/>
                <w:lang w:val="lv-LV"/>
              </w:rPr>
              <w:t>3</w:t>
            </w:r>
            <w:r w:rsidRPr="005A52D5">
              <w:rPr>
                <w:sz w:val="28"/>
                <w:szCs w:val="28"/>
                <w:lang w:val="lv-LV"/>
              </w:rPr>
              <w:t>. gada   .________</w:t>
            </w:r>
          </w:p>
        </w:tc>
      </w:tr>
    </w:tbl>
    <w:p w:rsidR="004958AB" w:rsidRPr="005A52D5" w:rsidRDefault="004958AB" w:rsidP="004958AB">
      <w:pPr>
        <w:jc w:val="center"/>
        <w:rPr>
          <w:sz w:val="28"/>
          <w:szCs w:val="28"/>
          <w:lang w:val="lv-LV"/>
        </w:rPr>
      </w:pPr>
    </w:p>
    <w:p w:rsidR="004958AB" w:rsidRPr="005A52D5" w:rsidRDefault="004D796D" w:rsidP="004958AB">
      <w:pPr>
        <w:jc w:val="center"/>
        <w:rPr>
          <w:sz w:val="28"/>
          <w:szCs w:val="28"/>
          <w:lang w:val="lv-LV"/>
        </w:rPr>
      </w:pPr>
      <w:r w:rsidRPr="005A52D5">
        <w:rPr>
          <w:sz w:val="28"/>
          <w:szCs w:val="28"/>
          <w:lang w:val="lv-LV"/>
        </w:rPr>
        <w:t>.§</w:t>
      </w:r>
      <w:bookmarkStart w:id="0" w:name="_GoBack"/>
      <w:bookmarkEnd w:id="0"/>
    </w:p>
    <w:p w:rsidR="0038657A" w:rsidRPr="007B6BCF" w:rsidRDefault="0038657A" w:rsidP="0038657A">
      <w:pPr>
        <w:rPr>
          <w:sz w:val="28"/>
          <w:lang w:val="lv-LV"/>
        </w:rPr>
      </w:pPr>
    </w:p>
    <w:p w:rsidR="0038657A" w:rsidRPr="007B6BCF" w:rsidRDefault="00750619" w:rsidP="0038657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</w:t>
      </w:r>
      <w:r w:rsidR="0038657A" w:rsidRPr="007B6BCF">
        <w:rPr>
          <w:b/>
          <w:sz w:val="28"/>
          <w:szCs w:val="28"/>
          <w:lang w:val="lv-LV"/>
        </w:rPr>
        <w:t xml:space="preserve"> Ministru kabineta 20</w:t>
      </w:r>
      <w:r w:rsidR="008149D8">
        <w:rPr>
          <w:b/>
          <w:sz w:val="28"/>
          <w:szCs w:val="28"/>
          <w:lang w:val="lv-LV"/>
        </w:rPr>
        <w:t>12</w:t>
      </w:r>
      <w:r w:rsidR="0038657A" w:rsidRPr="007B6BCF">
        <w:rPr>
          <w:b/>
          <w:sz w:val="28"/>
          <w:szCs w:val="28"/>
          <w:lang w:val="lv-LV"/>
        </w:rPr>
        <w:t xml:space="preserve">. gada </w:t>
      </w:r>
      <w:r w:rsidR="008149D8">
        <w:rPr>
          <w:b/>
          <w:sz w:val="28"/>
          <w:szCs w:val="28"/>
          <w:lang w:val="lv-LV"/>
        </w:rPr>
        <w:t>20</w:t>
      </w:r>
      <w:r w:rsidR="0038657A">
        <w:rPr>
          <w:b/>
          <w:sz w:val="28"/>
          <w:szCs w:val="28"/>
          <w:lang w:val="lv-LV"/>
        </w:rPr>
        <w:t>. </w:t>
      </w:r>
      <w:r w:rsidR="008149D8">
        <w:rPr>
          <w:b/>
          <w:sz w:val="28"/>
          <w:szCs w:val="28"/>
          <w:lang w:val="lv-LV"/>
        </w:rPr>
        <w:t>marta</w:t>
      </w:r>
      <w:r w:rsidR="0038657A" w:rsidRPr="007B6BCF">
        <w:rPr>
          <w:b/>
          <w:sz w:val="28"/>
          <w:szCs w:val="28"/>
          <w:lang w:val="lv-LV"/>
        </w:rPr>
        <w:t xml:space="preserve"> </w:t>
      </w:r>
      <w:proofErr w:type="spellStart"/>
      <w:r w:rsidR="008149D8">
        <w:rPr>
          <w:b/>
          <w:sz w:val="28"/>
          <w:szCs w:val="28"/>
          <w:lang w:val="lv-LV"/>
        </w:rPr>
        <w:t>protokol</w:t>
      </w:r>
      <w:r w:rsidR="00B6017A">
        <w:rPr>
          <w:b/>
          <w:sz w:val="28"/>
          <w:szCs w:val="28"/>
          <w:lang w:val="lv-LV"/>
        </w:rPr>
        <w:t>lēmuma</w:t>
      </w:r>
      <w:proofErr w:type="spellEnd"/>
      <w:r w:rsidR="0038657A">
        <w:rPr>
          <w:b/>
          <w:sz w:val="28"/>
          <w:szCs w:val="28"/>
          <w:lang w:val="lv-LV"/>
        </w:rPr>
        <w:t xml:space="preserve"> </w:t>
      </w:r>
      <w:r w:rsidR="00491277">
        <w:rPr>
          <w:b/>
          <w:sz w:val="28"/>
          <w:szCs w:val="28"/>
          <w:lang w:val="lv-LV"/>
        </w:rPr>
        <w:t>(</w:t>
      </w:r>
      <w:proofErr w:type="spellStart"/>
      <w:r w:rsidR="00491277">
        <w:rPr>
          <w:b/>
          <w:sz w:val="28"/>
          <w:szCs w:val="28"/>
          <w:lang w:val="lv-LV"/>
        </w:rPr>
        <w:t>prot</w:t>
      </w:r>
      <w:proofErr w:type="spellEnd"/>
      <w:r w:rsidR="00491277">
        <w:rPr>
          <w:b/>
          <w:sz w:val="28"/>
          <w:szCs w:val="28"/>
          <w:lang w:val="lv-LV"/>
        </w:rPr>
        <w:t xml:space="preserve">. </w:t>
      </w:r>
      <w:r w:rsidR="0038657A">
        <w:rPr>
          <w:b/>
          <w:sz w:val="28"/>
          <w:szCs w:val="28"/>
          <w:lang w:val="lv-LV"/>
        </w:rPr>
        <w:t>Nr.</w:t>
      </w:r>
      <w:r w:rsidR="008149D8">
        <w:rPr>
          <w:b/>
          <w:sz w:val="28"/>
          <w:szCs w:val="28"/>
          <w:lang w:val="lv-LV"/>
        </w:rPr>
        <w:t>16 30.§</w:t>
      </w:r>
      <w:r w:rsidR="00491277">
        <w:rPr>
          <w:b/>
          <w:sz w:val="28"/>
          <w:szCs w:val="28"/>
          <w:lang w:val="lv-LV"/>
        </w:rPr>
        <w:t>)</w:t>
      </w:r>
      <w:r w:rsidR="008149D8">
        <w:rPr>
          <w:b/>
          <w:sz w:val="28"/>
          <w:szCs w:val="28"/>
          <w:lang w:val="lv-LV"/>
        </w:rPr>
        <w:t xml:space="preserve"> </w:t>
      </w:r>
      <w:r w:rsidR="008149D8" w:rsidRPr="007B6BCF">
        <w:rPr>
          <w:b/>
          <w:sz w:val="28"/>
          <w:szCs w:val="28"/>
          <w:lang w:val="lv-LV"/>
        </w:rPr>
        <w:t>„</w:t>
      </w:r>
      <w:r w:rsidR="008149D8">
        <w:rPr>
          <w:b/>
          <w:sz w:val="28"/>
          <w:szCs w:val="28"/>
          <w:lang w:val="lv-LV"/>
        </w:rPr>
        <w:t xml:space="preserve">Informatīvais ziņojums „Par pasākumiem ar dzīvokļa īpašuma lietošanu saistīto parādu problēmas risināšanai </w:t>
      </w:r>
      <w:r w:rsidR="008149D8" w:rsidRPr="007B6BCF">
        <w:rPr>
          <w:b/>
          <w:sz w:val="28"/>
          <w:szCs w:val="28"/>
          <w:lang w:val="lv-LV"/>
        </w:rPr>
        <w:t>”</w:t>
      </w:r>
      <w:r w:rsidR="004958AB">
        <w:rPr>
          <w:b/>
          <w:sz w:val="28"/>
          <w:szCs w:val="28"/>
          <w:lang w:val="lv-LV"/>
        </w:rPr>
        <w:t>”</w:t>
      </w:r>
      <w:r w:rsidR="008149D8">
        <w:rPr>
          <w:b/>
          <w:sz w:val="28"/>
          <w:szCs w:val="28"/>
          <w:lang w:val="lv-LV"/>
        </w:rPr>
        <w:t xml:space="preserve"> 3.2. apakšpunkt</w:t>
      </w:r>
      <w:r>
        <w:rPr>
          <w:b/>
          <w:sz w:val="28"/>
          <w:szCs w:val="28"/>
          <w:lang w:val="lv-LV"/>
        </w:rPr>
        <w:t>ā dotā uzdevuma atzīšanu par aktualitāti zaudējušu</w:t>
      </w:r>
      <w:r w:rsidR="0038657A" w:rsidRPr="007B6BCF">
        <w:rPr>
          <w:b/>
          <w:sz w:val="28"/>
          <w:szCs w:val="28"/>
          <w:lang w:val="lv-LV"/>
        </w:rPr>
        <w:t xml:space="preserve"> </w:t>
      </w:r>
    </w:p>
    <w:p w:rsidR="0038657A" w:rsidRPr="007B6BCF" w:rsidRDefault="0038657A" w:rsidP="0038657A">
      <w:pPr>
        <w:jc w:val="center"/>
        <w:rPr>
          <w:sz w:val="28"/>
          <w:lang w:val="lv-LV"/>
        </w:rPr>
      </w:pPr>
    </w:p>
    <w:p w:rsidR="0038657A" w:rsidRPr="007B6BCF" w:rsidRDefault="0038657A" w:rsidP="0038657A">
      <w:pPr>
        <w:pStyle w:val="naisla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8657A" w:rsidRDefault="00B6017A" w:rsidP="0038657A">
      <w:pPr>
        <w:pStyle w:val="naisl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Ņemot vērā iesniegto informāciju, atzīt </w:t>
      </w:r>
      <w:r w:rsidR="008149D8" w:rsidRPr="008149D8">
        <w:rPr>
          <w:sz w:val="28"/>
          <w:szCs w:val="28"/>
        </w:rPr>
        <w:t>Ministru kabineta 2012. gada 20.</w:t>
      </w:r>
      <w:r>
        <w:rPr>
          <w:sz w:val="28"/>
          <w:szCs w:val="28"/>
        </w:rPr>
        <w:t> </w:t>
      </w:r>
      <w:r w:rsidR="008149D8" w:rsidRPr="008149D8">
        <w:rPr>
          <w:sz w:val="28"/>
          <w:szCs w:val="28"/>
        </w:rPr>
        <w:t xml:space="preserve">marta </w:t>
      </w:r>
      <w:proofErr w:type="spellStart"/>
      <w:r w:rsidR="008149D8" w:rsidRPr="008149D8">
        <w:rPr>
          <w:sz w:val="28"/>
          <w:szCs w:val="28"/>
        </w:rPr>
        <w:t>protokol</w:t>
      </w:r>
      <w:r>
        <w:rPr>
          <w:sz w:val="28"/>
          <w:szCs w:val="28"/>
        </w:rPr>
        <w:t>lēmuma</w:t>
      </w:r>
      <w:proofErr w:type="spellEnd"/>
      <w:r w:rsidR="008149D8" w:rsidRPr="008149D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 xml:space="preserve">. </w:t>
      </w:r>
      <w:r w:rsidR="008149D8" w:rsidRPr="008149D8">
        <w:rPr>
          <w:sz w:val="28"/>
          <w:szCs w:val="28"/>
        </w:rPr>
        <w:t>Nr.16 30.§</w:t>
      </w:r>
      <w:r>
        <w:rPr>
          <w:sz w:val="28"/>
          <w:szCs w:val="28"/>
        </w:rPr>
        <w:t>)</w:t>
      </w:r>
      <w:r w:rsidR="008149D8" w:rsidRPr="008149D8">
        <w:rPr>
          <w:sz w:val="28"/>
          <w:szCs w:val="28"/>
        </w:rPr>
        <w:t xml:space="preserve"> „Informatīvais ziņojums „Par pasākumiem ar dzīvokļa īpašuma lietošanu saistīto parādu problēmas risināšanai”</w:t>
      </w:r>
      <w:r w:rsidR="000D1D6F">
        <w:rPr>
          <w:sz w:val="28"/>
          <w:szCs w:val="28"/>
        </w:rPr>
        <w:t>”</w:t>
      </w:r>
      <w:r w:rsidR="008149D8" w:rsidRPr="008149D8">
        <w:rPr>
          <w:sz w:val="28"/>
          <w:szCs w:val="28"/>
        </w:rPr>
        <w:t xml:space="preserve"> 3.2. apakšpunkt</w:t>
      </w:r>
      <w:r>
        <w:rPr>
          <w:sz w:val="28"/>
          <w:szCs w:val="28"/>
        </w:rPr>
        <w:t>ā doto uzdevumu par</w:t>
      </w:r>
      <w:r w:rsidR="008149D8">
        <w:rPr>
          <w:sz w:val="28"/>
          <w:szCs w:val="28"/>
        </w:rPr>
        <w:t xml:space="preserve"> aktualitāti zaudējušu</w:t>
      </w:r>
      <w:r w:rsidR="0038657A">
        <w:rPr>
          <w:sz w:val="28"/>
          <w:szCs w:val="28"/>
        </w:rPr>
        <w:t>.</w:t>
      </w:r>
    </w:p>
    <w:p w:rsidR="00750619" w:rsidRDefault="00750619" w:rsidP="0038657A">
      <w:pPr>
        <w:pStyle w:val="naisla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50619" w:rsidRDefault="00750619" w:rsidP="00750619">
      <w:pPr>
        <w:pStyle w:val="naisla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8657A" w:rsidRPr="006013D4" w:rsidRDefault="0038657A" w:rsidP="0038657A">
      <w:pPr>
        <w:pStyle w:val="naisla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8657A" w:rsidRDefault="0038657A" w:rsidP="007F37AD">
      <w:pPr>
        <w:ind w:firstLine="720"/>
        <w:rPr>
          <w:sz w:val="28"/>
          <w:szCs w:val="28"/>
          <w:lang w:val="lv-LV"/>
        </w:rPr>
      </w:pPr>
      <w:r w:rsidRPr="006013D4">
        <w:rPr>
          <w:sz w:val="28"/>
          <w:szCs w:val="28"/>
          <w:lang w:val="lv-LV"/>
        </w:rPr>
        <w:t xml:space="preserve">Ministru prezidents </w:t>
      </w:r>
      <w:r w:rsidRPr="006013D4">
        <w:rPr>
          <w:sz w:val="28"/>
          <w:szCs w:val="28"/>
          <w:lang w:val="lv-LV"/>
        </w:rPr>
        <w:tab/>
      </w:r>
      <w:r w:rsidRPr="006013D4">
        <w:rPr>
          <w:sz w:val="28"/>
          <w:szCs w:val="28"/>
          <w:lang w:val="lv-LV"/>
        </w:rPr>
        <w:tab/>
      </w:r>
      <w:r w:rsidRPr="006013D4">
        <w:rPr>
          <w:sz w:val="28"/>
          <w:szCs w:val="28"/>
          <w:lang w:val="lv-LV"/>
        </w:rPr>
        <w:tab/>
      </w:r>
      <w:r w:rsidRPr="006013D4">
        <w:rPr>
          <w:sz w:val="28"/>
          <w:szCs w:val="28"/>
          <w:lang w:val="lv-LV"/>
        </w:rPr>
        <w:tab/>
      </w:r>
      <w:r w:rsidRPr="006013D4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V.</w:t>
      </w:r>
      <w:r w:rsidRPr="006013D4">
        <w:rPr>
          <w:sz w:val="28"/>
          <w:szCs w:val="28"/>
          <w:lang w:val="lv-LV"/>
        </w:rPr>
        <w:t>Dombrovskis</w:t>
      </w:r>
      <w:proofErr w:type="spellEnd"/>
    </w:p>
    <w:p w:rsidR="004958AB" w:rsidRDefault="004958AB" w:rsidP="007F37AD">
      <w:pPr>
        <w:ind w:firstLine="720"/>
        <w:rPr>
          <w:sz w:val="28"/>
          <w:szCs w:val="28"/>
          <w:lang w:val="lv-LV"/>
        </w:rPr>
      </w:pPr>
    </w:p>
    <w:p w:rsidR="004958AB" w:rsidRPr="006013D4" w:rsidRDefault="004958AB" w:rsidP="007F37AD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E.Dreimane</w:t>
      </w:r>
    </w:p>
    <w:p w:rsidR="0038657A" w:rsidRPr="006013D4" w:rsidRDefault="0038657A" w:rsidP="007F37AD">
      <w:pPr>
        <w:ind w:firstLine="720"/>
        <w:rPr>
          <w:sz w:val="28"/>
          <w:szCs w:val="28"/>
          <w:lang w:val="lv-LV"/>
        </w:rPr>
      </w:pPr>
    </w:p>
    <w:p w:rsidR="0038657A" w:rsidRDefault="0038657A" w:rsidP="007F37AD">
      <w:pPr>
        <w:pStyle w:val="naisf"/>
        <w:spacing w:before="0" w:after="0"/>
        <w:ind w:firstLine="720"/>
        <w:rPr>
          <w:sz w:val="28"/>
          <w:szCs w:val="28"/>
        </w:rPr>
      </w:pPr>
      <w:r w:rsidRPr="006013D4">
        <w:rPr>
          <w:sz w:val="28"/>
          <w:szCs w:val="28"/>
        </w:rPr>
        <w:t>Tieslietu ministrs</w:t>
      </w:r>
      <w:r w:rsidRPr="006013D4">
        <w:rPr>
          <w:sz w:val="28"/>
          <w:szCs w:val="28"/>
        </w:rPr>
        <w:tab/>
      </w:r>
      <w:r w:rsidRPr="006013D4">
        <w:rPr>
          <w:sz w:val="28"/>
          <w:szCs w:val="28"/>
        </w:rPr>
        <w:tab/>
      </w:r>
      <w:r w:rsidRPr="006013D4">
        <w:rPr>
          <w:sz w:val="28"/>
          <w:szCs w:val="28"/>
        </w:rPr>
        <w:tab/>
      </w:r>
      <w:r w:rsidRPr="006013D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57CCF">
        <w:rPr>
          <w:sz w:val="28"/>
          <w:szCs w:val="28"/>
        </w:rPr>
        <w:t>J.Bordāns</w:t>
      </w:r>
      <w:proofErr w:type="spellEnd"/>
    </w:p>
    <w:p w:rsidR="0038657A" w:rsidRPr="006013D4" w:rsidRDefault="0038657A" w:rsidP="0038657A">
      <w:pPr>
        <w:rPr>
          <w:sz w:val="28"/>
          <w:szCs w:val="28"/>
          <w:lang w:val="de-DE"/>
        </w:rPr>
      </w:pPr>
    </w:p>
    <w:p w:rsidR="0038657A" w:rsidRDefault="0038657A" w:rsidP="0038657A">
      <w:pPr>
        <w:rPr>
          <w:lang w:val="lv-LV"/>
        </w:rPr>
      </w:pPr>
    </w:p>
    <w:p w:rsidR="00027179" w:rsidRDefault="00514200" w:rsidP="0038657A">
      <w:pPr>
        <w:jc w:val="both"/>
        <w:rPr>
          <w:sz w:val="20"/>
          <w:lang w:val="lv-LV"/>
        </w:rPr>
      </w:pPr>
      <w:r>
        <w:rPr>
          <w:sz w:val="20"/>
          <w:lang w:val="en-US"/>
        </w:rPr>
        <w:t>04</w:t>
      </w:r>
      <w:r w:rsidR="008149D8">
        <w:rPr>
          <w:sz w:val="20"/>
          <w:lang w:val="en-US"/>
        </w:rPr>
        <w:t>.</w:t>
      </w:r>
      <w:r>
        <w:rPr>
          <w:sz w:val="20"/>
          <w:lang w:val="en-US"/>
        </w:rPr>
        <w:t>07</w:t>
      </w:r>
      <w:r w:rsidR="00027179" w:rsidRPr="007F37AD">
        <w:rPr>
          <w:sz w:val="20"/>
          <w:lang w:val="en-US"/>
        </w:rPr>
        <w:t>.</w:t>
      </w:r>
      <w:r w:rsidRPr="007F37AD">
        <w:rPr>
          <w:sz w:val="20"/>
          <w:lang w:val="en-US"/>
        </w:rPr>
        <w:t>201</w:t>
      </w:r>
      <w:r>
        <w:rPr>
          <w:sz w:val="20"/>
          <w:lang w:val="en-US"/>
        </w:rPr>
        <w:t>3.</w:t>
      </w:r>
      <w:r w:rsidRPr="007F37AD">
        <w:rPr>
          <w:sz w:val="20"/>
          <w:lang w:val="en-US"/>
        </w:rPr>
        <w:t xml:space="preserve"> </w:t>
      </w:r>
      <w:r>
        <w:rPr>
          <w:sz w:val="20"/>
          <w:lang w:val="en-US"/>
        </w:rPr>
        <w:t>9:18</w:t>
      </w:r>
    </w:p>
    <w:p w:rsidR="0038657A" w:rsidRPr="00A838AA" w:rsidRDefault="0012209B" w:rsidP="0038657A">
      <w:pPr>
        <w:jc w:val="both"/>
        <w:rPr>
          <w:sz w:val="20"/>
        </w:rPr>
      </w:pPr>
      <w:r>
        <w:rPr>
          <w:sz w:val="20"/>
        </w:rPr>
        <w:t>9</w:t>
      </w:r>
      <w:r w:rsidR="004958AB">
        <w:rPr>
          <w:sz w:val="20"/>
        </w:rPr>
        <w:t>5</w:t>
      </w:r>
    </w:p>
    <w:p w:rsidR="0038657A" w:rsidRPr="00CB7FD1" w:rsidRDefault="00514200" w:rsidP="0038657A">
      <w:pPr>
        <w:tabs>
          <w:tab w:val="center" w:pos="4394"/>
        </w:tabs>
        <w:ind w:right="-483"/>
        <w:rPr>
          <w:sz w:val="20"/>
        </w:rPr>
      </w:pPr>
      <w:proofErr w:type="spellStart"/>
      <w:r>
        <w:rPr>
          <w:sz w:val="20"/>
        </w:rPr>
        <w:t>Rāgs</w:t>
      </w:r>
      <w:proofErr w:type="spellEnd"/>
      <w:r w:rsidR="0038657A" w:rsidRPr="00CB7FD1">
        <w:rPr>
          <w:sz w:val="20"/>
        </w:rPr>
        <w:tab/>
      </w:r>
    </w:p>
    <w:p w:rsidR="0038657A" w:rsidRPr="00CB7FD1" w:rsidRDefault="00514200" w:rsidP="0038657A">
      <w:pPr>
        <w:tabs>
          <w:tab w:val="left" w:pos="7560"/>
        </w:tabs>
        <w:ind w:right="-483"/>
        <w:rPr>
          <w:sz w:val="20"/>
        </w:rPr>
      </w:pPr>
      <w:r>
        <w:rPr>
          <w:sz w:val="20"/>
        </w:rPr>
        <w:t>67036974</w:t>
      </w:r>
      <w:r w:rsidR="0038657A" w:rsidRPr="00CB7FD1">
        <w:rPr>
          <w:sz w:val="20"/>
        </w:rPr>
        <w:t xml:space="preserve">, </w:t>
      </w:r>
      <w:hyperlink r:id="rId7" w:history="1">
        <w:r>
          <w:rPr>
            <w:rStyle w:val="Hipersaite"/>
            <w:sz w:val="20"/>
          </w:rPr>
          <w:t>sandris.rags@tm.gov.lv</w:t>
        </w:r>
      </w:hyperlink>
    </w:p>
    <w:p w:rsidR="0038657A" w:rsidRDefault="0038657A" w:rsidP="0038657A"/>
    <w:p w:rsidR="0038657A" w:rsidRPr="00B76F82" w:rsidRDefault="0038657A" w:rsidP="0038657A">
      <w:pPr>
        <w:rPr>
          <w:lang w:val="lv-LV"/>
        </w:rPr>
      </w:pPr>
    </w:p>
    <w:p w:rsidR="0038657A" w:rsidRPr="00B76F82" w:rsidRDefault="0038657A" w:rsidP="0038657A">
      <w:pPr>
        <w:tabs>
          <w:tab w:val="left" w:pos="1305"/>
        </w:tabs>
        <w:rPr>
          <w:lang w:val="lv-LV"/>
        </w:rPr>
      </w:pPr>
    </w:p>
    <w:p w:rsidR="0038657A" w:rsidRPr="006013D4" w:rsidRDefault="0038657A" w:rsidP="0038657A">
      <w:pPr>
        <w:rPr>
          <w:lang w:val="lv-LV"/>
        </w:rPr>
      </w:pPr>
    </w:p>
    <w:p w:rsidR="00641C5E" w:rsidRPr="0038657A" w:rsidRDefault="00641C5E">
      <w:pPr>
        <w:rPr>
          <w:lang w:val="lv-LV"/>
        </w:rPr>
      </w:pPr>
    </w:p>
    <w:sectPr w:rsidR="00641C5E" w:rsidRPr="0038657A" w:rsidSect="00616972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EF" w:rsidRDefault="00A34DEF" w:rsidP="0038657A">
      <w:r>
        <w:separator/>
      </w:r>
    </w:p>
  </w:endnote>
  <w:endnote w:type="continuationSeparator" w:id="0">
    <w:p w:rsidR="00A34DEF" w:rsidRDefault="00A34DEF" w:rsidP="0038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F7" w:rsidRPr="008149D8" w:rsidRDefault="000A15F7" w:rsidP="007F37AD">
    <w:pPr>
      <w:pStyle w:val="Kjene"/>
      <w:jc w:val="both"/>
      <w:rPr>
        <w:lang w:val="lv-LV"/>
      </w:rPr>
    </w:pPr>
    <w:r>
      <w:rPr>
        <w:sz w:val="20"/>
        <w:szCs w:val="20"/>
        <w:lang w:val="lv-LV"/>
      </w:rPr>
      <w:t>TMprot_</w:t>
    </w:r>
    <w:r w:rsidR="00514200">
      <w:rPr>
        <w:sz w:val="20"/>
        <w:szCs w:val="20"/>
        <w:lang w:val="lv-LV"/>
      </w:rPr>
      <w:t>040713</w:t>
    </w:r>
    <w:r w:rsidRPr="006013D4">
      <w:rPr>
        <w:sz w:val="20"/>
        <w:szCs w:val="20"/>
        <w:lang w:val="lv-LV"/>
      </w:rPr>
      <w:t>_</w:t>
    </w:r>
    <w:r w:rsidR="00514200">
      <w:rPr>
        <w:sz w:val="20"/>
        <w:szCs w:val="20"/>
        <w:lang w:val="lv-LV"/>
      </w:rPr>
      <w:t>TA-2720</w:t>
    </w:r>
    <w:r w:rsidRPr="006013D4">
      <w:rPr>
        <w:sz w:val="20"/>
        <w:szCs w:val="20"/>
        <w:lang w:val="lv-LV"/>
      </w:rPr>
      <w:t xml:space="preserve">; </w:t>
    </w:r>
    <w:r w:rsidR="004958AB">
      <w:rPr>
        <w:sz w:val="20"/>
        <w:szCs w:val="20"/>
        <w:lang w:val="lv-LV"/>
      </w:rPr>
      <w:t xml:space="preserve">Ministru kabineta </w:t>
    </w:r>
    <w:proofErr w:type="spellStart"/>
    <w:r w:rsidR="004958AB">
      <w:rPr>
        <w:sz w:val="20"/>
        <w:szCs w:val="20"/>
        <w:lang w:val="lv-LV"/>
      </w:rPr>
      <w:t>protokollēmuma</w:t>
    </w:r>
    <w:proofErr w:type="spellEnd"/>
    <w:r w:rsidR="004958AB">
      <w:rPr>
        <w:sz w:val="20"/>
        <w:szCs w:val="20"/>
        <w:lang w:val="lv-LV"/>
      </w:rPr>
      <w:t xml:space="preserve"> projekts „</w:t>
    </w:r>
    <w:r w:rsidR="00EF5461" w:rsidRPr="00EF5461">
      <w:rPr>
        <w:sz w:val="20"/>
        <w:szCs w:val="20"/>
        <w:lang w:val="lv-LV"/>
      </w:rPr>
      <w:t xml:space="preserve">Par Ministru kabineta 2012. gada 20. marta </w:t>
    </w:r>
    <w:proofErr w:type="spellStart"/>
    <w:r w:rsidR="00EF5461" w:rsidRPr="00EF5461">
      <w:rPr>
        <w:sz w:val="20"/>
        <w:szCs w:val="20"/>
        <w:lang w:val="lv-LV"/>
      </w:rPr>
      <w:t>protokollēmuma</w:t>
    </w:r>
    <w:proofErr w:type="spellEnd"/>
    <w:r w:rsidR="00EF5461" w:rsidRPr="00EF5461">
      <w:rPr>
        <w:sz w:val="20"/>
        <w:szCs w:val="20"/>
        <w:lang w:val="lv-LV"/>
      </w:rPr>
      <w:t xml:space="preserve"> (</w:t>
    </w:r>
    <w:proofErr w:type="spellStart"/>
    <w:r w:rsidR="00EF5461" w:rsidRPr="00EF5461">
      <w:rPr>
        <w:sz w:val="20"/>
        <w:szCs w:val="20"/>
        <w:lang w:val="lv-LV"/>
      </w:rPr>
      <w:t>prot</w:t>
    </w:r>
    <w:proofErr w:type="spellEnd"/>
    <w:r w:rsidR="00EF5461" w:rsidRPr="00EF5461">
      <w:rPr>
        <w:sz w:val="20"/>
        <w:szCs w:val="20"/>
        <w:lang w:val="lv-LV"/>
      </w:rPr>
      <w:t>. Nr.16 30.§) „Informatīvais ziņojums „Par pasākumiem ar dzīvokļa īpašuma lietošanu saistīto parādu problēmas risināšanai ”</w:t>
    </w:r>
    <w:r w:rsidR="004958AB">
      <w:rPr>
        <w:sz w:val="20"/>
        <w:szCs w:val="20"/>
        <w:lang w:val="lv-LV"/>
      </w:rPr>
      <w:t>’’</w:t>
    </w:r>
    <w:r w:rsidR="00EF5461" w:rsidRPr="00EF5461">
      <w:rPr>
        <w:sz w:val="20"/>
        <w:szCs w:val="20"/>
        <w:lang w:val="lv-LV"/>
      </w:rPr>
      <w:t xml:space="preserve"> 3.2. apakšpunktā dotā uzdevuma atzīšanu par aktualitāti zaudējušu</w:t>
    </w:r>
    <w:r w:rsidR="004958AB">
      <w:rPr>
        <w:sz w:val="20"/>
        <w:szCs w:val="20"/>
        <w:lang w:val="lv-LV"/>
      </w:rPr>
      <w:t>’’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EF" w:rsidRDefault="00A34DEF" w:rsidP="0038657A">
      <w:r>
        <w:separator/>
      </w:r>
    </w:p>
  </w:footnote>
  <w:footnote w:type="continuationSeparator" w:id="0">
    <w:p w:rsidR="00A34DEF" w:rsidRDefault="00A34DEF" w:rsidP="00386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7A"/>
    <w:rsid w:val="00027179"/>
    <w:rsid w:val="00061C2F"/>
    <w:rsid w:val="000A15F7"/>
    <w:rsid w:val="000B2266"/>
    <w:rsid w:val="000D1D6F"/>
    <w:rsid w:val="0012209B"/>
    <w:rsid w:val="00147FD1"/>
    <w:rsid w:val="002E772D"/>
    <w:rsid w:val="00357CCF"/>
    <w:rsid w:val="0038657A"/>
    <w:rsid w:val="00491277"/>
    <w:rsid w:val="004958AB"/>
    <w:rsid w:val="004D796D"/>
    <w:rsid w:val="00514200"/>
    <w:rsid w:val="00553276"/>
    <w:rsid w:val="005A52D5"/>
    <w:rsid w:val="005B7D9A"/>
    <w:rsid w:val="00616972"/>
    <w:rsid w:val="00641C5E"/>
    <w:rsid w:val="006B0EE3"/>
    <w:rsid w:val="00750619"/>
    <w:rsid w:val="007876E7"/>
    <w:rsid w:val="007F37AD"/>
    <w:rsid w:val="008149D8"/>
    <w:rsid w:val="00984C8F"/>
    <w:rsid w:val="009B33BF"/>
    <w:rsid w:val="009B7FF5"/>
    <w:rsid w:val="00A34DEF"/>
    <w:rsid w:val="00A47213"/>
    <w:rsid w:val="00A72635"/>
    <w:rsid w:val="00B6017A"/>
    <w:rsid w:val="00EC5EF7"/>
    <w:rsid w:val="00EF5461"/>
    <w:rsid w:val="00F12A69"/>
    <w:rsid w:val="00F602D3"/>
    <w:rsid w:val="00F9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C5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38657A"/>
    <w:pPr>
      <w:spacing w:before="100" w:beforeAutospacing="1" w:after="100" w:afterAutospacing="1"/>
    </w:pPr>
    <w:rPr>
      <w:lang w:val="lv-LV" w:eastAsia="lv-LV"/>
    </w:rPr>
  </w:style>
  <w:style w:type="paragraph" w:styleId="Kjene">
    <w:name w:val="footer"/>
    <w:basedOn w:val="Parasts"/>
    <w:link w:val="KjeneRakstz"/>
    <w:unhideWhenUsed/>
    <w:rsid w:val="003865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38657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Parasts"/>
    <w:rsid w:val="0038657A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38657A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nhideWhenUsed/>
    <w:rsid w:val="0038657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8657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1697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6972"/>
    <w:rPr>
      <w:rFonts w:ascii="Tahoma" w:eastAsia="Times New Roman" w:hAnsi="Tahoma" w:cs="Tahoma"/>
      <w:sz w:val="16"/>
      <w:szCs w:val="16"/>
      <w:lang w:val="en-GB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C5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C5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38657A"/>
    <w:pPr>
      <w:spacing w:before="100" w:beforeAutospacing="1" w:after="100" w:afterAutospacing="1"/>
    </w:pPr>
    <w:rPr>
      <w:lang w:val="lv-LV" w:eastAsia="lv-LV"/>
    </w:rPr>
  </w:style>
  <w:style w:type="paragraph" w:styleId="Kjene">
    <w:name w:val="footer"/>
    <w:basedOn w:val="Parasts"/>
    <w:link w:val="KjeneRakstz"/>
    <w:unhideWhenUsed/>
    <w:rsid w:val="003865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38657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Parasts"/>
    <w:rsid w:val="0038657A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38657A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nhideWhenUsed/>
    <w:rsid w:val="0038657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8657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1697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6972"/>
    <w:rPr>
      <w:rFonts w:ascii="Tahoma" w:eastAsia="Times New Roman" w:hAnsi="Tahoma" w:cs="Tahoma"/>
      <w:sz w:val="16"/>
      <w:szCs w:val="16"/>
      <w:lang w:val="en-GB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C5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lvija.gutane@t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Ministru kabineta 2012. gada 20. marta protokollēmuma (prot. Nr.16 30.§) „Informatīvais ziņojums „Par pasākumiem ar dzīvokļa īpašuma lietošanu saistīto parādu problēmas risināšanai ” 3.2. apakšpunktā dotā uzdevuma atzīšanu par aktualitāti zaudējušu</vt:lpstr>
    </vt:vector>
  </TitlesOfParts>
  <Company>Tieslietu Sektors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2012. gada 20. marta protokollēmuma (prot. Nr.16 30.§) „Informatīvais ziņojums „Par pasākumiem ar dzīvokļa īpašuma lietošanu saistīto parādu problēmas risināšanai ” 3.2. apakšpunktā dotā uzdevuma atzīšanu par aktualitāti zaudējušu</dc:title>
  <dc:subject>Protokollēmuma projekts</dc:subject>
  <dc:creator>Sandris Rags</dc:creator>
  <dc:description>sandris.rags@tm.gov.lv
67036974</dc:description>
  <cp:lastModifiedBy>as1301</cp:lastModifiedBy>
  <cp:revision>3</cp:revision>
  <cp:lastPrinted>2013-07-04T06:20:00Z</cp:lastPrinted>
  <dcterms:created xsi:type="dcterms:W3CDTF">2013-07-08T07:15:00Z</dcterms:created>
  <dcterms:modified xsi:type="dcterms:W3CDTF">2013-07-11T06:48:00Z</dcterms:modified>
</cp:coreProperties>
</file>