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01" w:rsidRPr="000C33C5" w:rsidRDefault="00080A01" w:rsidP="00623FF8">
      <w:pPr>
        <w:jc w:val="right"/>
        <w:rPr>
          <w:i/>
        </w:rPr>
      </w:pPr>
      <w:r w:rsidRPr="000C33C5">
        <w:rPr>
          <w:i/>
        </w:rPr>
        <w:t>Projekts</w:t>
      </w:r>
    </w:p>
    <w:p w:rsidR="00470FFE" w:rsidRDefault="00470FFE" w:rsidP="00623FF8">
      <w:pPr>
        <w:jc w:val="center"/>
        <w:rPr>
          <w:b/>
        </w:rPr>
      </w:pPr>
    </w:p>
    <w:p w:rsidR="007E470A" w:rsidRDefault="007E470A" w:rsidP="00623FF8">
      <w:pPr>
        <w:jc w:val="center"/>
        <w:rPr>
          <w:b/>
        </w:rPr>
      </w:pPr>
      <w:r>
        <w:rPr>
          <w:b/>
        </w:rPr>
        <w:t>LATVIJAS REPU</w:t>
      </w:r>
      <w:r w:rsidR="000D2426">
        <w:rPr>
          <w:b/>
        </w:rPr>
        <w:t>B</w:t>
      </w:r>
      <w:r>
        <w:rPr>
          <w:b/>
        </w:rPr>
        <w:t xml:space="preserve">LIKAS </w:t>
      </w:r>
      <w:r w:rsidR="00080A01" w:rsidRPr="001B3E9E">
        <w:rPr>
          <w:b/>
        </w:rPr>
        <w:t xml:space="preserve">MINISTRU KABINETA </w:t>
      </w:r>
    </w:p>
    <w:p w:rsidR="00080A01" w:rsidRPr="001B3E9E" w:rsidRDefault="00080A01" w:rsidP="00623FF8">
      <w:pPr>
        <w:jc w:val="center"/>
        <w:rPr>
          <w:b/>
        </w:rPr>
      </w:pPr>
      <w:r w:rsidRPr="001B3E9E">
        <w:rPr>
          <w:b/>
        </w:rPr>
        <w:t>SĒDES PROTOKOLLĒMUMS</w:t>
      </w:r>
    </w:p>
    <w:p w:rsidR="00080A01" w:rsidRPr="001B3E9E" w:rsidRDefault="00080A01" w:rsidP="00623FF8">
      <w:pPr>
        <w:jc w:val="center"/>
        <w:rPr>
          <w:b/>
        </w:rPr>
      </w:pPr>
      <w:r w:rsidRPr="001B3E9E">
        <w:rPr>
          <w:b/>
        </w:rPr>
        <w:t>_________________________________________________________</w:t>
      </w:r>
    </w:p>
    <w:p w:rsidR="00080A01" w:rsidRPr="001B3E9E" w:rsidRDefault="00080A01" w:rsidP="00623FF8">
      <w:pPr>
        <w:jc w:val="center"/>
        <w:rPr>
          <w:b/>
        </w:rPr>
      </w:pPr>
    </w:p>
    <w:p w:rsidR="00080A01" w:rsidRPr="001B3E9E" w:rsidRDefault="00080A01" w:rsidP="00623FF8">
      <w:pPr>
        <w:tabs>
          <w:tab w:val="center" w:pos="4500"/>
          <w:tab w:val="right" w:pos="9000"/>
        </w:tabs>
        <w:jc w:val="both"/>
      </w:pPr>
      <w:r w:rsidRPr="001B3E9E">
        <w:t>Rīgā</w:t>
      </w:r>
      <w:r w:rsidR="008A06D4">
        <w:tab/>
      </w:r>
      <w:r w:rsidRPr="001B3E9E">
        <w:t>Nr.</w:t>
      </w:r>
      <w:r w:rsidR="008A06D4">
        <w:tab/>
      </w:r>
      <w:r w:rsidRPr="001B3E9E">
        <w:t>20</w:t>
      </w:r>
      <w:r w:rsidR="0032548E">
        <w:t>12</w:t>
      </w:r>
      <w:r w:rsidRPr="001B3E9E">
        <w:t xml:space="preserve">.gada </w:t>
      </w:r>
      <w:r w:rsidRPr="0013385C">
        <w:t>__._____</w:t>
      </w:r>
    </w:p>
    <w:p w:rsidR="00080A01" w:rsidRPr="001B3E9E" w:rsidRDefault="00080A01" w:rsidP="00623FF8">
      <w:pPr>
        <w:jc w:val="both"/>
      </w:pPr>
    </w:p>
    <w:p w:rsidR="00080A01" w:rsidRPr="001B3E9E" w:rsidRDefault="001B3E9E" w:rsidP="00623FF8">
      <w:pPr>
        <w:pStyle w:val="Pamatteksts"/>
        <w:jc w:val="center"/>
        <w:rPr>
          <w:b/>
          <w:szCs w:val="28"/>
        </w:rPr>
      </w:pPr>
      <w:r w:rsidRPr="001B3E9E">
        <w:rPr>
          <w:b/>
          <w:szCs w:val="28"/>
        </w:rPr>
        <w:t>.§</w:t>
      </w:r>
    </w:p>
    <w:p w:rsidR="00080A01" w:rsidRPr="001B3E9E" w:rsidRDefault="00080A01" w:rsidP="00623FF8">
      <w:pPr>
        <w:jc w:val="center"/>
      </w:pPr>
    </w:p>
    <w:p w:rsidR="00670539" w:rsidRPr="00670539" w:rsidRDefault="00670539" w:rsidP="00670539">
      <w:pPr>
        <w:jc w:val="center"/>
        <w:rPr>
          <w:b/>
        </w:rPr>
      </w:pPr>
      <w:bookmarkStart w:id="0" w:name="OLE_LINK1"/>
      <w:bookmarkStart w:id="1" w:name="OLE_LINK2"/>
      <w:r>
        <w:rPr>
          <w:b/>
        </w:rPr>
        <w:t>Par i</w:t>
      </w:r>
      <w:r w:rsidRPr="00670539">
        <w:rPr>
          <w:b/>
        </w:rPr>
        <w:t>nformatīv</w:t>
      </w:r>
      <w:r>
        <w:rPr>
          <w:b/>
        </w:rPr>
        <w:t>o</w:t>
      </w:r>
      <w:r w:rsidRPr="00670539">
        <w:rPr>
          <w:b/>
        </w:rPr>
        <w:t xml:space="preserve"> ziņojum</w:t>
      </w:r>
      <w:r>
        <w:rPr>
          <w:b/>
        </w:rPr>
        <w:t>u</w:t>
      </w:r>
    </w:p>
    <w:p w:rsidR="00670539" w:rsidRPr="00670539" w:rsidRDefault="00670539" w:rsidP="00670539">
      <w:pPr>
        <w:jc w:val="center"/>
        <w:rPr>
          <w:b/>
        </w:rPr>
      </w:pPr>
      <w:r w:rsidRPr="00670539">
        <w:rPr>
          <w:b/>
        </w:rPr>
        <w:t>„Par priekšlikumiem par iespējamiem grozījumiem normatīvajos aktos, paredzot normu ierobežojumu saglabāšanu līdz 2016. gada 1. janvārim vai arī to apjoma pakāpenisku atjaunošanu trīs gadu laikā”</w:t>
      </w:r>
    </w:p>
    <w:p w:rsidR="009F1BDA" w:rsidRPr="009F1BDA" w:rsidRDefault="009F1BDA" w:rsidP="007C06AD">
      <w:pPr>
        <w:jc w:val="center"/>
      </w:pPr>
    </w:p>
    <w:bookmarkEnd w:id="0"/>
    <w:bookmarkEnd w:id="1"/>
    <w:p w:rsidR="007E470A" w:rsidRDefault="00F71E19" w:rsidP="007E470A">
      <w:pPr>
        <w:tabs>
          <w:tab w:val="left" w:pos="993"/>
        </w:tabs>
        <w:ind w:firstLine="992"/>
        <w:jc w:val="both"/>
        <w:rPr>
          <w:rStyle w:val="spelle"/>
        </w:rPr>
      </w:pPr>
      <w:r>
        <w:rPr>
          <w:rStyle w:val="spelle"/>
        </w:rPr>
        <w:t xml:space="preserve">1. Atbalstīt iesniegto </w:t>
      </w:r>
      <w:r w:rsidR="00670539">
        <w:rPr>
          <w:rStyle w:val="spelle"/>
        </w:rPr>
        <w:t xml:space="preserve">informatīvo ziņojumu. </w:t>
      </w:r>
      <w:r w:rsidR="00D71B65">
        <w:rPr>
          <w:rStyle w:val="spelle"/>
        </w:rPr>
        <w:t xml:space="preserve"> </w:t>
      </w:r>
    </w:p>
    <w:p w:rsidR="00D71B65" w:rsidRDefault="00D71B65" w:rsidP="007E470A">
      <w:pPr>
        <w:tabs>
          <w:tab w:val="left" w:pos="993"/>
        </w:tabs>
        <w:ind w:firstLine="992"/>
        <w:jc w:val="both"/>
        <w:rPr>
          <w:rStyle w:val="spelle"/>
          <w:color w:val="808080"/>
        </w:rPr>
      </w:pPr>
    </w:p>
    <w:p w:rsidR="00670539" w:rsidRDefault="00F71E19" w:rsidP="007E470A">
      <w:pPr>
        <w:tabs>
          <w:tab w:val="left" w:pos="993"/>
        </w:tabs>
        <w:ind w:firstLine="992"/>
        <w:jc w:val="both"/>
        <w:rPr>
          <w:rStyle w:val="spelle"/>
        </w:rPr>
      </w:pPr>
      <w:r>
        <w:rPr>
          <w:rStyle w:val="spelle"/>
        </w:rPr>
        <w:t xml:space="preserve">2. </w:t>
      </w:r>
      <w:r w:rsidR="0003009C" w:rsidRPr="0003009C">
        <w:t>Tieslietu ministrijai izstrādāt un tieslietu ministram noteiktā kārtībā iesniegt Ministru kabinetā informatīvajā ziņojumā paredzētos grozījumus Valsts probācijas dienesta likumā, Kriminālprocesa likumā, likumā „Par valsts kompensāciju cietušajiem” un Uzturlīdzekļu garantiju fonda likumā virzīšanai likumprojekta "Par valsts budžetu 2013. gadam" pavadošo likumprojektu paketē. Finanšu ministrijai izstrādāt un noteiktā kārtībā iesniegt Ministru kabinetā informatīvajā ziņojumā paredzētos grozījumus Valsts un pašvaldību institūciju amatpersonu un darbinieku atlīdzības likumā virzīšanai likumprojekta "Par valsts budžetu 2013. gadam" pavadošo likumprojektu paketē</w:t>
      </w:r>
      <w:r w:rsidR="00ED574E">
        <w:t>.</w:t>
      </w:r>
      <w:r w:rsidR="00C22FC4">
        <w:t xml:space="preserve"> </w:t>
      </w:r>
    </w:p>
    <w:p w:rsidR="00470FFE" w:rsidRDefault="00470FFE" w:rsidP="007E470A">
      <w:pPr>
        <w:tabs>
          <w:tab w:val="left" w:pos="993"/>
        </w:tabs>
        <w:ind w:firstLine="992"/>
        <w:jc w:val="both"/>
      </w:pPr>
    </w:p>
    <w:p w:rsidR="00ED574E" w:rsidRDefault="00670539" w:rsidP="007E470A">
      <w:pPr>
        <w:tabs>
          <w:tab w:val="left" w:pos="993"/>
        </w:tabs>
        <w:ind w:firstLine="992"/>
        <w:jc w:val="both"/>
      </w:pPr>
      <w:r>
        <w:t xml:space="preserve">3. </w:t>
      </w:r>
      <w:r w:rsidR="00ED574E">
        <w:t>J</w:t>
      </w:r>
      <w:r w:rsidR="00ED574E" w:rsidRPr="00ED574E">
        <w:t>autājum</w:t>
      </w:r>
      <w:r w:rsidR="00ED574E">
        <w:t>u</w:t>
      </w:r>
      <w:r w:rsidR="00ED574E" w:rsidRPr="00ED574E">
        <w:t xml:space="preserve"> par papildu nepieciešam</w:t>
      </w:r>
      <w:r w:rsidR="00ED574E">
        <w:t>ā</w:t>
      </w:r>
      <w:r w:rsidR="00ED574E" w:rsidRPr="00ED574E">
        <w:t xml:space="preserve"> finansējum</w:t>
      </w:r>
      <w:r w:rsidR="00ED574E">
        <w:t>a piešķiršanu Tieslietu ministrijai</w:t>
      </w:r>
      <w:r w:rsidR="00ED574E" w:rsidRPr="00ED574E">
        <w:t xml:space="preserve"> informatīvajā ziņojumā norādīto normatīvo aktu projektu īstenošanai 2013.</w:t>
      </w:r>
      <w:r w:rsidR="00ED574E">
        <w:t xml:space="preserve"> – </w:t>
      </w:r>
      <w:r w:rsidR="00ED574E" w:rsidRPr="00ED574E">
        <w:t>2015.</w:t>
      </w:r>
      <w:r w:rsidR="00ED574E">
        <w:t> </w:t>
      </w:r>
      <w:r w:rsidR="00ED574E" w:rsidRPr="00ED574E">
        <w:t>gadam izskat</w:t>
      </w:r>
      <w:r w:rsidR="00ED574E">
        <w:t>īt</w:t>
      </w:r>
      <w:r w:rsidR="00ED574E" w:rsidRPr="00ED574E">
        <w:t xml:space="preserve"> kopā ar visu ministriju papildu </w:t>
      </w:r>
      <w:r w:rsidR="00ED574E">
        <w:t xml:space="preserve">finansējuma </w:t>
      </w:r>
      <w:r w:rsidR="00ED574E" w:rsidRPr="00ED574E">
        <w:t>pieprasījumiem 2013.</w:t>
      </w:r>
      <w:r w:rsidR="00ED574E">
        <w:t> </w:t>
      </w:r>
      <w:r w:rsidR="00ED574E" w:rsidRPr="00ED574E">
        <w:t>gada valsts budžeta projekta sagatavošanas procesā</w:t>
      </w:r>
      <w:r w:rsidR="00A37527">
        <w:t xml:space="preserve">. </w:t>
      </w:r>
      <w:r w:rsidR="00222737" w:rsidRPr="00222737">
        <w:t>Informatīvajā ziņojumā norādīto normatīvo aktu projektu īstenošanai Tieslietu ministrijai papildus piešķiramā finansējuma apmērs</w:t>
      </w:r>
      <w:r w:rsidR="00A37527">
        <w:t xml:space="preserve">: </w:t>
      </w:r>
    </w:p>
    <w:p w:rsidR="00470FFE" w:rsidRDefault="00470FFE" w:rsidP="007E470A">
      <w:pPr>
        <w:tabs>
          <w:tab w:val="left" w:pos="993"/>
        </w:tabs>
        <w:ind w:firstLine="992"/>
        <w:jc w:val="both"/>
      </w:pPr>
    </w:p>
    <w:p w:rsidR="00C22FC4" w:rsidRDefault="00C22FC4" w:rsidP="007E470A">
      <w:pPr>
        <w:tabs>
          <w:tab w:val="left" w:pos="993"/>
        </w:tabs>
        <w:ind w:firstLine="992"/>
        <w:jc w:val="both"/>
      </w:pPr>
      <w:r>
        <w:t xml:space="preserve">3.1. </w:t>
      </w:r>
      <w:r w:rsidRPr="00C22FC4">
        <w:t>Tieslietu ministrijas programm</w:t>
      </w:r>
      <w:r w:rsidR="00ED574E">
        <w:t>ā</w:t>
      </w:r>
      <w:r w:rsidRPr="00C22FC4">
        <w:t xml:space="preserve"> </w:t>
      </w:r>
      <w:r w:rsidR="00D2196E">
        <w:rPr>
          <w:bCs/>
        </w:rPr>
        <w:t>34.00.00 „Probācijas dienests”</w:t>
      </w:r>
      <w:r w:rsidR="00D2196E" w:rsidRPr="00C22FC4">
        <w:t xml:space="preserve"> </w:t>
      </w:r>
      <w:r w:rsidR="00D2196E" w:rsidRPr="00222737">
        <w:t>papildu finansējum</w:t>
      </w:r>
      <w:r w:rsidR="00A37527" w:rsidRPr="00222737">
        <w:t>s</w:t>
      </w:r>
      <w:r w:rsidR="00D2196E">
        <w:t xml:space="preserve"> funkciju pakāpeniskai atjaunošanai 2013.</w:t>
      </w:r>
      <w:r w:rsidR="00470FFE">
        <w:t> </w:t>
      </w:r>
      <w:r w:rsidR="00A37527">
        <w:t>gadā 362 420 latu</w:t>
      </w:r>
      <w:r w:rsidR="00D2196E">
        <w:t>, 2014.</w:t>
      </w:r>
      <w:r w:rsidR="00470FFE">
        <w:t> </w:t>
      </w:r>
      <w:r w:rsidR="00A37527">
        <w:t>gadā 629 203 lati</w:t>
      </w:r>
      <w:r w:rsidR="00D2196E">
        <w:t>, 2015.</w:t>
      </w:r>
      <w:r w:rsidR="00470FFE">
        <w:t> </w:t>
      </w:r>
      <w:r w:rsidR="00A37527">
        <w:t>gadā 738 000 latu</w:t>
      </w:r>
      <w:r w:rsidR="00DF3D39">
        <w:t xml:space="preserve"> </w:t>
      </w:r>
      <w:r w:rsidR="00DF3D39" w:rsidRPr="00F95EE7">
        <w:t xml:space="preserve">un </w:t>
      </w:r>
      <w:r w:rsidR="00222737" w:rsidRPr="00222737">
        <w:t>papildu finansējum</w:t>
      </w:r>
      <w:r w:rsidR="00222737">
        <w:t>s</w:t>
      </w:r>
      <w:r w:rsidR="00222737" w:rsidRPr="00222737">
        <w:t xml:space="preserve"> </w:t>
      </w:r>
      <w:r w:rsidR="00DF3D39" w:rsidRPr="00F95EE7">
        <w:t>darbinieku obligātai veselības apdrošināšanai 2013.</w:t>
      </w:r>
      <w:r w:rsidR="00F95EE7" w:rsidRPr="00F95EE7">
        <w:t> </w:t>
      </w:r>
      <w:r w:rsidR="00DF3D39" w:rsidRPr="00F95EE7">
        <w:t>gadā 54 400 latu, 2014.</w:t>
      </w:r>
      <w:r w:rsidR="00F95EE7" w:rsidRPr="00F95EE7">
        <w:t> </w:t>
      </w:r>
      <w:r w:rsidR="00A37527">
        <w:t>gadā 54 400 latu</w:t>
      </w:r>
      <w:r w:rsidR="00DF3D39" w:rsidRPr="00F95EE7">
        <w:t>, 2015.</w:t>
      </w:r>
      <w:r w:rsidR="00F95EE7" w:rsidRPr="00F95EE7">
        <w:t> </w:t>
      </w:r>
      <w:r w:rsidR="00A37527">
        <w:t>gadā 54 400 latu</w:t>
      </w:r>
      <w:r w:rsidRPr="00F95EE7">
        <w:t>;</w:t>
      </w:r>
      <w:r>
        <w:t xml:space="preserve"> </w:t>
      </w:r>
    </w:p>
    <w:p w:rsidR="00470FFE" w:rsidRDefault="00470FFE" w:rsidP="007E470A">
      <w:pPr>
        <w:tabs>
          <w:tab w:val="left" w:pos="993"/>
        </w:tabs>
        <w:ind w:firstLine="992"/>
        <w:jc w:val="both"/>
      </w:pPr>
    </w:p>
    <w:p w:rsidR="00C22FC4" w:rsidRDefault="00C22FC4" w:rsidP="007E470A">
      <w:pPr>
        <w:tabs>
          <w:tab w:val="left" w:pos="993"/>
        </w:tabs>
        <w:ind w:firstLine="992"/>
        <w:jc w:val="both"/>
      </w:pPr>
      <w:r>
        <w:t xml:space="preserve">3.2. </w:t>
      </w:r>
      <w:r w:rsidRPr="00C22FC4">
        <w:t>Tieslietu ministrijas programm</w:t>
      </w:r>
      <w:r w:rsidR="00ED574E">
        <w:t>ā</w:t>
      </w:r>
      <w:r w:rsidRPr="00C22FC4">
        <w:t xml:space="preserve"> </w:t>
      </w:r>
      <w:r w:rsidRPr="00C22FC4">
        <w:rPr>
          <w:bCs/>
        </w:rPr>
        <w:t>45.00.00</w:t>
      </w:r>
      <w:r w:rsidRPr="00C22FC4">
        <w:t xml:space="preserve"> „Juridiskās palīdzības nodrošināšana” </w:t>
      </w:r>
      <w:r w:rsidR="00D2196E">
        <w:t>papildu finansējum</w:t>
      </w:r>
      <w:r w:rsidR="00A37527">
        <w:t>s</w:t>
      </w:r>
      <w:r w:rsidR="00D2196E">
        <w:t xml:space="preserve"> </w:t>
      </w:r>
      <w:r w:rsidRPr="00C22FC4">
        <w:t>valsts kompensāciju izmaksai 2013.</w:t>
      </w:r>
      <w:r>
        <w:t> </w:t>
      </w:r>
      <w:r w:rsidRPr="00C22FC4">
        <w:t xml:space="preserve">gadā </w:t>
      </w:r>
      <w:r w:rsidR="00D2196E">
        <w:t>150</w:t>
      </w:r>
      <w:r w:rsidR="00D2196E" w:rsidRPr="00C22FC4">
        <w:t xml:space="preserve"> </w:t>
      </w:r>
      <w:r w:rsidRPr="00C22FC4">
        <w:t xml:space="preserve">000 </w:t>
      </w:r>
      <w:r>
        <w:t>latu</w:t>
      </w:r>
      <w:r w:rsidRPr="00C22FC4">
        <w:t>, 2014.</w:t>
      </w:r>
      <w:r>
        <w:t> </w:t>
      </w:r>
      <w:r w:rsidRPr="00C22FC4">
        <w:t xml:space="preserve">gadā </w:t>
      </w:r>
      <w:r w:rsidR="00D2196E">
        <w:t>290</w:t>
      </w:r>
      <w:r w:rsidR="00D2196E" w:rsidRPr="00C22FC4">
        <w:t> </w:t>
      </w:r>
      <w:r w:rsidRPr="00C22FC4">
        <w:t xml:space="preserve">000 </w:t>
      </w:r>
      <w:r w:rsidR="00A37527">
        <w:t>latu</w:t>
      </w:r>
      <w:r w:rsidRPr="00C22FC4">
        <w:t>, 2015.</w:t>
      </w:r>
      <w:r>
        <w:t> </w:t>
      </w:r>
      <w:r w:rsidRPr="00C22FC4">
        <w:t xml:space="preserve">gadā </w:t>
      </w:r>
      <w:r w:rsidR="0094799C">
        <w:t>290 </w:t>
      </w:r>
      <w:r w:rsidR="00A37527">
        <w:t>000 latu</w:t>
      </w:r>
      <w:r>
        <w:t xml:space="preserve">; </w:t>
      </w:r>
    </w:p>
    <w:p w:rsidR="00470FFE" w:rsidRDefault="00470FFE" w:rsidP="007E470A">
      <w:pPr>
        <w:tabs>
          <w:tab w:val="left" w:pos="993"/>
        </w:tabs>
        <w:ind w:firstLine="992"/>
        <w:jc w:val="both"/>
      </w:pPr>
    </w:p>
    <w:p w:rsidR="00ED5FE6" w:rsidRDefault="00C22FC4" w:rsidP="007E470A">
      <w:pPr>
        <w:tabs>
          <w:tab w:val="left" w:pos="993"/>
        </w:tabs>
        <w:ind w:firstLine="992"/>
        <w:jc w:val="both"/>
      </w:pPr>
      <w:r>
        <w:t xml:space="preserve">3.3. </w:t>
      </w:r>
      <w:r w:rsidRPr="00C22FC4">
        <w:t>Tieslietu ministrijas apakšprogramm</w:t>
      </w:r>
      <w:r w:rsidR="00ED574E">
        <w:t>ā</w:t>
      </w:r>
      <w:r w:rsidRPr="00C22FC4">
        <w:t xml:space="preserve"> 54.02.00 „Uzturlīdzekļu fonds” </w:t>
      </w:r>
      <w:r w:rsidR="0094799C">
        <w:t>papildu finansējum</w:t>
      </w:r>
      <w:r w:rsidR="00A37527">
        <w:t>s</w:t>
      </w:r>
      <w:r w:rsidR="0094799C">
        <w:t xml:space="preserve"> </w:t>
      </w:r>
      <w:r w:rsidRPr="00C22FC4">
        <w:t xml:space="preserve">uzturlīdzekļu izmaksai 2013. gadā </w:t>
      </w:r>
      <w:r w:rsidR="0094799C">
        <w:t>943 367</w:t>
      </w:r>
      <w:r w:rsidR="00A37527">
        <w:t xml:space="preserve"> lati</w:t>
      </w:r>
      <w:r w:rsidRPr="00C22FC4">
        <w:t xml:space="preserve">, 2014. gadā </w:t>
      </w:r>
      <w:r w:rsidR="0094799C">
        <w:t>4 349 383</w:t>
      </w:r>
      <w:r w:rsidRPr="00C22FC4">
        <w:t xml:space="preserve"> lat</w:t>
      </w:r>
      <w:r w:rsidR="00A37527">
        <w:t>i</w:t>
      </w:r>
      <w:r w:rsidR="00ED5FE6">
        <w:t xml:space="preserve">, 2015. gadā </w:t>
      </w:r>
      <w:r w:rsidR="0094799C">
        <w:t>6 694 502</w:t>
      </w:r>
      <w:r w:rsidR="00ED5FE6">
        <w:t xml:space="preserve"> lat</w:t>
      </w:r>
      <w:r w:rsidR="00A37527">
        <w:t>i</w:t>
      </w:r>
      <w:r w:rsidR="00ED5FE6">
        <w:t>;</w:t>
      </w:r>
      <w:r w:rsidR="00470FFE">
        <w:t xml:space="preserve"> </w:t>
      </w:r>
    </w:p>
    <w:p w:rsidR="00470FFE" w:rsidRDefault="00470FFE" w:rsidP="007E470A">
      <w:pPr>
        <w:tabs>
          <w:tab w:val="left" w:pos="993"/>
        </w:tabs>
        <w:ind w:firstLine="992"/>
        <w:jc w:val="both"/>
      </w:pPr>
    </w:p>
    <w:p w:rsidR="00ED5FE6" w:rsidRDefault="00ED5FE6" w:rsidP="007E470A">
      <w:pPr>
        <w:tabs>
          <w:tab w:val="left" w:pos="993"/>
        </w:tabs>
        <w:ind w:firstLine="992"/>
        <w:jc w:val="both"/>
      </w:pPr>
      <w:r>
        <w:t xml:space="preserve">3.4. </w:t>
      </w:r>
      <w:r w:rsidRPr="00C22FC4">
        <w:t>Tieslietu ministrijas programm</w:t>
      </w:r>
      <w:r w:rsidR="00ED574E">
        <w:t>ā</w:t>
      </w:r>
      <w:r w:rsidRPr="00C22FC4">
        <w:t xml:space="preserve"> </w:t>
      </w:r>
      <w:r w:rsidRPr="00C22FC4">
        <w:rPr>
          <w:bCs/>
        </w:rPr>
        <w:t>45.00.00</w:t>
      </w:r>
      <w:r w:rsidRPr="00C22FC4">
        <w:t xml:space="preserve"> „Juridiskās palīdzības nodrošināšana” </w:t>
      </w:r>
      <w:r w:rsidR="00A37527">
        <w:t>papildu</w:t>
      </w:r>
      <w:r w:rsidR="0094799C">
        <w:t xml:space="preserve"> finansējum</w:t>
      </w:r>
      <w:r w:rsidR="00A37527">
        <w:t>s</w:t>
      </w:r>
      <w:r w:rsidR="0094799C">
        <w:t xml:space="preserve"> </w:t>
      </w:r>
      <w:r>
        <w:t xml:space="preserve">valsts nodrošinātās juridiskās palīdzības samaksas </w:t>
      </w:r>
      <w:r w:rsidRPr="00C22FC4">
        <w:t>izmaksai 2013.</w:t>
      </w:r>
      <w:r>
        <w:t> </w:t>
      </w:r>
      <w:r w:rsidRPr="00C22FC4">
        <w:t xml:space="preserve">gadā </w:t>
      </w:r>
      <w:r w:rsidR="0094799C">
        <w:t>347 099</w:t>
      </w:r>
      <w:r w:rsidRPr="00C22FC4">
        <w:t xml:space="preserve"> </w:t>
      </w:r>
      <w:r>
        <w:t>lat</w:t>
      </w:r>
      <w:r w:rsidR="00A37527">
        <w:t>i</w:t>
      </w:r>
      <w:r w:rsidRPr="00C22FC4">
        <w:t>, 2014.</w:t>
      </w:r>
      <w:r>
        <w:t> </w:t>
      </w:r>
      <w:r w:rsidRPr="00C22FC4">
        <w:t xml:space="preserve">gadā </w:t>
      </w:r>
      <w:r w:rsidR="0094799C">
        <w:t>599 842</w:t>
      </w:r>
      <w:r w:rsidRPr="00C22FC4">
        <w:t xml:space="preserve"> </w:t>
      </w:r>
      <w:r>
        <w:t>lat</w:t>
      </w:r>
      <w:r w:rsidR="00A37527">
        <w:t>i</w:t>
      </w:r>
      <w:r w:rsidRPr="00C22FC4">
        <w:t>, 2015.</w:t>
      </w:r>
      <w:r>
        <w:t> </w:t>
      </w:r>
      <w:r w:rsidRPr="00C22FC4">
        <w:t xml:space="preserve">gadā </w:t>
      </w:r>
      <w:r w:rsidR="0094799C">
        <w:t>872 982</w:t>
      </w:r>
      <w:r w:rsidR="00695D14">
        <w:t xml:space="preserve"> lat</w:t>
      </w:r>
      <w:r w:rsidR="00A37527">
        <w:t>i</w:t>
      </w:r>
      <w:r w:rsidR="00695D14">
        <w:t>.</w:t>
      </w:r>
    </w:p>
    <w:p w:rsidR="00AA47D7" w:rsidRPr="008B2210" w:rsidRDefault="00D71B65" w:rsidP="007E470A">
      <w:pPr>
        <w:tabs>
          <w:tab w:val="left" w:pos="993"/>
        </w:tabs>
        <w:ind w:firstLine="992"/>
        <w:jc w:val="both"/>
        <w:rPr>
          <w:rStyle w:val="spelle"/>
          <w:color w:val="808080"/>
        </w:rPr>
      </w:pPr>
      <w:r>
        <w:t xml:space="preserve"> </w:t>
      </w:r>
    </w:p>
    <w:p w:rsidR="00080A01" w:rsidRPr="001B3E9E" w:rsidRDefault="00080A01" w:rsidP="00623FF8">
      <w:pPr>
        <w:ind w:firstLine="720"/>
        <w:jc w:val="center"/>
      </w:pPr>
    </w:p>
    <w:p w:rsidR="00080A01" w:rsidRPr="001B3E9E" w:rsidRDefault="00080A01" w:rsidP="00D7606A">
      <w:r w:rsidRPr="001B3E9E">
        <w:t>Ministru prezidents</w:t>
      </w:r>
      <w:r w:rsidR="00D7606A">
        <w:tab/>
      </w:r>
      <w:r w:rsidR="00D7606A">
        <w:tab/>
      </w:r>
      <w:r w:rsidR="00D7606A">
        <w:tab/>
      </w:r>
      <w:r w:rsidR="00D7606A">
        <w:tab/>
      </w:r>
      <w:r w:rsidR="00D7606A">
        <w:tab/>
      </w:r>
      <w:r w:rsidR="00D7606A">
        <w:tab/>
      </w:r>
      <w:r w:rsidR="001818BF">
        <w:t>V.</w:t>
      </w:r>
      <w:r w:rsidR="00C22FC4">
        <w:t> </w:t>
      </w:r>
      <w:r w:rsidR="00ED1220">
        <w:t>Dombrovskis</w:t>
      </w:r>
    </w:p>
    <w:p w:rsidR="00080A01" w:rsidRPr="001B3E9E" w:rsidRDefault="00080A01" w:rsidP="00D7606A"/>
    <w:p w:rsidR="00080A01" w:rsidRPr="001B3E9E" w:rsidRDefault="00080A01" w:rsidP="00D7606A">
      <w:r w:rsidRPr="001B3E9E">
        <w:t>Valsts kancelejas direktore</w:t>
      </w:r>
      <w:r w:rsidR="00D7606A">
        <w:tab/>
      </w:r>
      <w:r w:rsidR="00D7606A">
        <w:tab/>
      </w:r>
      <w:r w:rsidR="00D7606A">
        <w:tab/>
      </w:r>
      <w:r w:rsidR="00D7606A">
        <w:tab/>
      </w:r>
      <w:r w:rsidR="00D7606A">
        <w:tab/>
      </w:r>
      <w:r w:rsidR="00ED1220">
        <w:t>E</w:t>
      </w:r>
      <w:r w:rsidR="001818BF">
        <w:t>.</w:t>
      </w:r>
      <w:r w:rsidR="00C22FC4">
        <w:t> </w:t>
      </w:r>
      <w:r w:rsidR="00ED1220">
        <w:t>Dreimane</w:t>
      </w:r>
    </w:p>
    <w:p w:rsidR="00080A01" w:rsidRPr="001B3E9E" w:rsidRDefault="00080A01" w:rsidP="00D7606A"/>
    <w:p w:rsidR="00C22FC4" w:rsidRDefault="00D7606A" w:rsidP="009F70E2">
      <w:pPr>
        <w:tabs>
          <w:tab w:val="left" w:pos="6521"/>
        </w:tabs>
      </w:pPr>
      <w:r>
        <w:t>Tieslietu ministr</w:t>
      </w:r>
      <w:r w:rsidR="009F70E2">
        <w:t xml:space="preserve">s </w:t>
      </w:r>
      <w:r w:rsidR="009F70E2">
        <w:tab/>
      </w:r>
      <w:bookmarkStart w:id="2" w:name="OLE_LINK3"/>
      <w:bookmarkStart w:id="3" w:name="OLE_LINK4"/>
      <w:r w:rsidR="009F70E2">
        <w:t>J. </w:t>
      </w:r>
      <w:proofErr w:type="spellStart"/>
      <w:r w:rsidR="009F70E2">
        <w:t>Bordāns</w:t>
      </w:r>
      <w:proofErr w:type="spellEnd"/>
      <w:r w:rsidR="009F70E2">
        <w:t xml:space="preserve"> </w:t>
      </w:r>
    </w:p>
    <w:p w:rsidR="00C22FC4" w:rsidRPr="009F70E2" w:rsidRDefault="00C22FC4" w:rsidP="00C22FC4"/>
    <w:p w:rsidR="00470FFE" w:rsidRPr="009F70E2" w:rsidRDefault="00470FFE" w:rsidP="00C22FC4"/>
    <w:p w:rsidR="00ED1220" w:rsidRPr="00BB64C9" w:rsidRDefault="0007312B" w:rsidP="00C22FC4">
      <w:pPr>
        <w:rPr>
          <w:sz w:val="20"/>
          <w:szCs w:val="20"/>
        </w:rPr>
      </w:pPr>
      <w:r>
        <w:rPr>
          <w:sz w:val="20"/>
          <w:szCs w:val="20"/>
        </w:rPr>
        <w:t>1</w:t>
      </w:r>
      <w:r w:rsidR="00ED574E">
        <w:rPr>
          <w:sz w:val="20"/>
          <w:szCs w:val="20"/>
        </w:rPr>
        <w:t>9</w:t>
      </w:r>
      <w:r w:rsidR="00670539">
        <w:rPr>
          <w:sz w:val="20"/>
          <w:szCs w:val="20"/>
        </w:rPr>
        <w:t>.07</w:t>
      </w:r>
      <w:r w:rsidR="00ED1220" w:rsidRPr="00BB64C9">
        <w:rPr>
          <w:sz w:val="20"/>
          <w:szCs w:val="20"/>
        </w:rPr>
        <w:t xml:space="preserve">.2012. </w:t>
      </w:r>
      <w:r w:rsidR="00ED574E">
        <w:rPr>
          <w:sz w:val="20"/>
          <w:szCs w:val="20"/>
        </w:rPr>
        <w:t>1</w:t>
      </w:r>
      <w:r w:rsidR="00222737">
        <w:rPr>
          <w:sz w:val="20"/>
          <w:szCs w:val="20"/>
        </w:rPr>
        <w:t>5</w:t>
      </w:r>
      <w:r w:rsidR="00ED1220" w:rsidRPr="00BB64C9">
        <w:rPr>
          <w:sz w:val="20"/>
          <w:szCs w:val="20"/>
        </w:rPr>
        <w:t>:</w:t>
      </w:r>
      <w:r w:rsidR="00222737">
        <w:rPr>
          <w:sz w:val="20"/>
          <w:szCs w:val="20"/>
        </w:rPr>
        <w:t>58</w:t>
      </w:r>
    </w:p>
    <w:p w:rsidR="00ED1220" w:rsidRPr="00BB64C9" w:rsidRDefault="0003009C" w:rsidP="00ED1220">
      <w:pPr>
        <w:jc w:val="both"/>
        <w:rPr>
          <w:sz w:val="20"/>
          <w:szCs w:val="20"/>
        </w:rPr>
      </w:pPr>
      <w:r>
        <w:rPr>
          <w:sz w:val="20"/>
          <w:szCs w:val="20"/>
        </w:rPr>
        <w:t>3</w:t>
      </w:r>
      <w:r w:rsidR="004B5430">
        <w:rPr>
          <w:sz w:val="20"/>
          <w:szCs w:val="20"/>
        </w:rPr>
        <w:t>31</w:t>
      </w:r>
      <w:bookmarkStart w:id="4" w:name="_GoBack"/>
      <w:bookmarkEnd w:id="4"/>
      <w:r w:rsidR="00ED1220">
        <w:rPr>
          <w:sz w:val="20"/>
          <w:szCs w:val="20"/>
        </w:rPr>
        <w:t xml:space="preserve"> </w:t>
      </w:r>
    </w:p>
    <w:p w:rsidR="00ED1220" w:rsidRPr="00BB64C9" w:rsidRDefault="00ED1220" w:rsidP="00ED1220">
      <w:pPr>
        <w:jc w:val="both"/>
        <w:rPr>
          <w:sz w:val="20"/>
          <w:szCs w:val="20"/>
        </w:rPr>
      </w:pPr>
      <w:r w:rsidRPr="00BB64C9">
        <w:rPr>
          <w:sz w:val="20"/>
          <w:szCs w:val="20"/>
        </w:rPr>
        <w:t xml:space="preserve">D. Baha </w:t>
      </w:r>
    </w:p>
    <w:p w:rsidR="000062EB" w:rsidRDefault="00ED1220" w:rsidP="00C22FC4">
      <w:pPr>
        <w:jc w:val="both"/>
        <w:rPr>
          <w:sz w:val="20"/>
          <w:szCs w:val="20"/>
        </w:rPr>
      </w:pPr>
      <w:r w:rsidRPr="00BB64C9">
        <w:rPr>
          <w:sz w:val="20"/>
          <w:szCs w:val="20"/>
        </w:rPr>
        <w:t xml:space="preserve">67036838, </w:t>
      </w:r>
      <w:hyperlink r:id="rId8" w:history="1">
        <w:r w:rsidRPr="007210F1">
          <w:rPr>
            <w:rStyle w:val="Hipersaite"/>
            <w:sz w:val="20"/>
            <w:szCs w:val="20"/>
          </w:rPr>
          <w:t>Daina.Baha@tm.gov.lv</w:t>
        </w:r>
      </w:hyperlink>
      <w:r>
        <w:rPr>
          <w:sz w:val="20"/>
          <w:szCs w:val="20"/>
        </w:rPr>
        <w:t xml:space="preserve"> </w:t>
      </w:r>
      <w:bookmarkEnd w:id="2"/>
      <w:bookmarkEnd w:id="3"/>
    </w:p>
    <w:p w:rsidR="00340F2D" w:rsidRDefault="00340F2D" w:rsidP="002373C1">
      <w:pPr>
        <w:rPr>
          <w:sz w:val="20"/>
          <w:szCs w:val="20"/>
        </w:rPr>
      </w:pPr>
    </w:p>
    <w:p w:rsidR="002373C1" w:rsidRDefault="002373C1" w:rsidP="002373C1">
      <w:pPr>
        <w:rPr>
          <w:sz w:val="20"/>
          <w:szCs w:val="20"/>
        </w:rPr>
      </w:pPr>
      <w:r>
        <w:rPr>
          <w:sz w:val="20"/>
          <w:szCs w:val="20"/>
        </w:rPr>
        <w:t>R. </w:t>
      </w:r>
      <w:proofErr w:type="spellStart"/>
      <w:r>
        <w:rPr>
          <w:sz w:val="20"/>
          <w:szCs w:val="20"/>
        </w:rPr>
        <w:t>Kalnača</w:t>
      </w:r>
      <w:proofErr w:type="spellEnd"/>
      <w:r>
        <w:rPr>
          <w:sz w:val="20"/>
          <w:szCs w:val="20"/>
        </w:rPr>
        <w:t xml:space="preserve"> </w:t>
      </w:r>
    </w:p>
    <w:p w:rsidR="002373C1" w:rsidRDefault="002373C1" w:rsidP="002373C1">
      <w:pPr>
        <w:rPr>
          <w:sz w:val="20"/>
          <w:szCs w:val="20"/>
        </w:rPr>
      </w:pPr>
      <w:r>
        <w:rPr>
          <w:sz w:val="20"/>
          <w:szCs w:val="20"/>
        </w:rPr>
        <w:t xml:space="preserve">67036769, </w:t>
      </w:r>
      <w:hyperlink r:id="rId9" w:history="1">
        <w:r w:rsidRPr="003E3731">
          <w:rPr>
            <w:rStyle w:val="Hipersaite"/>
            <w:sz w:val="20"/>
            <w:szCs w:val="20"/>
          </w:rPr>
          <w:t>Ruta.Kalnaca@tm.gov.lv</w:t>
        </w:r>
      </w:hyperlink>
      <w:r>
        <w:rPr>
          <w:sz w:val="20"/>
          <w:szCs w:val="20"/>
        </w:rPr>
        <w:t xml:space="preserve"> </w:t>
      </w:r>
    </w:p>
    <w:p w:rsidR="00340F2D" w:rsidRDefault="00340F2D" w:rsidP="002373C1">
      <w:pPr>
        <w:rPr>
          <w:sz w:val="20"/>
          <w:szCs w:val="20"/>
        </w:rPr>
      </w:pPr>
    </w:p>
    <w:p w:rsidR="002373C1" w:rsidRDefault="002373C1" w:rsidP="002373C1">
      <w:pPr>
        <w:rPr>
          <w:sz w:val="20"/>
          <w:szCs w:val="20"/>
        </w:rPr>
      </w:pPr>
      <w:r>
        <w:rPr>
          <w:sz w:val="20"/>
          <w:szCs w:val="20"/>
        </w:rPr>
        <w:t>K. </w:t>
      </w:r>
      <w:proofErr w:type="spellStart"/>
      <w:r>
        <w:rPr>
          <w:sz w:val="20"/>
          <w:szCs w:val="20"/>
        </w:rPr>
        <w:t>Ķipēna</w:t>
      </w:r>
      <w:proofErr w:type="spellEnd"/>
      <w:r>
        <w:rPr>
          <w:sz w:val="20"/>
          <w:szCs w:val="20"/>
        </w:rPr>
        <w:t xml:space="preserve"> </w:t>
      </w:r>
    </w:p>
    <w:p w:rsidR="002373C1" w:rsidRPr="00A47E38" w:rsidRDefault="002373C1" w:rsidP="002373C1">
      <w:pPr>
        <w:jc w:val="both"/>
        <w:rPr>
          <w:i/>
          <w:color w:val="A6A6A6"/>
        </w:rPr>
      </w:pPr>
      <w:r w:rsidRPr="00934D48">
        <w:rPr>
          <w:sz w:val="20"/>
          <w:szCs w:val="20"/>
        </w:rPr>
        <w:t>67046124</w:t>
      </w:r>
      <w:r>
        <w:rPr>
          <w:sz w:val="20"/>
          <w:szCs w:val="20"/>
        </w:rPr>
        <w:t xml:space="preserve">, </w:t>
      </w:r>
      <w:hyperlink r:id="rId10" w:history="1">
        <w:r w:rsidRPr="003E3731">
          <w:rPr>
            <w:rStyle w:val="Hipersaite"/>
            <w:sz w:val="20"/>
            <w:szCs w:val="20"/>
          </w:rPr>
          <w:t>Kristine.Kipena@tm.gov.lv</w:t>
        </w:r>
      </w:hyperlink>
    </w:p>
    <w:sectPr w:rsidR="002373C1" w:rsidRPr="00A47E38" w:rsidSect="008C30CC">
      <w:headerReference w:type="even" r:id="rId11"/>
      <w:headerReference w:type="default" r:id="rId12"/>
      <w:footerReference w:type="default" r:id="rId13"/>
      <w:footerReference w:type="first" r:id="rId14"/>
      <w:pgSz w:w="11906" w:h="16838"/>
      <w:pgMar w:top="1418" w:right="1134" w:bottom="1134" w:left="1701" w:header="709" w:footer="6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BB" w:rsidRDefault="00F72CBB">
      <w:r>
        <w:separator/>
      </w:r>
    </w:p>
  </w:endnote>
  <w:endnote w:type="continuationSeparator" w:id="0">
    <w:p w:rsidR="00F72CBB" w:rsidRDefault="00F7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2D" w:rsidRPr="00340F2D" w:rsidRDefault="00340F2D" w:rsidP="000F479A">
    <w:pPr>
      <w:pStyle w:val="Kjene"/>
      <w:tabs>
        <w:tab w:val="clear" w:pos="8306"/>
        <w:tab w:val="right" w:pos="9072"/>
      </w:tabs>
      <w:jc w:val="both"/>
      <w:rPr>
        <w:sz w:val="20"/>
        <w:szCs w:val="20"/>
      </w:rPr>
    </w:pPr>
    <w:r w:rsidRPr="00340F2D">
      <w:rPr>
        <w:sz w:val="20"/>
        <w:szCs w:val="20"/>
      </w:rPr>
      <w:t>TMprot_</w:t>
    </w:r>
    <w:r w:rsidR="001C34D3">
      <w:rPr>
        <w:sz w:val="20"/>
        <w:szCs w:val="20"/>
      </w:rPr>
      <w:t>1</w:t>
    </w:r>
    <w:r w:rsidR="00ED574E">
      <w:rPr>
        <w:sz w:val="20"/>
        <w:szCs w:val="20"/>
      </w:rPr>
      <w:t>9</w:t>
    </w:r>
    <w:r w:rsidRPr="00340F2D">
      <w:rPr>
        <w:sz w:val="20"/>
        <w:szCs w:val="20"/>
      </w:rPr>
      <w:t>0712_parejas; Ministru kabineta sēdes protokollēmuma projekts „Par informatīvo ziņojumu</w:t>
    </w:r>
  </w:p>
  <w:p w:rsidR="0094799C" w:rsidRPr="00340F2D" w:rsidRDefault="00340F2D" w:rsidP="000F479A">
    <w:pPr>
      <w:pStyle w:val="Kjene"/>
      <w:tabs>
        <w:tab w:val="clear" w:pos="8306"/>
        <w:tab w:val="right" w:pos="9072"/>
      </w:tabs>
      <w:jc w:val="both"/>
      <w:rPr>
        <w:sz w:val="20"/>
        <w:szCs w:val="20"/>
      </w:rPr>
    </w:pPr>
    <w:r w:rsidRPr="00340F2D">
      <w:rPr>
        <w:sz w:val="20"/>
        <w:szCs w:val="20"/>
      </w:rPr>
      <w:t xml:space="preserve">„Par priekšlikumiem par iespējamiem grozījumiem normatīvajos aktos, paredzot normu ierobežojumu saglabāšanu līdz 2016. gada 1. janvārim vai arī to apjoma pakāpenisku atjaunošanu trīs gadu laikā””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9C" w:rsidRPr="008C30CC" w:rsidRDefault="0094799C" w:rsidP="00670539">
    <w:pPr>
      <w:jc w:val="both"/>
      <w:rPr>
        <w:sz w:val="20"/>
        <w:szCs w:val="20"/>
      </w:rPr>
    </w:pPr>
    <w:r w:rsidRPr="008C30CC">
      <w:rPr>
        <w:sz w:val="20"/>
        <w:szCs w:val="20"/>
      </w:rPr>
      <w:t>TMprot_</w:t>
    </w:r>
    <w:r w:rsidR="001C34D3">
      <w:rPr>
        <w:sz w:val="20"/>
        <w:szCs w:val="20"/>
      </w:rPr>
      <w:t>1</w:t>
    </w:r>
    <w:r w:rsidR="00ED574E">
      <w:rPr>
        <w:sz w:val="20"/>
        <w:szCs w:val="20"/>
      </w:rPr>
      <w:t>9</w:t>
    </w:r>
    <w:r w:rsidRPr="008C30CC">
      <w:rPr>
        <w:sz w:val="20"/>
        <w:szCs w:val="20"/>
      </w:rPr>
      <w:t>0712_pareja</w:t>
    </w:r>
    <w:r w:rsidR="00340F2D">
      <w:rPr>
        <w:sz w:val="20"/>
        <w:szCs w:val="20"/>
      </w:rPr>
      <w:t>s</w:t>
    </w:r>
    <w:r w:rsidRPr="008C30CC">
      <w:rPr>
        <w:sz w:val="20"/>
        <w:szCs w:val="20"/>
      </w:rPr>
      <w:t>; Ministru kabineta sēdes protokollēmuma projekts „Par informatīvo ziņojumu</w:t>
    </w:r>
  </w:p>
  <w:p w:rsidR="0094799C" w:rsidRPr="008B2210" w:rsidRDefault="0094799C" w:rsidP="00340F2D">
    <w:pPr>
      <w:jc w:val="both"/>
      <w:rPr>
        <w:color w:val="808080"/>
      </w:rPr>
    </w:pPr>
    <w:r w:rsidRPr="008C30CC">
      <w:rPr>
        <w:sz w:val="20"/>
        <w:szCs w:val="20"/>
      </w:rPr>
      <w:t>„Par priekšlikumiem par iespējamiem grozījumiem normatīvajos aktos, paredzot normu ierobežojumu saglabāšanu līdz 2016. gada 1. janvārim vai arī to apjoma pakāpenisku atjaunošanu trīs gadu laikā””</w:t>
    </w: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BB" w:rsidRDefault="00F72CBB">
      <w:r>
        <w:separator/>
      </w:r>
    </w:p>
  </w:footnote>
  <w:footnote w:type="continuationSeparator" w:id="0">
    <w:p w:rsidR="00F72CBB" w:rsidRDefault="00F72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9C" w:rsidRDefault="0094799C" w:rsidP="000C0BA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4799C" w:rsidRDefault="0094799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9C" w:rsidRPr="00B65848" w:rsidRDefault="0094799C"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Pr="00B65848">
      <w:rPr>
        <w:rStyle w:val="Lappusesnumurs"/>
        <w:sz w:val="24"/>
        <w:szCs w:val="24"/>
      </w:rPr>
      <w:instrText xml:space="preserve">PAGE  </w:instrText>
    </w:r>
    <w:r w:rsidRPr="00B65848">
      <w:rPr>
        <w:rStyle w:val="Lappusesnumurs"/>
        <w:sz w:val="24"/>
        <w:szCs w:val="24"/>
      </w:rPr>
      <w:fldChar w:fldCharType="separate"/>
    </w:r>
    <w:r w:rsidR="004B5430">
      <w:rPr>
        <w:rStyle w:val="Lappusesnumurs"/>
        <w:noProof/>
        <w:sz w:val="24"/>
        <w:szCs w:val="24"/>
      </w:rPr>
      <w:t>2</w:t>
    </w:r>
    <w:r w:rsidRPr="00B65848">
      <w:rPr>
        <w:rStyle w:val="Lappusesnumurs"/>
        <w:sz w:val="24"/>
        <w:szCs w:val="24"/>
      </w:rPr>
      <w:fldChar w:fldCharType="end"/>
    </w:r>
  </w:p>
  <w:p w:rsidR="0094799C" w:rsidRDefault="009479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01"/>
    <w:rsid w:val="000007AC"/>
    <w:rsid w:val="000062EB"/>
    <w:rsid w:val="00020CF1"/>
    <w:rsid w:val="0003009C"/>
    <w:rsid w:val="000319A2"/>
    <w:rsid w:val="0007312B"/>
    <w:rsid w:val="00080A01"/>
    <w:rsid w:val="00085DF7"/>
    <w:rsid w:val="00090A63"/>
    <w:rsid w:val="000C0BA9"/>
    <w:rsid w:val="000C33C5"/>
    <w:rsid w:val="000C511D"/>
    <w:rsid w:val="000D2426"/>
    <w:rsid w:val="000E3296"/>
    <w:rsid w:val="000F479A"/>
    <w:rsid w:val="000F72EB"/>
    <w:rsid w:val="0011421E"/>
    <w:rsid w:val="001325A1"/>
    <w:rsid w:val="0013385C"/>
    <w:rsid w:val="00165740"/>
    <w:rsid w:val="001818BF"/>
    <w:rsid w:val="00187F3C"/>
    <w:rsid w:val="001B3E9E"/>
    <w:rsid w:val="001C34D3"/>
    <w:rsid w:val="001E5035"/>
    <w:rsid w:val="00222737"/>
    <w:rsid w:val="002373C1"/>
    <w:rsid w:val="002510E6"/>
    <w:rsid w:val="002A2959"/>
    <w:rsid w:val="002D3BCA"/>
    <w:rsid w:val="00324C15"/>
    <w:rsid w:val="0032548E"/>
    <w:rsid w:val="00340F2D"/>
    <w:rsid w:val="00370C2B"/>
    <w:rsid w:val="003750DD"/>
    <w:rsid w:val="003C157B"/>
    <w:rsid w:val="003E5543"/>
    <w:rsid w:val="004150E0"/>
    <w:rsid w:val="00443D9B"/>
    <w:rsid w:val="00470FFE"/>
    <w:rsid w:val="0047602E"/>
    <w:rsid w:val="004B5430"/>
    <w:rsid w:val="004C3E22"/>
    <w:rsid w:val="00517EFC"/>
    <w:rsid w:val="005331B3"/>
    <w:rsid w:val="005C09FF"/>
    <w:rsid w:val="006015E7"/>
    <w:rsid w:val="006049E9"/>
    <w:rsid w:val="00623FF8"/>
    <w:rsid w:val="00635176"/>
    <w:rsid w:val="00670539"/>
    <w:rsid w:val="006936EB"/>
    <w:rsid w:val="00695D14"/>
    <w:rsid w:val="006B5729"/>
    <w:rsid w:val="0073050F"/>
    <w:rsid w:val="00761BF2"/>
    <w:rsid w:val="00783C80"/>
    <w:rsid w:val="00790E47"/>
    <w:rsid w:val="007C06AD"/>
    <w:rsid w:val="007E470A"/>
    <w:rsid w:val="00826843"/>
    <w:rsid w:val="00837C22"/>
    <w:rsid w:val="00842DA7"/>
    <w:rsid w:val="00854662"/>
    <w:rsid w:val="008940A1"/>
    <w:rsid w:val="008A06D4"/>
    <w:rsid w:val="008B2210"/>
    <w:rsid w:val="008C0BB2"/>
    <w:rsid w:val="008C30CC"/>
    <w:rsid w:val="008D6011"/>
    <w:rsid w:val="00944952"/>
    <w:rsid w:val="0094799C"/>
    <w:rsid w:val="00954D54"/>
    <w:rsid w:val="009C61ED"/>
    <w:rsid w:val="009F1BDA"/>
    <w:rsid w:val="009F70E2"/>
    <w:rsid w:val="00A37527"/>
    <w:rsid w:val="00A834E7"/>
    <w:rsid w:val="00AA47D7"/>
    <w:rsid w:val="00AA5F2E"/>
    <w:rsid w:val="00AE4E73"/>
    <w:rsid w:val="00B112D1"/>
    <w:rsid w:val="00BA7AE4"/>
    <w:rsid w:val="00BB113A"/>
    <w:rsid w:val="00BC097E"/>
    <w:rsid w:val="00BF65B2"/>
    <w:rsid w:val="00C22FC4"/>
    <w:rsid w:val="00C36031"/>
    <w:rsid w:val="00C839A2"/>
    <w:rsid w:val="00CE012A"/>
    <w:rsid w:val="00D2196E"/>
    <w:rsid w:val="00D36C02"/>
    <w:rsid w:val="00D71B65"/>
    <w:rsid w:val="00D73C1E"/>
    <w:rsid w:val="00D7606A"/>
    <w:rsid w:val="00DF3D39"/>
    <w:rsid w:val="00DF62F1"/>
    <w:rsid w:val="00E26C27"/>
    <w:rsid w:val="00E356F6"/>
    <w:rsid w:val="00E759D0"/>
    <w:rsid w:val="00E875DD"/>
    <w:rsid w:val="00EC73FF"/>
    <w:rsid w:val="00ED1220"/>
    <w:rsid w:val="00ED574E"/>
    <w:rsid w:val="00ED5FE6"/>
    <w:rsid w:val="00EF0887"/>
    <w:rsid w:val="00EF1825"/>
    <w:rsid w:val="00F47389"/>
    <w:rsid w:val="00F71E19"/>
    <w:rsid w:val="00F72CBB"/>
    <w:rsid w:val="00F7622F"/>
    <w:rsid w:val="00F87FCF"/>
    <w:rsid w:val="00F95EE7"/>
    <w:rsid w:val="00FD0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080A01"/>
    <w:rPr>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paragraph" w:styleId="Pamattekstaatkpe2">
    <w:name w:val="Body Text Indent 2"/>
    <w:basedOn w:val="Parasts"/>
    <w:link w:val="Pamattekstaatkpe2Rakstz"/>
    <w:rsid w:val="00ED1220"/>
    <w:pPr>
      <w:spacing w:after="120" w:line="480" w:lineRule="auto"/>
      <w:ind w:left="283"/>
    </w:pPr>
  </w:style>
  <w:style w:type="character" w:customStyle="1" w:styleId="Pamattekstaatkpe2Rakstz">
    <w:name w:val="Pamatteksta atkāpe 2 Rakstz."/>
    <w:basedOn w:val="Noklusjumarindkopasfonts"/>
    <w:link w:val="Pamattekstaatkpe2"/>
    <w:rsid w:val="00ED1220"/>
    <w:rPr>
      <w:sz w:val="28"/>
      <w:szCs w:val="28"/>
    </w:rPr>
  </w:style>
  <w:style w:type="paragraph" w:styleId="Sarakstarindkopa">
    <w:name w:val="List Paragraph"/>
    <w:basedOn w:val="Parasts"/>
    <w:uiPriority w:val="34"/>
    <w:qFormat/>
    <w:rsid w:val="00D71B65"/>
    <w:pPr>
      <w:ind w:left="720"/>
      <w:contextualSpacing/>
    </w:pPr>
  </w:style>
  <w:style w:type="character" w:styleId="Komentraatsauce">
    <w:name w:val="annotation reference"/>
    <w:basedOn w:val="Noklusjumarindkopasfonts"/>
    <w:rsid w:val="008C30CC"/>
    <w:rPr>
      <w:sz w:val="16"/>
      <w:szCs w:val="16"/>
    </w:rPr>
  </w:style>
  <w:style w:type="paragraph" w:styleId="Komentrateksts">
    <w:name w:val="annotation text"/>
    <w:basedOn w:val="Parasts"/>
    <w:link w:val="KomentratekstsRakstz"/>
    <w:rsid w:val="008C30CC"/>
    <w:rPr>
      <w:sz w:val="20"/>
      <w:szCs w:val="20"/>
    </w:rPr>
  </w:style>
  <w:style w:type="character" w:customStyle="1" w:styleId="KomentratekstsRakstz">
    <w:name w:val="Komentāra teksts Rakstz."/>
    <w:basedOn w:val="Noklusjumarindkopasfonts"/>
    <w:link w:val="Komentrateksts"/>
    <w:rsid w:val="008C30CC"/>
  </w:style>
  <w:style w:type="paragraph" w:styleId="Komentratma">
    <w:name w:val="annotation subject"/>
    <w:basedOn w:val="Komentrateksts"/>
    <w:next w:val="Komentrateksts"/>
    <w:link w:val="KomentratmaRakstz"/>
    <w:rsid w:val="008C30CC"/>
    <w:rPr>
      <w:b/>
      <w:bCs/>
    </w:rPr>
  </w:style>
  <w:style w:type="character" w:customStyle="1" w:styleId="KomentratmaRakstz">
    <w:name w:val="Komentāra tēma Rakstz."/>
    <w:basedOn w:val="KomentratekstsRakstz"/>
    <w:link w:val="Komentratma"/>
    <w:rsid w:val="008C30CC"/>
    <w:rPr>
      <w:b/>
      <w:bCs/>
    </w:rPr>
  </w:style>
  <w:style w:type="paragraph" w:styleId="Balonteksts">
    <w:name w:val="Balloon Text"/>
    <w:basedOn w:val="Parasts"/>
    <w:link w:val="BalontekstsRakstz"/>
    <w:rsid w:val="008C30CC"/>
    <w:rPr>
      <w:rFonts w:ascii="Tahoma" w:hAnsi="Tahoma" w:cs="Tahoma"/>
      <w:sz w:val="16"/>
      <w:szCs w:val="16"/>
    </w:rPr>
  </w:style>
  <w:style w:type="character" w:customStyle="1" w:styleId="BalontekstsRakstz">
    <w:name w:val="Balonteksts Rakstz."/>
    <w:basedOn w:val="Noklusjumarindkopasfonts"/>
    <w:link w:val="Balonteksts"/>
    <w:rsid w:val="008C3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080A01"/>
    <w:rPr>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paragraph" w:styleId="Pamattekstaatkpe2">
    <w:name w:val="Body Text Indent 2"/>
    <w:basedOn w:val="Parasts"/>
    <w:link w:val="Pamattekstaatkpe2Rakstz"/>
    <w:rsid w:val="00ED1220"/>
    <w:pPr>
      <w:spacing w:after="120" w:line="480" w:lineRule="auto"/>
      <w:ind w:left="283"/>
    </w:pPr>
  </w:style>
  <w:style w:type="character" w:customStyle="1" w:styleId="Pamattekstaatkpe2Rakstz">
    <w:name w:val="Pamatteksta atkāpe 2 Rakstz."/>
    <w:basedOn w:val="Noklusjumarindkopasfonts"/>
    <w:link w:val="Pamattekstaatkpe2"/>
    <w:rsid w:val="00ED1220"/>
    <w:rPr>
      <w:sz w:val="28"/>
      <w:szCs w:val="28"/>
    </w:rPr>
  </w:style>
  <w:style w:type="paragraph" w:styleId="Sarakstarindkopa">
    <w:name w:val="List Paragraph"/>
    <w:basedOn w:val="Parasts"/>
    <w:uiPriority w:val="34"/>
    <w:qFormat/>
    <w:rsid w:val="00D71B65"/>
    <w:pPr>
      <w:ind w:left="720"/>
      <w:contextualSpacing/>
    </w:pPr>
  </w:style>
  <w:style w:type="character" w:styleId="Komentraatsauce">
    <w:name w:val="annotation reference"/>
    <w:basedOn w:val="Noklusjumarindkopasfonts"/>
    <w:rsid w:val="008C30CC"/>
    <w:rPr>
      <w:sz w:val="16"/>
      <w:szCs w:val="16"/>
    </w:rPr>
  </w:style>
  <w:style w:type="paragraph" w:styleId="Komentrateksts">
    <w:name w:val="annotation text"/>
    <w:basedOn w:val="Parasts"/>
    <w:link w:val="KomentratekstsRakstz"/>
    <w:rsid w:val="008C30CC"/>
    <w:rPr>
      <w:sz w:val="20"/>
      <w:szCs w:val="20"/>
    </w:rPr>
  </w:style>
  <w:style w:type="character" w:customStyle="1" w:styleId="KomentratekstsRakstz">
    <w:name w:val="Komentāra teksts Rakstz."/>
    <w:basedOn w:val="Noklusjumarindkopasfonts"/>
    <w:link w:val="Komentrateksts"/>
    <w:rsid w:val="008C30CC"/>
  </w:style>
  <w:style w:type="paragraph" w:styleId="Komentratma">
    <w:name w:val="annotation subject"/>
    <w:basedOn w:val="Komentrateksts"/>
    <w:next w:val="Komentrateksts"/>
    <w:link w:val="KomentratmaRakstz"/>
    <w:rsid w:val="008C30CC"/>
    <w:rPr>
      <w:b/>
      <w:bCs/>
    </w:rPr>
  </w:style>
  <w:style w:type="character" w:customStyle="1" w:styleId="KomentratmaRakstz">
    <w:name w:val="Komentāra tēma Rakstz."/>
    <w:basedOn w:val="KomentratekstsRakstz"/>
    <w:link w:val="Komentratma"/>
    <w:rsid w:val="008C30CC"/>
    <w:rPr>
      <w:b/>
      <w:bCs/>
    </w:rPr>
  </w:style>
  <w:style w:type="paragraph" w:styleId="Balonteksts">
    <w:name w:val="Balloon Text"/>
    <w:basedOn w:val="Parasts"/>
    <w:link w:val="BalontekstsRakstz"/>
    <w:rsid w:val="008C30CC"/>
    <w:rPr>
      <w:rFonts w:ascii="Tahoma" w:hAnsi="Tahoma" w:cs="Tahoma"/>
      <w:sz w:val="16"/>
      <w:szCs w:val="16"/>
    </w:rPr>
  </w:style>
  <w:style w:type="character" w:customStyle="1" w:styleId="BalontekstsRakstz">
    <w:name w:val="Balonteksts Rakstz."/>
    <w:basedOn w:val="Noklusjumarindkopasfonts"/>
    <w:link w:val="Balonteksts"/>
    <w:rsid w:val="008C3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na.Baha@tm.gov.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ine.Kipena@tm.gov.lv" TargetMode="External"/><Relationship Id="rId4" Type="http://schemas.openxmlformats.org/officeDocument/2006/relationships/settings" Target="settings.xml"/><Relationship Id="rId9" Type="http://schemas.openxmlformats.org/officeDocument/2006/relationships/hyperlink" Target="mailto:Ruta.Kalnaca@t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1871</Words>
  <Characters>1067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informatīvo ziņojumu „Par priekšlikumiem par iespējamiem grozījumiem normatīvajos aktos, paredzot normu ierobežojumu saglabāšanu līdz 2016. gada 1. janvārim vai arī to apjoma pakāpenisku atjaunošanu trīs gadu laikā"</vt:lpstr>
      <vt:lpstr>Par informatīvo ziņojumu„Par priekšlikumiem par iespējamiem grozījumiem normatīvajos aktos, paredzot normu ierobežojumu saglabāšanu līdz 2016. gada 1. janvārim vai arī to apjoma pakāpenisku atjaunošanu trīs gadu laikā"</vt:lpstr>
    </vt:vector>
  </TitlesOfParts>
  <Company>TM</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priekšlikumiem par iespējamiem grozījumiem normatīvajos aktos, paredzot normu ierobežojumu saglabāšanu līdz 2016. gada 1. janvārim vai arī to apjoma pakāpenisku atjaunošanu trīs gadu laikā"</dc:title>
  <dc:subject>protokollēmuma projekts</dc:subject>
  <dc:creator>Daina Baha</dc:creator>
  <dc:description>Tieslietu ministrijas
Brīvo juridisko profesiju departamenta 
juriskonsulte D. Baha 
67036838, Daina.Baha@tm.gov.lv 
fakss 67210823</dc:description>
  <cp:lastModifiedBy>Daina Baha</cp:lastModifiedBy>
  <cp:revision>7</cp:revision>
  <cp:lastPrinted>2012-07-02T11:53:00Z</cp:lastPrinted>
  <dcterms:created xsi:type="dcterms:W3CDTF">2012-07-19T08:52:00Z</dcterms:created>
  <dcterms:modified xsi:type="dcterms:W3CDTF">2012-07-19T12:58:00Z</dcterms:modified>
</cp:coreProperties>
</file>