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BA" w:rsidRDefault="00176FBA" w:rsidP="00176FBA">
      <w:pPr>
        <w:jc w:val="right"/>
        <w:rPr>
          <w:rFonts w:ascii="Times New Roman" w:hAnsi="Times New Roman"/>
          <w:sz w:val="24"/>
          <w:szCs w:val="24"/>
        </w:rPr>
      </w:pPr>
      <w:r w:rsidRPr="00841AA6">
        <w:rPr>
          <w:rFonts w:ascii="Times New Roman" w:hAnsi="Times New Roman"/>
          <w:sz w:val="24"/>
          <w:szCs w:val="24"/>
        </w:rPr>
        <w:t>PROJEKTS</w:t>
      </w:r>
    </w:p>
    <w:p w:rsidR="00841AA6" w:rsidRDefault="00841AA6" w:rsidP="00841AA6">
      <w:pPr>
        <w:jc w:val="right"/>
        <w:rPr>
          <w:rFonts w:ascii="Times New Roman" w:hAnsi="Times New Roman"/>
          <w:sz w:val="24"/>
          <w:szCs w:val="24"/>
        </w:rPr>
      </w:pPr>
    </w:p>
    <w:p w:rsidR="00426709" w:rsidRDefault="00841AA6" w:rsidP="00426709">
      <w:pPr>
        <w:jc w:val="right"/>
        <w:rPr>
          <w:rFonts w:ascii="Times New Roman" w:hAnsi="Times New Roman"/>
          <w:b/>
          <w:sz w:val="24"/>
          <w:szCs w:val="24"/>
        </w:rPr>
      </w:pPr>
      <w:r w:rsidRPr="00F172B3">
        <w:rPr>
          <w:rFonts w:ascii="Times New Roman" w:hAnsi="Times New Roman"/>
          <w:b/>
          <w:sz w:val="24"/>
          <w:szCs w:val="24"/>
        </w:rPr>
        <w:t>Latvijas Republikas Saeimas</w:t>
      </w:r>
      <w:r w:rsidR="00426709">
        <w:rPr>
          <w:rFonts w:ascii="Times New Roman" w:hAnsi="Times New Roman"/>
          <w:b/>
          <w:sz w:val="24"/>
          <w:szCs w:val="24"/>
        </w:rPr>
        <w:t xml:space="preserve"> </w:t>
      </w:r>
      <w:r w:rsidRPr="00F172B3">
        <w:rPr>
          <w:rFonts w:ascii="Times New Roman" w:hAnsi="Times New Roman"/>
          <w:b/>
          <w:sz w:val="24"/>
          <w:szCs w:val="24"/>
        </w:rPr>
        <w:t xml:space="preserve">Aizsardzības, </w:t>
      </w:r>
    </w:p>
    <w:p w:rsidR="00841AA6" w:rsidRPr="00F172B3" w:rsidRDefault="00841AA6" w:rsidP="00426709">
      <w:pPr>
        <w:jc w:val="right"/>
        <w:rPr>
          <w:rFonts w:ascii="Times New Roman" w:hAnsi="Times New Roman"/>
          <w:b/>
          <w:sz w:val="24"/>
          <w:szCs w:val="24"/>
        </w:rPr>
      </w:pPr>
      <w:r w:rsidRPr="00F172B3">
        <w:rPr>
          <w:rFonts w:ascii="Times New Roman" w:hAnsi="Times New Roman"/>
          <w:b/>
          <w:sz w:val="24"/>
          <w:szCs w:val="24"/>
        </w:rPr>
        <w:t>iekšlietu un korupcijas novēršanas komisijas</w:t>
      </w:r>
    </w:p>
    <w:p w:rsidR="00426709" w:rsidRDefault="00841AA6" w:rsidP="00841AA6">
      <w:pPr>
        <w:jc w:val="right"/>
        <w:rPr>
          <w:rFonts w:ascii="Times New Roman" w:hAnsi="Times New Roman"/>
          <w:b/>
          <w:sz w:val="24"/>
          <w:szCs w:val="24"/>
        </w:rPr>
      </w:pPr>
      <w:r w:rsidRPr="00F172B3">
        <w:rPr>
          <w:rFonts w:ascii="Times New Roman" w:hAnsi="Times New Roman"/>
          <w:b/>
          <w:sz w:val="24"/>
          <w:szCs w:val="24"/>
        </w:rPr>
        <w:t>Koru</w:t>
      </w:r>
      <w:r w:rsidR="00F172B3" w:rsidRPr="00F172B3">
        <w:rPr>
          <w:rFonts w:ascii="Times New Roman" w:hAnsi="Times New Roman"/>
          <w:b/>
          <w:sz w:val="24"/>
          <w:szCs w:val="24"/>
        </w:rPr>
        <w:t xml:space="preserve">pcijas novēršanas apakškomisijas </w:t>
      </w:r>
    </w:p>
    <w:p w:rsidR="00841AA6" w:rsidRPr="00F172B3" w:rsidRDefault="00F172B3" w:rsidP="00841AA6">
      <w:pPr>
        <w:jc w:val="right"/>
        <w:rPr>
          <w:rFonts w:ascii="Times New Roman" w:hAnsi="Times New Roman"/>
          <w:b/>
          <w:sz w:val="24"/>
          <w:szCs w:val="24"/>
        </w:rPr>
      </w:pPr>
      <w:r w:rsidRPr="00F172B3">
        <w:rPr>
          <w:rFonts w:ascii="Times New Roman" w:hAnsi="Times New Roman"/>
          <w:b/>
          <w:sz w:val="24"/>
          <w:szCs w:val="24"/>
        </w:rPr>
        <w:t>priekšsēdētājam</w:t>
      </w:r>
    </w:p>
    <w:p w:rsidR="00F172B3" w:rsidRPr="00F172B3" w:rsidRDefault="00F172B3" w:rsidP="00841AA6">
      <w:pPr>
        <w:jc w:val="right"/>
        <w:rPr>
          <w:rFonts w:ascii="Times New Roman" w:hAnsi="Times New Roman"/>
          <w:b/>
          <w:sz w:val="24"/>
          <w:szCs w:val="24"/>
        </w:rPr>
      </w:pPr>
      <w:r w:rsidRPr="00F172B3">
        <w:rPr>
          <w:rFonts w:ascii="Times New Roman" w:hAnsi="Times New Roman"/>
          <w:b/>
          <w:sz w:val="24"/>
          <w:szCs w:val="24"/>
        </w:rPr>
        <w:t>god. A. </w:t>
      </w:r>
      <w:proofErr w:type="spellStart"/>
      <w:r w:rsidRPr="00F172B3">
        <w:rPr>
          <w:rFonts w:ascii="Times New Roman" w:hAnsi="Times New Roman"/>
          <w:b/>
          <w:sz w:val="24"/>
          <w:szCs w:val="24"/>
        </w:rPr>
        <w:t>Loskutova</w:t>
      </w:r>
      <w:proofErr w:type="spellEnd"/>
      <w:r w:rsidRPr="00F172B3">
        <w:rPr>
          <w:rFonts w:ascii="Times New Roman" w:hAnsi="Times New Roman"/>
          <w:b/>
          <w:sz w:val="24"/>
          <w:szCs w:val="24"/>
        </w:rPr>
        <w:t xml:space="preserve"> kungam</w:t>
      </w:r>
    </w:p>
    <w:p w:rsidR="00954200" w:rsidRDefault="00954200" w:rsidP="00F172B3">
      <w:pPr>
        <w:jc w:val="both"/>
        <w:rPr>
          <w:rFonts w:ascii="Times New Roman" w:hAnsi="Times New Roman"/>
          <w:i/>
          <w:sz w:val="24"/>
          <w:szCs w:val="24"/>
        </w:rPr>
      </w:pPr>
    </w:p>
    <w:p w:rsidR="00426709" w:rsidRDefault="00F172B3" w:rsidP="00F172B3">
      <w:pPr>
        <w:jc w:val="both"/>
        <w:rPr>
          <w:rFonts w:ascii="Times New Roman" w:hAnsi="Times New Roman"/>
          <w:i/>
          <w:sz w:val="24"/>
          <w:szCs w:val="24"/>
        </w:rPr>
      </w:pPr>
      <w:r w:rsidRPr="00F172B3">
        <w:rPr>
          <w:rFonts w:ascii="Times New Roman" w:hAnsi="Times New Roman"/>
          <w:i/>
          <w:sz w:val="24"/>
          <w:szCs w:val="24"/>
        </w:rPr>
        <w:t xml:space="preserve">Par nepieciešamību pilnveidot Maksātnespējas </w:t>
      </w:r>
    </w:p>
    <w:p w:rsidR="00F172B3" w:rsidRDefault="00F172B3" w:rsidP="00F172B3">
      <w:pPr>
        <w:jc w:val="both"/>
        <w:rPr>
          <w:rFonts w:ascii="Times New Roman" w:hAnsi="Times New Roman"/>
          <w:i/>
          <w:sz w:val="24"/>
          <w:szCs w:val="24"/>
        </w:rPr>
      </w:pPr>
      <w:r w:rsidRPr="00F172B3">
        <w:rPr>
          <w:rFonts w:ascii="Times New Roman" w:hAnsi="Times New Roman"/>
          <w:i/>
          <w:sz w:val="24"/>
          <w:szCs w:val="24"/>
        </w:rPr>
        <w:t xml:space="preserve">likumā noteikto maksātnespējas procesa </w:t>
      </w:r>
    </w:p>
    <w:p w:rsidR="00F172B3" w:rsidRPr="00F172B3" w:rsidRDefault="00F172B3" w:rsidP="00F172B3">
      <w:pPr>
        <w:jc w:val="both"/>
        <w:rPr>
          <w:rFonts w:ascii="Times New Roman" w:hAnsi="Times New Roman"/>
          <w:i/>
          <w:sz w:val="24"/>
          <w:szCs w:val="24"/>
        </w:rPr>
      </w:pPr>
      <w:r w:rsidRPr="00F172B3">
        <w:rPr>
          <w:rFonts w:ascii="Times New Roman" w:hAnsi="Times New Roman"/>
          <w:i/>
          <w:sz w:val="24"/>
          <w:szCs w:val="24"/>
        </w:rPr>
        <w:t>finansēšanas tiesisko regulējumu</w:t>
      </w:r>
    </w:p>
    <w:p w:rsidR="00F172B3" w:rsidRDefault="00F172B3" w:rsidP="00F172B3">
      <w:pPr>
        <w:jc w:val="both"/>
        <w:rPr>
          <w:rFonts w:ascii="Times New Roman" w:hAnsi="Times New Roman"/>
          <w:sz w:val="24"/>
          <w:szCs w:val="24"/>
        </w:rPr>
      </w:pPr>
    </w:p>
    <w:p w:rsidR="00F172B3" w:rsidRDefault="00F172B3" w:rsidP="00954200">
      <w:pPr>
        <w:ind w:firstLine="720"/>
        <w:jc w:val="both"/>
        <w:rPr>
          <w:rFonts w:ascii="Times New Roman" w:hAnsi="Times New Roman"/>
          <w:sz w:val="24"/>
          <w:szCs w:val="24"/>
        </w:rPr>
      </w:pPr>
      <w:r>
        <w:rPr>
          <w:rFonts w:ascii="Times New Roman" w:hAnsi="Times New Roman"/>
          <w:sz w:val="24"/>
          <w:szCs w:val="24"/>
        </w:rPr>
        <w:t xml:space="preserve">Esmu iepazinies ar Jūsu 2010. gada 15. decembra vēstuli Nr. 9/6-2-n/85-2010, kurā </w:t>
      </w:r>
      <w:r w:rsidR="00426709">
        <w:rPr>
          <w:rFonts w:ascii="Times New Roman" w:hAnsi="Times New Roman"/>
          <w:sz w:val="24"/>
          <w:szCs w:val="24"/>
        </w:rPr>
        <w:t xml:space="preserve">norādāt, ka </w:t>
      </w:r>
      <w:r w:rsidR="00426709" w:rsidRPr="00426709">
        <w:rPr>
          <w:rFonts w:ascii="Times New Roman" w:hAnsi="Times New Roman"/>
          <w:sz w:val="24"/>
          <w:szCs w:val="24"/>
        </w:rPr>
        <w:t>Saeimas Aizsardzības, iekšlietu un korupcijas novēršanas komisijas</w:t>
      </w:r>
      <w:r w:rsidR="00426709">
        <w:rPr>
          <w:rFonts w:ascii="Times New Roman" w:hAnsi="Times New Roman"/>
          <w:sz w:val="24"/>
          <w:szCs w:val="24"/>
        </w:rPr>
        <w:t xml:space="preserve"> </w:t>
      </w:r>
      <w:r w:rsidR="00426709" w:rsidRPr="00426709">
        <w:rPr>
          <w:rFonts w:ascii="Times New Roman" w:hAnsi="Times New Roman"/>
          <w:sz w:val="24"/>
          <w:szCs w:val="24"/>
        </w:rPr>
        <w:t>Korup</w:t>
      </w:r>
      <w:r w:rsidR="00426709">
        <w:rPr>
          <w:rFonts w:ascii="Times New Roman" w:hAnsi="Times New Roman"/>
          <w:sz w:val="24"/>
          <w:szCs w:val="24"/>
        </w:rPr>
        <w:t xml:space="preserve">cijas novēršanas apakškomisija ir konstatējusi risku maksātnespējas procesa izmaksu finansēšanas kārtībā, kas pilnībā nenovērš maksātnespējas procesa administratora iespējamās pretlikumīgās darbības, dodot iespēju administratoram patstāvīgi vienoties ar maksātnespējas procesa subjektu par atlīdzību. Ievērojot minēto, Jūs vēstulē </w:t>
      </w:r>
      <w:r>
        <w:rPr>
          <w:rFonts w:ascii="Times New Roman" w:hAnsi="Times New Roman"/>
          <w:sz w:val="24"/>
          <w:szCs w:val="24"/>
        </w:rPr>
        <w:t xml:space="preserve">aiciniet izvērtēt iespēju pilnveidot Maksātnespējas likumā </w:t>
      </w:r>
      <w:r w:rsidR="00FA0705">
        <w:rPr>
          <w:rFonts w:ascii="Times New Roman" w:hAnsi="Times New Roman"/>
          <w:sz w:val="24"/>
          <w:szCs w:val="24"/>
        </w:rPr>
        <w:t xml:space="preserve">(turpmāk – Likums) </w:t>
      </w:r>
      <w:r>
        <w:rPr>
          <w:rFonts w:ascii="Times New Roman" w:hAnsi="Times New Roman"/>
          <w:sz w:val="24"/>
          <w:szCs w:val="24"/>
        </w:rPr>
        <w:t>noteikto maksātnespējas procesa finansēšanas tiesisko regulējumu, iespējami samazinot korupcijas risku šajā procesā.</w:t>
      </w:r>
    </w:p>
    <w:p w:rsidR="008C4821" w:rsidRDefault="00294A3D" w:rsidP="008C4821">
      <w:pPr>
        <w:ind w:firstLine="720"/>
        <w:jc w:val="both"/>
        <w:rPr>
          <w:rFonts w:ascii="Times New Roman" w:hAnsi="Times New Roman"/>
          <w:sz w:val="24"/>
          <w:szCs w:val="24"/>
        </w:rPr>
      </w:pPr>
      <w:r>
        <w:rPr>
          <w:rFonts w:ascii="Times New Roman" w:hAnsi="Times New Roman"/>
          <w:sz w:val="24"/>
          <w:szCs w:val="24"/>
        </w:rPr>
        <w:t xml:space="preserve">Saskaņā ar </w:t>
      </w:r>
      <w:r w:rsidR="00FA0705">
        <w:rPr>
          <w:rFonts w:ascii="Times New Roman" w:hAnsi="Times New Roman"/>
          <w:sz w:val="24"/>
          <w:szCs w:val="24"/>
        </w:rPr>
        <w:t>L</w:t>
      </w:r>
      <w:r>
        <w:rPr>
          <w:rFonts w:ascii="Times New Roman" w:hAnsi="Times New Roman"/>
          <w:sz w:val="24"/>
          <w:szCs w:val="24"/>
        </w:rPr>
        <w:t>ikumu administrators var tikt iecelts trīs procesos, kur</w:t>
      </w:r>
      <w:r w:rsidR="006E60A1">
        <w:rPr>
          <w:rFonts w:ascii="Times New Roman" w:hAnsi="Times New Roman"/>
          <w:sz w:val="24"/>
          <w:szCs w:val="24"/>
        </w:rPr>
        <w:t xml:space="preserve">os par </w:t>
      </w:r>
      <w:r w:rsidR="006E60A1" w:rsidRPr="006E60A1">
        <w:rPr>
          <w:rFonts w:ascii="Times New Roman" w:hAnsi="Times New Roman"/>
          <w:sz w:val="24"/>
          <w:szCs w:val="24"/>
        </w:rPr>
        <w:t>administratora pienākumu veikšanu</w:t>
      </w:r>
      <w:r w:rsidR="006E60A1">
        <w:rPr>
          <w:rFonts w:ascii="Times New Roman" w:hAnsi="Times New Roman"/>
          <w:sz w:val="24"/>
          <w:szCs w:val="24"/>
        </w:rPr>
        <w:t xml:space="preserve"> </w:t>
      </w:r>
      <w:r w:rsidR="006E60A1" w:rsidRPr="006E60A1">
        <w:rPr>
          <w:rFonts w:ascii="Times New Roman" w:hAnsi="Times New Roman"/>
          <w:sz w:val="24"/>
          <w:szCs w:val="24"/>
        </w:rPr>
        <w:t>administrators saņem atlīdzību</w:t>
      </w:r>
      <w:r w:rsidR="006E60A1">
        <w:rPr>
          <w:rFonts w:ascii="Times New Roman" w:hAnsi="Times New Roman"/>
          <w:sz w:val="24"/>
          <w:szCs w:val="24"/>
        </w:rPr>
        <w:t>: juridiskās personas maksātnespējas procesā, fiziskās personas maksātnespējas procesā un tiesiskās aizsardzības procesā. Atbilstoši juridiskās personas maksātnespējas procesa regulējumam a</w:t>
      </w:r>
      <w:r w:rsidR="006E60A1" w:rsidRPr="006E60A1">
        <w:rPr>
          <w:rFonts w:ascii="Times New Roman" w:hAnsi="Times New Roman"/>
          <w:sz w:val="24"/>
          <w:szCs w:val="24"/>
        </w:rPr>
        <w:t>dministratora atlīdzība</w:t>
      </w:r>
      <w:r w:rsidR="006E60A1">
        <w:rPr>
          <w:rFonts w:ascii="Times New Roman" w:hAnsi="Times New Roman"/>
          <w:sz w:val="24"/>
          <w:szCs w:val="24"/>
        </w:rPr>
        <w:t>s apmērs un izmaksāšanas kārtība</w:t>
      </w:r>
      <w:r w:rsidR="006E60A1" w:rsidRPr="006E60A1">
        <w:rPr>
          <w:rFonts w:ascii="Times New Roman" w:hAnsi="Times New Roman"/>
          <w:sz w:val="24"/>
          <w:szCs w:val="24"/>
        </w:rPr>
        <w:t xml:space="preserve"> juridiskās personas maksātnespējas procesā</w:t>
      </w:r>
      <w:r w:rsidR="006E60A1">
        <w:rPr>
          <w:rFonts w:ascii="Times New Roman" w:hAnsi="Times New Roman"/>
          <w:sz w:val="24"/>
          <w:szCs w:val="24"/>
        </w:rPr>
        <w:t xml:space="preserve"> ir noteikta </w:t>
      </w:r>
      <w:r w:rsidR="00FA0705">
        <w:rPr>
          <w:rFonts w:ascii="Times New Roman" w:hAnsi="Times New Roman"/>
          <w:sz w:val="24"/>
          <w:szCs w:val="24"/>
        </w:rPr>
        <w:t>L</w:t>
      </w:r>
      <w:r w:rsidR="006E60A1">
        <w:rPr>
          <w:rFonts w:ascii="Times New Roman" w:hAnsi="Times New Roman"/>
          <w:sz w:val="24"/>
          <w:szCs w:val="24"/>
        </w:rPr>
        <w:t>ikuma 169. pantā</w:t>
      </w:r>
      <w:r w:rsidR="00A706B7">
        <w:rPr>
          <w:rFonts w:ascii="Times New Roman" w:hAnsi="Times New Roman"/>
          <w:sz w:val="24"/>
          <w:szCs w:val="24"/>
        </w:rPr>
        <w:t>. Minētā panta otrās daļas 2. un 3. punkts</w:t>
      </w:r>
      <w:r w:rsidR="008C4821">
        <w:rPr>
          <w:rFonts w:ascii="Times New Roman" w:hAnsi="Times New Roman"/>
          <w:sz w:val="24"/>
          <w:szCs w:val="24"/>
        </w:rPr>
        <w:t xml:space="preserve"> cita starpā</w:t>
      </w:r>
      <w:r w:rsidR="00A706B7">
        <w:rPr>
          <w:rFonts w:ascii="Times New Roman" w:hAnsi="Times New Roman"/>
          <w:sz w:val="24"/>
          <w:szCs w:val="24"/>
        </w:rPr>
        <w:t xml:space="preserve"> paredz iespēju administratoram vienoties ar kreditoriem arī par citu atlīdzī</w:t>
      </w:r>
      <w:r w:rsidR="00885B84">
        <w:rPr>
          <w:rFonts w:ascii="Times New Roman" w:hAnsi="Times New Roman"/>
          <w:sz w:val="24"/>
          <w:szCs w:val="24"/>
        </w:rPr>
        <w:t xml:space="preserve">bas apmēru un segšanas kārtību, savukārt </w:t>
      </w:r>
      <w:r w:rsidR="00FA0705">
        <w:rPr>
          <w:rFonts w:ascii="Times New Roman" w:hAnsi="Times New Roman"/>
          <w:sz w:val="24"/>
          <w:szCs w:val="24"/>
        </w:rPr>
        <w:t>L</w:t>
      </w:r>
      <w:r w:rsidR="00885B84">
        <w:rPr>
          <w:rFonts w:ascii="Times New Roman" w:hAnsi="Times New Roman"/>
          <w:sz w:val="24"/>
          <w:szCs w:val="24"/>
        </w:rPr>
        <w:t xml:space="preserve">ikuma 89. pants noteic, ka </w:t>
      </w:r>
      <w:r w:rsidR="00FA0705">
        <w:rPr>
          <w:rFonts w:ascii="Times New Roman" w:hAnsi="Times New Roman"/>
          <w:sz w:val="24"/>
          <w:szCs w:val="24"/>
        </w:rPr>
        <w:t>L</w:t>
      </w:r>
      <w:r w:rsidR="00885B84">
        <w:rPr>
          <w:rFonts w:ascii="Times New Roman" w:hAnsi="Times New Roman"/>
          <w:sz w:val="24"/>
          <w:szCs w:val="24"/>
        </w:rPr>
        <w:t xml:space="preserve">ikumā noteiktajos gadījumos par </w:t>
      </w:r>
      <w:r w:rsidR="00885B84" w:rsidRPr="00885B84">
        <w:rPr>
          <w:rFonts w:ascii="Times New Roman" w:hAnsi="Times New Roman"/>
          <w:sz w:val="24"/>
          <w:szCs w:val="24"/>
        </w:rPr>
        <w:t>administratora atlīdzības noteikšanu</w:t>
      </w:r>
      <w:r w:rsidR="00885B84">
        <w:rPr>
          <w:rFonts w:ascii="Times New Roman" w:hAnsi="Times New Roman"/>
          <w:sz w:val="24"/>
          <w:szCs w:val="24"/>
        </w:rPr>
        <w:t xml:space="preserve"> lemj kreditoru sapulce.</w:t>
      </w:r>
      <w:r w:rsidR="00885B84" w:rsidRPr="00885B84">
        <w:rPr>
          <w:rFonts w:ascii="Times New Roman" w:hAnsi="Times New Roman"/>
          <w:sz w:val="24"/>
          <w:szCs w:val="24"/>
        </w:rPr>
        <w:t xml:space="preserve"> </w:t>
      </w:r>
      <w:r w:rsidR="008C4821">
        <w:rPr>
          <w:rFonts w:ascii="Times New Roman" w:hAnsi="Times New Roman"/>
          <w:sz w:val="24"/>
          <w:szCs w:val="24"/>
        </w:rPr>
        <w:t>No minētā izriet, ka</w:t>
      </w:r>
      <w:r w:rsidR="00A706B7">
        <w:rPr>
          <w:rFonts w:ascii="Times New Roman" w:hAnsi="Times New Roman"/>
          <w:sz w:val="24"/>
          <w:szCs w:val="24"/>
        </w:rPr>
        <w:t xml:space="preserve"> juridiskās personas maksātnespējas procesa regulējums neparedz iespēju administratoram vienoties ar pašu maksātnespējas procesa subjektu par atlīdzību</w:t>
      </w:r>
      <w:r w:rsidR="00395919">
        <w:rPr>
          <w:rFonts w:ascii="Times New Roman" w:hAnsi="Times New Roman"/>
          <w:sz w:val="24"/>
          <w:szCs w:val="24"/>
        </w:rPr>
        <w:t xml:space="preserve">, taču </w:t>
      </w:r>
      <w:r w:rsidR="008C4821">
        <w:rPr>
          <w:rFonts w:ascii="Times New Roman" w:hAnsi="Times New Roman"/>
          <w:sz w:val="24"/>
          <w:szCs w:val="24"/>
        </w:rPr>
        <w:t xml:space="preserve"> </w:t>
      </w:r>
      <w:r w:rsidR="00395919">
        <w:rPr>
          <w:rFonts w:ascii="Times New Roman" w:hAnsi="Times New Roman"/>
          <w:sz w:val="24"/>
          <w:szCs w:val="24"/>
        </w:rPr>
        <w:t>j</w:t>
      </w:r>
      <w:r w:rsidR="008C4821">
        <w:rPr>
          <w:rFonts w:ascii="Times New Roman" w:hAnsi="Times New Roman"/>
          <w:sz w:val="24"/>
          <w:szCs w:val="24"/>
        </w:rPr>
        <w:t xml:space="preserve">āatzīst, ka </w:t>
      </w:r>
      <w:r w:rsidR="00395919">
        <w:rPr>
          <w:rFonts w:ascii="Times New Roman" w:hAnsi="Times New Roman"/>
          <w:sz w:val="24"/>
          <w:szCs w:val="24"/>
        </w:rPr>
        <w:t>šādas tiesības administratoram ir</w:t>
      </w:r>
      <w:r w:rsidR="008C4821">
        <w:rPr>
          <w:rFonts w:ascii="Times New Roman" w:hAnsi="Times New Roman"/>
          <w:sz w:val="24"/>
          <w:szCs w:val="24"/>
        </w:rPr>
        <w:t xml:space="preserve"> paredzētas fiziskās personas maksātnespējas proces</w:t>
      </w:r>
      <w:r w:rsidR="00395919">
        <w:rPr>
          <w:rFonts w:ascii="Times New Roman" w:hAnsi="Times New Roman"/>
          <w:sz w:val="24"/>
          <w:szCs w:val="24"/>
        </w:rPr>
        <w:t>ā</w:t>
      </w:r>
      <w:r w:rsidR="008C4821">
        <w:rPr>
          <w:rFonts w:ascii="Times New Roman" w:hAnsi="Times New Roman"/>
          <w:sz w:val="24"/>
          <w:szCs w:val="24"/>
        </w:rPr>
        <w:t xml:space="preserve"> –</w:t>
      </w:r>
      <w:r w:rsidR="00FA0705">
        <w:rPr>
          <w:rFonts w:ascii="Times New Roman" w:hAnsi="Times New Roman"/>
          <w:sz w:val="24"/>
          <w:szCs w:val="24"/>
        </w:rPr>
        <w:t>L</w:t>
      </w:r>
      <w:r w:rsidR="008C4821">
        <w:rPr>
          <w:rFonts w:ascii="Times New Roman" w:hAnsi="Times New Roman"/>
          <w:sz w:val="24"/>
          <w:szCs w:val="24"/>
        </w:rPr>
        <w:t>ikuma 171. panta trešajā daļā.</w:t>
      </w:r>
    </w:p>
    <w:p w:rsidR="00C3569E" w:rsidRDefault="00426709" w:rsidP="008C4821">
      <w:pPr>
        <w:ind w:firstLine="720"/>
        <w:jc w:val="both"/>
        <w:rPr>
          <w:rFonts w:ascii="Times New Roman" w:hAnsi="Times New Roman"/>
          <w:sz w:val="24"/>
          <w:szCs w:val="24"/>
        </w:rPr>
      </w:pPr>
      <w:r>
        <w:rPr>
          <w:rFonts w:ascii="Times New Roman" w:hAnsi="Times New Roman"/>
          <w:sz w:val="24"/>
          <w:szCs w:val="24"/>
        </w:rPr>
        <w:t xml:space="preserve">Vēršu uzmanību, ka viens no likumdevēja mērķiem </w:t>
      </w:r>
      <w:r w:rsidR="00FA0705">
        <w:rPr>
          <w:rFonts w:ascii="Times New Roman" w:hAnsi="Times New Roman"/>
          <w:sz w:val="24"/>
          <w:szCs w:val="24"/>
        </w:rPr>
        <w:t>L</w:t>
      </w:r>
      <w:r>
        <w:rPr>
          <w:rFonts w:ascii="Times New Roman" w:hAnsi="Times New Roman"/>
          <w:sz w:val="24"/>
          <w:szCs w:val="24"/>
        </w:rPr>
        <w:t>ikuma pieņemšanai</w:t>
      </w:r>
      <w:r w:rsidR="00973731">
        <w:rPr>
          <w:rFonts w:ascii="Times New Roman" w:hAnsi="Times New Roman"/>
          <w:sz w:val="24"/>
          <w:szCs w:val="24"/>
        </w:rPr>
        <w:t xml:space="preserve"> bija </w:t>
      </w:r>
      <w:r w:rsidR="00A678BB" w:rsidRPr="00A678BB">
        <w:rPr>
          <w:rFonts w:ascii="Times New Roman" w:hAnsi="Times New Roman"/>
          <w:sz w:val="24"/>
          <w:szCs w:val="24"/>
        </w:rPr>
        <w:t>uzlabot fiziskās personas maksātnespējas procesu, lai padarītu procesu pieejamāku grūtībās nonākušām fiziskām personām, kā arī padarot procesa procedūras vienkār</w:t>
      </w:r>
      <w:r w:rsidR="00A678BB">
        <w:rPr>
          <w:rFonts w:ascii="Times New Roman" w:hAnsi="Times New Roman"/>
          <w:sz w:val="24"/>
          <w:szCs w:val="24"/>
        </w:rPr>
        <w:t xml:space="preserve">šākas pašai fiziskajai personai. Ņemot vērā to, ka saskaņā ar iepriekšējo Maksātnespējas likumu (spēkā līdz 2010. gada 31. oktobrim) </w:t>
      </w:r>
      <w:r w:rsidR="00176FBA">
        <w:rPr>
          <w:rFonts w:ascii="Times New Roman" w:hAnsi="Times New Roman"/>
          <w:sz w:val="24"/>
          <w:szCs w:val="24"/>
        </w:rPr>
        <w:t xml:space="preserve">fiziskās personas </w:t>
      </w:r>
      <w:r w:rsidR="00A678BB">
        <w:rPr>
          <w:rFonts w:ascii="Times New Roman" w:hAnsi="Times New Roman"/>
          <w:sz w:val="24"/>
          <w:szCs w:val="24"/>
        </w:rPr>
        <w:t>maksātnespējas p</w:t>
      </w:r>
      <w:r w:rsidR="00A678BB" w:rsidRPr="00A678BB">
        <w:rPr>
          <w:rFonts w:ascii="Times New Roman" w:hAnsi="Times New Roman"/>
          <w:sz w:val="24"/>
          <w:szCs w:val="24"/>
        </w:rPr>
        <w:t xml:space="preserve">rocess </w:t>
      </w:r>
      <w:r w:rsidR="00A678BB">
        <w:rPr>
          <w:rFonts w:ascii="Times New Roman" w:hAnsi="Times New Roman"/>
          <w:sz w:val="24"/>
          <w:szCs w:val="24"/>
        </w:rPr>
        <w:t xml:space="preserve">bija </w:t>
      </w:r>
      <w:r w:rsidR="00A678BB" w:rsidRPr="00A678BB">
        <w:rPr>
          <w:rFonts w:ascii="Times New Roman" w:hAnsi="Times New Roman"/>
          <w:sz w:val="24"/>
          <w:szCs w:val="24"/>
        </w:rPr>
        <w:t>pieejams šauram personu lokam</w:t>
      </w:r>
      <w:r w:rsidR="00A678BB">
        <w:rPr>
          <w:rFonts w:ascii="Times New Roman" w:hAnsi="Times New Roman"/>
          <w:sz w:val="24"/>
          <w:szCs w:val="24"/>
        </w:rPr>
        <w:t xml:space="preserve"> tā dārdzības</w:t>
      </w:r>
      <w:r w:rsidR="00F57522">
        <w:rPr>
          <w:rFonts w:ascii="Times New Roman" w:hAnsi="Times New Roman"/>
          <w:sz w:val="24"/>
          <w:szCs w:val="24"/>
        </w:rPr>
        <w:t xml:space="preserve"> (</w:t>
      </w:r>
      <w:r w:rsidR="00A678BB">
        <w:rPr>
          <w:rFonts w:ascii="Times New Roman" w:hAnsi="Times New Roman"/>
          <w:sz w:val="24"/>
          <w:szCs w:val="24"/>
        </w:rPr>
        <w:t>nepieciešamīb</w:t>
      </w:r>
      <w:r w:rsidR="00F57522">
        <w:rPr>
          <w:rFonts w:ascii="Times New Roman" w:hAnsi="Times New Roman"/>
          <w:sz w:val="24"/>
          <w:szCs w:val="24"/>
        </w:rPr>
        <w:t>a</w:t>
      </w:r>
      <w:r w:rsidR="00A678BB">
        <w:rPr>
          <w:rFonts w:ascii="Times New Roman" w:hAnsi="Times New Roman"/>
          <w:sz w:val="24"/>
          <w:szCs w:val="24"/>
        </w:rPr>
        <w:t xml:space="preserve"> nodrošināt administratora ikmēneša atlīdzības segšanu no fiziskās personas līdzekļiem</w:t>
      </w:r>
      <w:r w:rsidR="00F57522">
        <w:rPr>
          <w:rFonts w:ascii="Times New Roman" w:hAnsi="Times New Roman"/>
          <w:sz w:val="24"/>
          <w:szCs w:val="24"/>
        </w:rPr>
        <w:t>)</w:t>
      </w:r>
      <w:r w:rsidR="00A678BB">
        <w:rPr>
          <w:rFonts w:ascii="Times New Roman" w:hAnsi="Times New Roman"/>
          <w:sz w:val="24"/>
          <w:szCs w:val="24"/>
        </w:rPr>
        <w:t xml:space="preserve"> un sarežģītas piemērošanas dēļ</w:t>
      </w:r>
      <w:r w:rsidR="00AD52D7">
        <w:rPr>
          <w:rFonts w:ascii="Times New Roman" w:hAnsi="Times New Roman"/>
          <w:sz w:val="24"/>
          <w:szCs w:val="24"/>
        </w:rPr>
        <w:t>, tika pilnveidots fiziskās personas maksātnespējas procesa regulējums, mainot administratora lomu un veicamos pienākumus procesā, kā arī mainot procesa finansēšanas kārtīb</w:t>
      </w:r>
      <w:r w:rsidR="000B4C09">
        <w:rPr>
          <w:rFonts w:ascii="Times New Roman" w:hAnsi="Times New Roman"/>
          <w:sz w:val="24"/>
          <w:szCs w:val="24"/>
        </w:rPr>
        <w:t>u</w:t>
      </w:r>
      <w:r w:rsidR="00AD52D7">
        <w:rPr>
          <w:rFonts w:ascii="Times New Roman" w:hAnsi="Times New Roman"/>
          <w:sz w:val="24"/>
          <w:szCs w:val="24"/>
        </w:rPr>
        <w:t xml:space="preserve">. </w:t>
      </w:r>
    </w:p>
    <w:p w:rsidR="00C3569E" w:rsidRDefault="00AD52D7" w:rsidP="008C4821">
      <w:pPr>
        <w:ind w:firstLine="720"/>
        <w:jc w:val="both"/>
        <w:rPr>
          <w:rFonts w:ascii="Times New Roman" w:hAnsi="Times New Roman"/>
          <w:sz w:val="24"/>
          <w:szCs w:val="24"/>
        </w:rPr>
      </w:pPr>
      <w:r>
        <w:rPr>
          <w:rFonts w:ascii="Times New Roman" w:hAnsi="Times New Roman"/>
          <w:sz w:val="24"/>
          <w:szCs w:val="24"/>
        </w:rPr>
        <w:t xml:space="preserve">Vienlaikus </w:t>
      </w:r>
      <w:r w:rsidR="00F03D00">
        <w:rPr>
          <w:rFonts w:ascii="Times New Roman" w:hAnsi="Times New Roman"/>
          <w:sz w:val="24"/>
          <w:szCs w:val="24"/>
        </w:rPr>
        <w:t>vērš</w:t>
      </w:r>
      <w:r w:rsidR="00F57522">
        <w:rPr>
          <w:rFonts w:ascii="Times New Roman" w:hAnsi="Times New Roman"/>
          <w:sz w:val="24"/>
          <w:szCs w:val="24"/>
        </w:rPr>
        <w:t>u</w:t>
      </w:r>
      <w:r w:rsidR="00F03D00">
        <w:rPr>
          <w:rFonts w:ascii="Times New Roman" w:hAnsi="Times New Roman"/>
          <w:sz w:val="24"/>
          <w:szCs w:val="24"/>
        </w:rPr>
        <w:t xml:space="preserve"> uzmanīb</w:t>
      </w:r>
      <w:r w:rsidR="00F57522">
        <w:rPr>
          <w:rFonts w:ascii="Times New Roman" w:hAnsi="Times New Roman"/>
          <w:sz w:val="24"/>
          <w:szCs w:val="24"/>
        </w:rPr>
        <w:t>u uz to</w:t>
      </w:r>
      <w:r>
        <w:rPr>
          <w:rFonts w:ascii="Times New Roman" w:hAnsi="Times New Roman"/>
          <w:sz w:val="24"/>
          <w:szCs w:val="24"/>
        </w:rPr>
        <w:t xml:space="preserve">, ka vēstulē </w:t>
      </w:r>
      <w:r w:rsidR="000B4C09">
        <w:rPr>
          <w:rFonts w:ascii="Times New Roman" w:hAnsi="Times New Roman"/>
          <w:sz w:val="24"/>
          <w:szCs w:val="24"/>
        </w:rPr>
        <w:t xml:space="preserve">minētā administratora atlīdzības izmaksāšanas kārtība ir piemērojama tikai gadījumos, kad fiziskā persona maksātnespējas procesā izmanto tai </w:t>
      </w:r>
      <w:r w:rsidR="00FA0705">
        <w:rPr>
          <w:rFonts w:ascii="Times New Roman" w:hAnsi="Times New Roman"/>
          <w:sz w:val="24"/>
          <w:szCs w:val="24"/>
        </w:rPr>
        <w:t>L</w:t>
      </w:r>
      <w:r w:rsidR="00176FBA">
        <w:rPr>
          <w:rFonts w:ascii="Times New Roman" w:hAnsi="Times New Roman"/>
          <w:sz w:val="24"/>
          <w:szCs w:val="24"/>
        </w:rPr>
        <w:t>ikuma 159. panta 3. </w:t>
      </w:r>
      <w:r w:rsidR="000B4C09">
        <w:rPr>
          <w:rFonts w:ascii="Times New Roman" w:hAnsi="Times New Roman"/>
          <w:sz w:val="24"/>
          <w:szCs w:val="24"/>
        </w:rPr>
        <w:t xml:space="preserve">punktā piešķirtās tiesības lūgt administratoram sniegt juridisko </w:t>
      </w:r>
      <w:r w:rsidR="000B4C09" w:rsidRPr="000B4C09">
        <w:rPr>
          <w:rFonts w:ascii="Times New Roman" w:hAnsi="Times New Roman"/>
          <w:sz w:val="24"/>
          <w:szCs w:val="24"/>
        </w:rPr>
        <w:t>palīdzību saistībā ar fiziskās per</w:t>
      </w:r>
      <w:r w:rsidR="000B4C09">
        <w:rPr>
          <w:rFonts w:ascii="Times New Roman" w:hAnsi="Times New Roman"/>
          <w:sz w:val="24"/>
          <w:szCs w:val="24"/>
        </w:rPr>
        <w:t>sonas maksātnespējas procesu, nepieciešamības gadījumā</w:t>
      </w:r>
      <w:r w:rsidR="000B4C09" w:rsidRPr="000B4C09">
        <w:rPr>
          <w:rFonts w:ascii="Times New Roman" w:hAnsi="Times New Roman"/>
          <w:sz w:val="24"/>
          <w:szCs w:val="24"/>
        </w:rPr>
        <w:t xml:space="preserve"> izstrādā</w:t>
      </w:r>
      <w:r w:rsidR="000B4C09">
        <w:rPr>
          <w:rFonts w:ascii="Times New Roman" w:hAnsi="Times New Roman"/>
          <w:sz w:val="24"/>
          <w:szCs w:val="24"/>
        </w:rPr>
        <w:t>jot</w:t>
      </w:r>
      <w:r w:rsidR="000B4C09" w:rsidRPr="000B4C09">
        <w:rPr>
          <w:rFonts w:ascii="Times New Roman" w:hAnsi="Times New Roman"/>
          <w:sz w:val="24"/>
          <w:szCs w:val="24"/>
        </w:rPr>
        <w:t xml:space="preserve"> arī fiziskās personas sai</w:t>
      </w:r>
      <w:r w:rsidR="000B4C09">
        <w:rPr>
          <w:rFonts w:ascii="Times New Roman" w:hAnsi="Times New Roman"/>
          <w:sz w:val="24"/>
          <w:szCs w:val="24"/>
        </w:rPr>
        <w:t>stību dzēšanas plānu</w:t>
      </w:r>
      <w:r w:rsidR="000B4C09" w:rsidRPr="000B4C09">
        <w:rPr>
          <w:rFonts w:ascii="Times New Roman" w:hAnsi="Times New Roman"/>
          <w:sz w:val="24"/>
          <w:szCs w:val="24"/>
        </w:rPr>
        <w:t>.</w:t>
      </w:r>
      <w:r w:rsidR="00AB0961">
        <w:rPr>
          <w:rFonts w:ascii="Times New Roman" w:hAnsi="Times New Roman"/>
          <w:sz w:val="24"/>
          <w:szCs w:val="24"/>
        </w:rPr>
        <w:t xml:space="preserve"> </w:t>
      </w:r>
      <w:r w:rsidR="00C3569E">
        <w:rPr>
          <w:rFonts w:ascii="Times New Roman" w:hAnsi="Times New Roman"/>
          <w:sz w:val="24"/>
          <w:szCs w:val="24"/>
        </w:rPr>
        <w:t xml:space="preserve">Šādā </w:t>
      </w:r>
      <w:r w:rsidR="00AB0961">
        <w:rPr>
          <w:rFonts w:ascii="Times New Roman" w:hAnsi="Times New Roman"/>
          <w:sz w:val="24"/>
          <w:szCs w:val="24"/>
        </w:rPr>
        <w:t xml:space="preserve">gadījumā </w:t>
      </w:r>
      <w:r w:rsidR="00F57522">
        <w:rPr>
          <w:rFonts w:ascii="Times New Roman" w:hAnsi="Times New Roman"/>
          <w:sz w:val="24"/>
          <w:szCs w:val="24"/>
        </w:rPr>
        <w:t xml:space="preserve">atbilstoši </w:t>
      </w:r>
      <w:r w:rsidR="00FA0705">
        <w:rPr>
          <w:rFonts w:ascii="Times New Roman" w:hAnsi="Times New Roman"/>
          <w:sz w:val="24"/>
          <w:szCs w:val="24"/>
        </w:rPr>
        <w:t>L</w:t>
      </w:r>
      <w:r w:rsidR="00F57522">
        <w:rPr>
          <w:rFonts w:ascii="Times New Roman" w:hAnsi="Times New Roman"/>
          <w:sz w:val="24"/>
          <w:szCs w:val="24"/>
        </w:rPr>
        <w:t xml:space="preserve">ikuma 171. panta trešajai daļai </w:t>
      </w:r>
      <w:r w:rsidR="00AB0961" w:rsidRPr="00AB0961">
        <w:rPr>
          <w:rFonts w:ascii="Times New Roman" w:hAnsi="Times New Roman"/>
          <w:sz w:val="24"/>
          <w:szCs w:val="24"/>
        </w:rPr>
        <w:t>administrators saņem atlīdzību, kas nepārsniedz samaksu par valstī nodrošinātās juridiskās palīdzības – juridiskās konsultācijas – sniegšanu</w:t>
      </w:r>
      <w:r w:rsidR="00F57522">
        <w:rPr>
          <w:rFonts w:ascii="Times New Roman" w:hAnsi="Times New Roman"/>
          <w:sz w:val="24"/>
          <w:szCs w:val="24"/>
        </w:rPr>
        <w:t xml:space="preserve"> (saskaņā ar Ministru kabineta </w:t>
      </w:r>
      <w:r w:rsidR="00F57522" w:rsidRPr="00F57522">
        <w:rPr>
          <w:rFonts w:ascii="Times New Roman" w:hAnsi="Times New Roman"/>
          <w:sz w:val="24"/>
          <w:szCs w:val="24"/>
        </w:rPr>
        <w:t>2009.</w:t>
      </w:r>
      <w:r w:rsidR="00F57522">
        <w:rPr>
          <w:rFonts w:ascii="Times New Roman" w:hAnsi="Times New Roman"/>
          <w:sz w:val="24"/>
          <w:szCs w:val="24"/>
        </w:rPr>
        <w:t> </w:t>
      </w:r>
      <w:r w:rsidR="00F57522" w:rsidRPr="00F57522">
        <w:rPr>
          <w:rFonts w:ascii="Times New Roman" w:hAnsi="Times New Roman"/>
          <w:sz w:val="24"/>
          <w:szCs w:val="24"/>
        </w:rPr>
        <w:t>gada 22.</w:t>
      </w:r>
      <w:r w:rsidR="00F57522">
        <w:rPr>
          <w:rFonts w:ascii="Times New Roman" w:hAnsi="Times New Roman"/>
          <w:sz w:val="24"/>
          <w:szCs w:val="24"/>
        </w:rPr>
        <w:t> decembra noteikumu Nr. 1493 „</w:t>
      </w:r>
      <w:r w:rsidR="00F57522" w:rsidRPr="00F57522">
        <w:rPr>
          <w:rFonts w:ascii="Times New Roman" w:hAnsi="Times New Roman"/>
          <w:sz w:val="24"/>
          <w:szCs w:val="24"/>
        </w:rPr>
        <w:t xml:space="preserve">Noteikumi par valsts nodrošinātās juridiskās palīdzības apjomu, samaksas apmēru, atlīdzināmajiem izdevumiem un to </w:t>
      </w:r>
      <w:r w:rsidR="00F57522" w:rsidRPr="00F57522">
        <w:rPr>
          <w:rFonts w:ascii="Times New Roman" w:hAnsi="Times New Roman"/>
          <w:sz w:val="24"/>
          <w:szCs w:val="24"/>
        </w:rPr>
        <w:lastRenderedPageBreak/>
        <w:t>izmaksas kārtību</w:t>
      </w:r>
      <w:r w:rsidR="00F57522">
        <w:rPr>
          <w:rFonts w:ascii="Times New Roman" w:hAnsi="Times New Roman"/>
          <w:sz w:val="24"/>
          <w:szCs w:val="24"/>
        </w:rPr>
        <w:t>”</w:t>
      </w:r>
      <w:r w:rsidR="00AB0961">
        <w:rPr>
          <w:rFonts w:ascii="Times New Roman" w:hAnsi="Times New Roman"/>
          <w:sz w:val="24"/>
          <w:szCs w:val="24"/>
        </w:rPr>
        <w:t xml:space="preserve"> </w:t>
      </w:r>
      <w:r w:rsidR="00F57522">
        <w:rPr>
          <w:rFonts w:ascii="Times New Roman" w:hAnsi="Times New Roman"/>
          <w:sz w:val="24"/>
          <w:szCs w:val="24"/>
        </w:rPr>
        <w:t xml:space="preserve"> 9.1. apakšpunktu j</w:t>
      </w:r>
      <w:r w:rsidR="00F57522" w:rsidRPr="00F57522">
        <w:rPr>
          <w:rFonts w:ascii="Times New Roman" w:hAnsi="Times New Roman"/>
          <w:sz w:val="24"/>
          <w:szCs w:val="24"/>
        </w:rPr>
        <w:t xml:space="preserve">uridiskās palīdzības sniedzējam par sniegtu juridisko konsultāciju </w:t>
      </w:r>
      <w:r w:rsidR="00F57522">
        <w:rPr>
          <w:rFonts w:ascii="Times New Roman" w:hAnsi="Times New Roman"/>
          <w:sz w:val="24"/>
          <w:szCs w:val="24"/>
        </w:rPr>
        <w:t>maksā</w:t>
      </w:r>
      <w:r w:rsidR="00C7691E">
        <w:rPr>
          <w:rFonts w:ascii="Times New Roman" w:hAnsi="Times New Roman"/>
          <w:sz w:val="24"/>
          <w:szCs w:val="24"/>
        </w:rPr>
        <w:t xml:space="preserve"> </w:t>
      </w:r>
      <w:r w:rsidR="00F57522">
        <w:rPr>
          <w:rFonts w:ascii="Times New Roman" w:hAnsi="Times New Roman"/>
          <w:sz w:val="24"/>
          <w:szCs w:val="24"/>
        </w:rPr>
        <w:t>13,50 </w:t>
      </w:r>
      <w:r w:rsidR="00F57522" w:rsidRPr="00F57522">
        <w:rPr>
          <w:rFonts w:ascii="Times New Roman" w:hAnsi="Times New Roman"/>
          <w:sz w:val="24"/>
          <w:szCs w:val="24"/>
        </w:rPr>
        <w:t>latu stundā</w:t>
      </w:r>
      <w:r w:rsidR="00F57522">
        <w:rPr>
          <w:rFonts w:ascii="Times New Roman" w:hAnsi="Times New Roman"/>
          <w:sz w:val="24"/>
          <w:szCs w:val="24"/>
        </w:rPr>
        <w:t>).</w:t>
      </w:r>
      <w:r w:rsidR="00C7691E">
        <w:rPr>
          <w:rFonts w:ascii="Times New Roman" w:hAnsi="Times New Roman"/>
          <w:sz w:val="24"/>
          <w:szCs w:val="24"/>
        </w:rPr>
        <w:t xml:space="preserve"> </w:t>
      </w:r>
    </w:p>
    <w:p w:rsidR="008C4821" w:rsidRDefault="00C7691E" w:rsidP="00C3569E">
      <w:pPr>
        <w:ind w:firstLine="720"/>
        <w:jc w:val="both"/>
        <w:rPr>
          <w:rFonts w:ascii="Times New Roman" w:hAnsi="Times New Roman"/>
          <w:sz w:val="24"/>
          <w:szCs w:val="24"/>
        </w:rPr>
      </w:pPr>
      <w:r>
        <w:rPr>
          <w:rFonts w:ascii="Times New Roman" w:hAnsi="Times New Roman"/>
          <w:sz w:val="24"/>
          <w:szCs w:val="24"/>
        </w:rPr>
        <w:t>Likumdevējs, pieņemot</w:t>
      </w:r>
      <w:r w:rsidR="00C3569E">
        <w:rPr>
          <w:rFonts w:ascii="Times New Roman" w:hAnsi="Times New Roman"/>
          <w:sz w:val="24"/>
          <w:szCs w:val="24"/>
        </w:rPr>
        <w:t xml:space="preserve"> jauno</w:t>
      </w:r>
      <w:r>
        <w:rPr>
          <w:rFonts w:ascii="Times New Roman" w:hAnsi="Times New Roman"/>
          <w:sz w:val="24"/>
          <w:szCs w:val="24"/>
        </w:rPr>
        <w:t xml:space="preserve"> </w:t>
      </w:r>
      <w:r w:rsidR="00FA0705">
        <w:rPr>
          <w:rFonts w:ascii="Times New Roman" w:hAnsi="Times New Roman"/>
          <w:sz w:val="24"/>
          <w:szCs w:val="24"/>
        </w:rPr>
        <w:t>L</w:t>
      </w:r>
      <w:r>
        <w:rPr>
          <w:rFonts w:ascii="Times New Roman" w:hAnsi="Times New Roman"/>
          <w:sz w:val="24"/>
          <w:szCs w:val="24"/>
        </w:rPr>
        <w:t>ikumu</w:t>
      </w:r>
      <w:r w:rsidR="00C3569E">
        <w:rPr>
          <w:rFonts w:ascii="Times New Roman" w:hAnsi="Times New Roman"/>
          <w:sz w:val="24"/>
          <w:szCs w:val="24"/>
        </w:rPr>
        <w:t xml:space="preserve"> un </w:t>
      </w:r>
      <w:r>
        <w:rPr>
          <w:rFonts w:ascii="Times New Roman" w:hAnsi="Times New Roman"/>
          <w:sz w:val="24"/>
          <w:szCs w:val="24"/>
        </w:rPr>
        <w:t>skaidri no</w:t>
      </w:r>
      <w:r w:rsidR="00C3569E">
        <w:rPr>
          <w:rFonts w:ascii="Times New Roman" w:hAnsi="Times New Roman"/>
          <w:sz w:val="24"/>
          <w:szCs w:val="24"/>
        </w:rPr>
        <w:t>sakot</w:t>
      </w:r>
      <w:r>
        <w:rPr>
          <w:rFonts w:ascii="Times New Roman" w:hAnsi="Times New Roman"/>
          <w:sz w:val="24"/>
          <w:szCs w:val="24"/>
        </w:rPr>
        <w:t xml:space="preserve"> </w:t>
      </w:r>
      <w:r w:rsidR="00AB0961">
        <w:rPr>
          <w:rFonts w:ascii="Times New Roman" w:hAnsi="Times New Roman"/>
          <w:sz w:val="24"/>
          <w:szCs w:val="24"/>
        </w:rPr>
        <w:t>fiziskās personas maksātnespējas procesa procedūras un maksātnespējīgajai fiziskajai personai veicam</w:t>
      </w:r>
      <w:r w:rsidR="00C3569E">
        <w:rPr>
          <w:rFonts w:ascii="Times New Roman" w:hAnsi="Times New Roman"/>
          <w:sz w:val="24"/>
          <w:szCs w:val="24"/>
        </w:rPr>
        <w:t>os</w:t>
      </w:r>
      <w:r>
        <w:rPr>
          <w:rFonts w:ascii="Times New Roman" w:hAnsi="Times New Roman"/>
          <w:sz w:val="24"/>
          <w:szCs w:val="24"/>
        </w:rPr>
        <w:t xml:space="preserve"> pienākum</w:t>
      </w:r>
      <w:r w:rsidR="00C3569E">
        <w:rPr>
          <w:rFonts w:ascii="Times New Roman" w:hAnsi="Times New Roman"/>
          <w:sz w:val="24"/>
          <w:szCs w:val="24"/>
        </w:rPr>
        <w:t>us</w:t>
      </w:r>
      <w:r w:rsidR="00AB0961">
        <w:rPr>
          <w:rFonts w:ascii="Times New Roman" w:hAnsi="Times New Roman"/>
          <w:sz w:val="24"/>
          <w:szCs w:val="24"/>
        </w:rPr>
        <w:t xml:space="preserve">, </w:t>
      </w:r>
      <w:r>
        <w:rPr>
          <w:rFonts w:ascii="Times New Roman" w:hAnsi="Times New Roman"/>
          <w:sz w:val="24"/>
          <w:szCs w:val="24"/>
        </w:rPr>
        <w:t xml:space="preserve">tomēr vēlējās saglabāt iespēju </w:t>
      </w:r>
      <w:r w:rsidR="00AB0961">
        <w:rPr>
          <w:rFonts w:ascii="Times New Roman" w:hAnsi="Times New Roman"/>
          <w:sz w:val="24"/>
          <w:szCs w:val="24"/>
        </w:rPr>
        <w:t>fizisk</w:t>
      </w:r>
      <w:r w:rsidR="00F03D00">
        <w:rPr>
          <w:rFonts w:ascii="Times New Roman" w:hAnsi="Times New Roman"/>
          <w:sz w:val="24"/>
          <w:szCs w:val="24"/>
        </w:rPr>
        <w:t>aj</w:t>
      </w:r>
      <w:r w:rsidR="00176FBA">
        <w:rPr>
          <w:rFonts w:ascii="Times New Roman" w:hAnsi="Times New Roman"/>
          <w:sz w:val="24"/>
          <w:szCs w:val="24"/>
        </w:rPr>
        <w:t>ai</w:t>
      </w:r>
      <w:r w:rsidR="00AB0961">
        <w:rPr>
          <w:rFonts w:ascii="Times New Roman" w:hAnsi="Times New Roman"/>
          <w:sz w:val="24"/>
          <w:szCs w:val="24"/>
        </w:rPr>
        <w:t xml:space="preserve"> persona</w:t>
      </w:r>
      <w:r w:rsidR="00176FBA">
        <w:rPr>
          <w:rFonts w:ascii="Times New Roman" w:hAnsi="Times New Roman"/>
          <w:sz w:val="24"/>
          <w:szCs w:val="24"/>
        </w:rPr>
        <w:t xml:space="preserve">i </w:t>
      </w:r>
      <w:r>
        <w:rPr>
          <w:rFonts w:ascii="Times New Roman" w:hAnsi="Times New Roman"/>
          <w:sz w:val="24"/>
          <w:szCs w:val="24"/>
        </w:rPr>
        <w:t>saņemt juridisko konsultāciju</w:t>
      </w:r>
      <w:r w:rsidR="007A6A13">
        <w:rPr>
          <w:rFonts w:ascii="Times New Roman" w:hAnsi="Times New Roman"/>
          <w:sz w:val="24"/>
          <w:szCs w:val="24"/>
        </w:rPr>
        <w:t xml:space="preserve"> no administratora</w:t>
      </w:r>
      <w:r>
        <w:rPr>
          <w:rFonts w:ascii="Times New Roman" w:hAnsi="Times New Roman"/>
          <w:sz w:val="24"/>
          <w:szCs w:val="24"/>
        </w:rPr>
        <w:t xml:space="preserve">, attiecīgi </w:t>
      </w:r>
      <w:r w:rsidR="007A6A13">
        <w:rPr>
          <w:rFonts w:ascii="Times New Roman" w:hAnsi="Times New Roman"/>
          <w:sz w:val="24"/>
          <w:szCs w:val="24"/>
        </w:rPr>
        <w:t xml:space="preserve">ar viņu </w:t>
      </w:r>
      <w:r>
        <w:rPr>
          <w:rFonts w:ascii="Times New Roman" w:hAnsi="Times New Roman"/>
          <w:sz w:val="24"/>
          <w:szCs w:val="24"/>
        </w:rPr>
        <w:t>vienojoties par atlīdzību</w:t>
      </w:r>
      <w:r w:rsidR="00AB0961">
        <w:rPr>
          <w:rFonts w:ascii="Times New Roman" w:hAnsi="Times New Roman"/>
          <w:sz w:val="24"/>
          <w:szCs w:val="24"/>
        </w:rPr>
        <w:t>.</w:t>
      </w:r>
      <w:r>
        <w:rPr>
          <w:rFonts w:ascii="Times New Roman" w:hAnsi="Times New Roman"/>
          <w:sz w:val="24"/>
          <w:szCs w:val="24"/>
        </w:rPr>
        <w:t xml:space="preserve"> </w:t>
      </w:r>
      <w:r w:rsidRPr="00954200">
        <w:rPr>
          <w:rFonts w:ascii="Times New Roman" w:hAnsi="Times New Roman"/>
          <w:sz w:val="24"/>
          <w:szCs w:val="24"/>
        </w:rPr>
        <w:t>Līdz ar to šādas normas mērķis ir</w:t>
      </w:r>
      <w:r>
        <w:rPr>
          <w:rFonts w:ascii="Times New Roman" w:hAnsi="Times New Roman"/>
          <w:sz w:val="24"/>
          <w:szCs w:val="24"/>
        </w:rPr>
        <w:t xml:space="preserve"> </w:t>
      </w:r>
      <w:r w:rsidR="00AB0961">
        <w:rPr>
          <w:rFonts w:ascii="Times New Roman" w:hAnsi="Times New Roman"/>
          <w:sz w:val="24"/>
          <w:szCs w:val="24"/>
        </w:rPr>
        <w:t xml:space="preserve"> </w:t>
      </w:r>
      <w:r w:rsidRPr="00C7691E">
        <w:rPr>
          <w:rFonts w:ascii="Times New Roman" w:hAnsi="Times New Roman"/>
          <w:sz w:val="24"/>
          <w:szCs w:val="24"/>
        </w:rPr>
        <w:t xml:space="preserve">veicināt </w:t>
      </w:r>
      <w:r w:rsidR="00DE5538">
        <w:rPr>
          <w:rFonts w:ascii="Times New Roman" w:hAnsi="Times New Roman"/>
          <w:sz w:val="24"/>
          <w:szCs w:val="24"/>
        </w:rPr>
        <w:t xml:space="preserve">tādu </w:t>
      </w:r>
      <w:r w:rsidRPr="00C7691E">
        <w:rPr>
          <w:rFonts w:ascii="Times New Roman" w:hAnsi="Times New Roman"/>
          <w:sz w:val="24"/>
          <w:szCs w:val="24"/>
        </w:rPr>
        <w:t>fizisk</w:t>
      </w:r>
      <w:r w:rsidR="00DE5538">
        <w:rPr>
          <w:rFonts w:ascii="Times New Roman" w:hAnsi="Times New Roman"/>
          <w:sz w:val="24"/>
          <w:szCs w:val="24"/>
        </w:rPr>
        <w:t>o</w:t>
      </w:r>
      <w:r w:rsidRPr="00C7691E">
        <w:rPr>
          <w:rFonts w:ascii="Times New Roman" w:hAnsi="Times New Roman"/>
          <w:sz w:val="24"/>
          <w:szCs w:val="24"/>
        </w:rPr>
        <w:t xml:space="preserve"> person</w:t>
      </w:r>
      <w:r w:rsidR="00DE5538">
        <w:rPr>
          <w:rFonts w:ascii="Times New Roman" w:hAnsi="Times New Roman"/>
          <w:sz w:val="24"/>
          <w:szCs w:val="24"/>
        </w:rPr>
        <w:t>u</w:t>
      </w:r>
      <w:r w:rsidRPr="00C7691E">
        <w:rPr>
          <w:rFonts w:ascii="Times New Roman" w:hAnsi="Times New Roman"/>
          <w:sz w:val="24"/>
          <w:szCs w:val="24"/>
        </w:rPr>
        <w:t xml:space="preserve"> tiesības uz </w:t>
      </w:r>
      <w:r w:rsidR="00DE5538">
        <w:rPr>
          <w:rFonts w:ascii="Times New Roman" w:hAnsi="Times New Roman"/>
          <w:sz w:val="24"/>
          <w:szCs w:val="24"/>
        </w:rPr>
        <w:t xml:space="preserve">pareizu </w:t>
      </w:r>
      <w:r>
        <w:rPr>
          <w:rFonts w:ascii="Times New Roman" w:hAnsi="Times New Roman"/>
          <w:sz w:val="24"/>
          <w:szCs w:val="24"/>
        </w:rPr>
        <w:t>savu tiesību</w:t>
      </w:r>
      <w:r w:rsidRPr="00C7691E">
        <w:rPr>
          <w:rFonts w:ascii="Times New Roman" w:hAnsi="Times New Roman"/>
          <w:sz w:val="24"/>
          <w:szCs w:val="24"/>
        </w:rPr>
        <w:t xml:space="preserve"> </w:t>
      </w:r>
      <w:r w:rsidR="00DE5538">
        <w:rPr>
          <w:rFonts w:ascii="Times New Roman" w:hAnsi="Times New Roman"/>
          <w:sz w:val="24"/>
          <w:szCs w:val="24"/>
        </w:rPr>
        <w:t xml:space="preserve">un interešu aizsardzību, kuras finansiālo grūtību dēļ </w:t>
      </w:r>
      <w:r w:rsidR="00C3569E">
        <w:rPr>
          <w:rFonts w:ascii="Times New Roman" w:hAnsi="Times New Roman"/>
          <w:sz w:val="24"/>
          <w:szCs w:val="24"/>
        </w:rPr>
        <w:t>nespēj</w:t>
      </w:r>
      <w:r w:rsidR="00DE5B7D">
        <w:rPr>
          <w:rFonts w:ascii="Times New Roman" w:hAnsi="Times New Roman"/>
          <w:sz w:val="24"/>
          <w:szCs w:val="24"/>
        </w:rPr>
        <w:t xml:space="preserve"> apmaksāt citu personu sniegtās juridiskās konsultācijas.</w:t>
      </w:r>
      <w:r w:rsidR="00DE5538">
        <w:rPr>
          <w:rFonts w:ascii="Times New Roman" w:hAnsi="Times New Roman"/>
          <w:sz w:val="24"/>
          <w:szCs w:val="24"/>
        </w:rPr>
        <w:t xml:space="preserve"> </w:t>
      </w:r>
      <w:r w:rsidR="005809EE">
        <w:rPr>
          <w:rFonts w:ascii="Times New Roman" w:hAnsi="Times New Roman"/>
          <w:sz w:val="24"/>
          <w:szCs w:val="24"/>
        </w:rPr>
        <w:t xml:space="preserve">Turklāt </w:t>
      </w:r>
      <w:r w:rsidR="00FA0705">
        <w:rPr>
          <w:rFonts w:ascii="Times New Roman" w:hAnsi="Times New Roman"/>
          <w:sz w:val="24"/>
          <w:szCs w:val="24"/>
        </w:rPr>
        <w:t>L</w:t>
      </w:r>
      <w:r w:rsidR="00DE5538">
        <w:rPr>
          <w:rFonts w:ascii="Times New Roman" w:hAnsi="Times New Roman"/>
          <w:sz w:val="24"/>
          <w:szCs w:val="24"/>
        </w:rPr>
        <w:t xml:space="preserve">ikumā paredzētā administratora uzraudzības kārtība un atbildība būtiski ierobežo administratora iespējas minēto regulējumu izmantot pretlikumīgi </w:t>
      </w:r>
      <w:r w:rsidR="00C3569E">
        <w:rPr>
          <w:rFonts w:ascii="Times New Roman" w:hAnsi="Times New Roman"/>
          <w:sz w:val="24"/>
          <w:szCs w:val="24"/>
        </w:rPr>
        <w:t>(</w:t>
      </w:r>
      <w:r w:rsidR="00DE5538">
        <w:rPr>
          <w:rFonts w:ascii="Times New Roman" w:hAnsi="Times New Roman"/>
          <w:sz w:val="24"/>
          <w:szCs w:val="24"/>
        </w:rPr>
        <w:t xml:space="preserve">piemēram, </w:t>
      </w:r>
      <w:r w:rsidR="00FA0705">
        <w:rPr>
          <w:rFonts w:ascii="Times New Roman" w:hAnsi="Times New Roman"/>
          <w:sz w:val="24"/>
          <w:szCs w:val="24"/>
        </w:rPr>
        <w:t>L</w:t>
      </w:r>
      <w:r w:rsidR="00DE5538">
        <w:rPr>
          <w:rFonts w:ascii="Times New Roman" w:hAnsi="Times New Roman"/>
          <w:sz w:val="24"/>
          <w:szCs w:val="24"/>
        </w:rPr>
        <w:t xml:space="preserve">ikuma </w:t>
      </w:r>
      <w:r w:rsidR="00DE5B7D">
        <w:rPr>
          <w:rFonts w:ascii="Times New Roman" w:hAnsi="Times New Roman"/>
          <w:sz w:val="24"/>
          <w:szCs w:val="24"/>
        </w:rPr>
        <w:t xml:space="preserve">174. un 176. pantā </w:t>
      </w:r>
      <w:r w:rsidR="00C3569E">
        <w:rPr>
          <w:rFonts w:ascii="Times New Roman" w:hAnsi="Times New Roman"/>
          <w:sz w:val="24"/>
          <w:szCs w:val="24"/>
        </w:rPr>
        <w:t xml:space="preserve">ir </w:t>
      </w:r>
      <w:r w:rsidR="00DE5B7D">
        <w:rPr>
          <w:rFonts w:ascii="Times New Roman" w:hAnsi="Times New Roman"/>
          <w:sz w:val="24"/>
          <w:szCs w:val="24"/>
        </w:rPr>
        <w:t>noteikt</w:t>
      </w:r>
      <w:r w:rsidR="00C3569E">
        <w:rPr>
          <w:rFonts w:ascii="Times New Roman" w:hAnsi="Times New Roman"/>
          <w:sz w:val="24"/>
          <w:szCs w:val="24"/>
        </w:rPr>
        <w:t>a</w:t>
      </w:r>
      <w:r w:rsidR="00DE5B7D">
        <w:rPr>
          <w:rFonts w:ascii="Times New Roman" w:hAnsi="Times New Roman"/>
          <w:sz w:val="24"/>
          <w:szCs w:val="24"/>
        </w:rPr>
        <w:t xml:space="preserve"> valsts aģentūras „Maksātnespējas administrācija” uzraudzība, </w:t>
      </w:r>
      <w:r w:rsidR="00FA0705">
        <w:rPr>
          <w:rFonts w:ascii="Times New Roman" w:hAnsi="Times New Roman"/>
          <w:sz w:val="24"/>
          <w:szCs w:val="24"/>
        </w:rPr>
        <w:t>L</w:t>
      </w:r>
      <w:r w:rsidR="00DE5B7D">
        <w:rPr>
          <w:rFonts w:ascii="Times New Roman" w:hAnsi="Times New Roman"/>
          <w:sz w:val="24"/>
          <w:szCs w:val="24"/>
        </w:rPr>
        <w:t>ikuma 89. panta 2.</w:t>
      </w:r>
      <w:r w:rsidR="00FA0705">
        <w:rPr>
          <w:rFonts w:ascii="Times New Roman" w:hAnsi="Times New Roman"/>
          <w:sz w:val="24"/>
          <w:szCs w:val="24"/>
        </w:rPr>
        <w:t> </w:t>
      </w:r>
      <w:r w:rsidR="00DE5B7D">
        <w:rPr>
          <w:rFonts w:ascii="Times New Roman" w:hAnsi="Times New Roman"/>
          <w:sz w:val="24"/>
          <w:szCs w:val="24"/>
        </w:rPr>
        <w:t>punktā un 90. pantā noteikt</w:t>
      </w:r>
      <w:r w:rsidR="00C3569E">
        <w:rPr>
          <w:rFonts w:ascii="Times New Roman" w:hAnsi="Times New Roman"/>
          <w:sz w:val="24"/>
          <w:szCs w:val="24"/>
        </w:rPr>
        <w:t>a</w:t>
      </w:r>
      <w:r w:rsidR="00DE5B7D">
        <w:rPr>
          <w:rFonts w:ascii="Times New Roman" w:hAnsi="Times New Roman"/>
          <w:sz w:val="24"/>
          <w:szCs w:val="24"/>
        </w:rPr>
        <w:t xml:space="preserve">s kreditoru sapulces tiesības lemt par administratora atcelšanas ierosināšanu, ja </w:t>
      </w:r>
      <w:r w:rsidR="00176FBA" w:rsidRPr="00176FBA">
        <w:rPr>
          <w:rFonts w:ascii="Times New Roman" w:hAnsi="Times New Roman"/>
          <w:sz w:val="24"/>
          <w:szCs w:val="24"/>
        </w:rPr>
        <w:t>administrators nav nodrošinājis efektīv</w:t>
      </w:r>
      <w:r w:rsidR="00176FBA">
        <w:rPr>
          <w:rFonts w:ascii="Times New Roman" w:hAnsi="Times New Roman"/>
          <w:sz w:val="24"/>
          <w:szCs w:val="24"/>
        </w:rPr>
        <w:t>u maksātnespējas procesa norisi</w:t>
      </w:r>
      <w:r w:rsidR="00DE5B7D">
        <w:rPr>
          <w:rFonts w:ascii="Times New Roman" w:hAnsi="Times New Roman"/>
          <w:sz w:val="24"/>
          <w:szCs w:val="24"/>
        </w:rPr>
        <w:t xml:space="preserve">, </w:t>
      </w:r>
      <w:r w:rsidR="00FA0705">
        <w:rPr>
          <w:rFonts w:ascii="Times New Roman" w:hAnsi="Times New Roman"/>
          <w:sz w:val="24"/>
          <w:szCs w:val="24"/>
        </w:rPr>
        <w:t>L</w:t>
      </w:r>
      <w:r w:rsidR="00954200">
        <w:rPr>
          <w:rFonts w:ascii="Times New Roman" w:hAnsi="Times New Roman"/>
          <w:sz w:val="24"/>
          <w:szCs w:val="24"/>
        </w:rPr>
        <w:t>ikuma 22. pantā  paredzēt</w:t>
      </w:r>
      <w:r w:rsidR="00C3569E">
        <w:rPr>
          <w:rFonts w:ascii="Times New Roman" w:hAnsi="Times New Roman"/>
          <w:sz w:val="24"/>
          <w:szCs w:val="24"/>
        </w:rPr>
        <w:t>a</w:t>
      </w:r>
      <w:r w:rsidR="00954200">
        <w:rPr>
          <w:rFonts w:ascii="Times New Roman" w:hAnsi="Times New Roman"/>
          <w:sz w:val="24"/>
          <w:szCs w:val="24"/>
        </w:rPr>
        <w:t xml:space="preserve">s tiesības tiesai atcelt administratoru, </w:t>
      </w:r>
      <w:r w:rsidR="00FA0705">
        <w:rPr>
          <w:rFonts w:ascii="Times New Roman" w:hAnsi="Times New Roman"/>
          <w:sz w:val="24"/>
          <w:szCs w:val="24"/>
        </w:rPr>
        <w:t>L</w:t>
      </w:r>
      <w:r w:rsidR="00C3569E">
        <w:rPr>
          <w:rFonts w:ascii="Times New Roman" w:hAnsi="Times New Roman"/>
          <w:sz w:val="24"/>
          <w:szCs w:val="24"/>
        </w:rPr>
        <w:t xml:space="preserve">ikuma </w:t>
      </w:r>
      <w:r w:rsidR="00954200">
        <w:rPr>
          <w:rFonts w:ascii="Times New Roman" w:hAnsi="Times New Roman"/>
          <w:sz w:val="24"/>
          <w:szCs w:val="24"/>
        </w:rPr>
        <w:t xml:space="preserve">29. </w:t>
      </w:r>
      <w:r w:rsidR="005809EE">
        <w:rPr>
          <w:rFonts w:ascii="Times New Roman" w:hAnsi="Times New Roman"/>
          <w:sz w:val="24"/>
          <w:szCs w:val="24"/>
        </w:rPr>
        <w:t xml:space="preserve">un 30. </w:t>
      </w:r>
      <w:r w:rsidR="00954200">
        <w:rPr>
          <w:rFonts w:ascii="Times New Roman" w:hAnsi="Times New Roman"/>
          <w:sz w:val="24"/>
          <w:szCs w:val="24"/>
        </w:rPr>
        <w:t>pantā noteikt</w:t>
      </w:r>
      <w:r w:rsidR="00C3569E">
        <w:rPr>
          <w:rFonts w:ascii="Times New Roman" w:hAnsi="Times New Roman"/>
          <w:sz w:val="24"/>
          <w:szCs w:val="24"/>
        </w:rPr>
        <w:t>a</w:t>
      </w:r>
      <w:r w:rsidR="00954200">
        <w:rPr>
          <w:rFonts w:ascii="Times New Roman" w:hAnsi="Times New Roman"/>
          <w:sz w:val="24"/>
          <w:szCs w:val="24"/>
        </w:rPr>
        <w:t xml:space="preserve"> atbildība administratoram </w:t>
      </w:r>
      <w:r w:rsidR="00954200" w:rsidRPr="00954200">
        <w:rPr>
          <w:rFonts w:ascii="Times New Roman" w:hAnsi="Times New Roman"/>
          <w:sz w:val="24"/>
          <w:szCs w:val="24"/>
        </w:rPr>
        <w:t xml:space="preserve">par zaudējumiem, kas viņa vai pilnvarnieka vainas dēļ nodarīti valstij, parādniekam, </w:t>
      </w:r>
      <w:r w:rsidR="00954200">
        <w:rPr>
          <w:rFonts w:ascii="Times New Roman" w:hAnsi="Times New Roman"/>
          <w:sz w:val="24"/>
          <w:szCs w:val="24"/>
        </w:rPr>
        <w:t>kreditoriem vai citām personām</w:t>
      </w:r>
      <w:r w:rsidR="00C3569E">
        <w:rPr>
          <w:rFonts w:ascii="Times New Roman" w:hAnsi="Times New Roman"/>
          <w:sz w:val="24"/>
          <w:szCs w:val="24"/>
        </w:rPr>
        <w:t>)</w:t>
      </w:r>
      <w:r w:rsidR="00954200">
        <w:rPr>
          <w:rFonts w:ascii="Times New Roman" w:hAnsi="Times New Roman"/>
          <w:sz w:val="24"/>
          <w:szCs w:val="24"/>
        </w:rPr>
        <w:t>.</w:t>
      </w:r>
      <w:r w:rsidR="008C4821">
        <w:rPr>
          <w:rFonts w:ascii="Times New Roman" w:hAnsi="Times New Roman"/>
          <w:sz w:val="24"/>
          <w:szCs w:val="24"/>
        </w:rPr>
        <w:t xml:space="preserve"> </w:t>
      </w:r>
      <w:r w:rsidR="00885B84">
        <w:rPr>
          <w:rFonts w:ascii="Times New Roman" w:hAnsi="Times New Roman"/>
          <w:sz w:val="24"/>
          <w:szCs w:val="24"/>
        </w:rPr>
        <w:t>Tādējādi secināms, ka</w:t>
      </w:r>
      <w:r w:rsidR="00526838">
        <w:rPr>
          <w:rFonts w:ascii="Times New Roman" w:hAnsi="Times New Roman"/>
          <w:sz w:val="24"/>
          <w:szCs w:val="24"/>
        </w:rPr>
        <w:t xml:space="preserve"> </w:t>
      </w:r>
      <w:r w:rsidR="00954200">
        <w:rPr>
          <w:rFonts w:ascii="Times New Roman" w:hAnsi="Times New Roman"/>
          <w:sz w:val="24"/>
          <w:szCs w:val="24"/>
        </w:rPr>
        <w:t xml:space="preserve">Jūsu </w:t>
      </w:r>
      <w:r w:rsidR="00526838">
        <w:rPr>
          <w:rFonts w:ascii="Times New Roman" w:hAnsi="Times New Roman"/>
          <w:sz w:val="24"/>
          <w:szCs w:val="24"/>
        </w:rPr>
        <w:t>vēstulē minēt</w:t>
      </w:r>
      <w:r w:rsidR="008342D6">
        <w:rPr>
          <w:rFonts w:ascii="Times New Roman" w:hAnsi="Times New Roman"/>
          <w:sz w:val="24"/>
          <w:szCs w:val="24"/>
        </w:rPr>
        <w:t>ais</w:t>
      </w:r>
      <w:r w:rsidR="00526838">
        <w:rPr>
          <w:rFonts w:ascii="Times New Roman" w:hAnsi="Times New Roman"/>
          <w:sz w:val="24"/>
          <w:szCs w:val="24"/>
        </w:rPr>
        <w:t xml:space="preserve"> iespējam</w:t>
      </w:r>
      <w:r w:rsidR="008342D6">
        <w:rPr>
          <w:rFonts w:ascii="Times New Roman" w:hAnsi="Times New Roman"/>
          <w:sz w:val="24"/>
          <w:szCs w:val="24"/>
        </w:rPr>
        <w:t>ais korupcijas risks</w:t>
      </w:r>
      <w:r w:rsidR="00526838">
        <w:rPr>
          <w:rFonts w:ascii="Times New Roman" w:hAnsi="Times New Roman"/>
          <w:sz w:val="24"/>
          <w:szCs w:val="24"/>
        </w:rPr>
        <w:t xml:space="preserve"> </w:t>
      </w:r>
      <w:r w:rsidR="008342D6">
        <w:rPr>
          <w:rFonts w:ascii="Times New Roman" w:hAnsi="Times New Roman"/>
          <w:sz w:val="24"/>
          <w:szCs w:val="24"/>
        </w:rPr>
        <w:t>fiziskās personas maksātnespējas procesā</w:t>
      </w:r>
      <w:r w:rsidR="00526838">
        <w:rPr>
          <w:rFonts w:ascii="Times New Roman" w:hAnsi="Times New Roman"/>
          <w:sz w:val="24"/>
          <w:szCs w:val="24"/>
        </w:rPr>
        <w:t xml:space="preserve"> </w:t>
      </w:r>
      <w:r w:rsidR="00954200">
        <w:rPr>
          <w:rFonts w:ascii="Times New Roman" w:hAnsi="Times New Roman"/>
          <w:sz w:val="24"/>
          <w:szCs w:val="24"/>
        </w:rPr>
        <w:t>nav saskatāms</w:t>
      </w:r>
      <w:r w:rsidR="00526838">
        <w:rPr>
          <w:rFonts w:ascii="Times New Roman" w:hAnsi="Times New Roman"/>
          <w:sz w:val="24"/>
          <w:szCs w:val="24"/>
        </w:rPr>
        <w:t xml:space="preserve">, tāpēc </w:t>
      </w:r>
      <w:r w:rsidR="00954200">
        <w:rPr>
          <w:rFonts w:ascii="Times New Roman" w:hAnsi="Times New Roman"/>
          <w:sz w:val="24"/>
          <w:szCs w:val="24"/>
        </w:rPr>
        <w:t xml:space="preserve">nav nepieciešami grozījumi </w:t>
      </w:r>
      <w:r w:rsidR="0060535C">
        <w:rPr>
          <w:rFonts w:ascii="Times New Roman" w:hAnsi="Times New Roman"/>
          <w:sz w:val="24"/>
          <w:szCs w:val="24"/>
        </w:rPr>
        <w:t xml:space="preserve">fiziskās personas </w:t>
      </w:r>
      <w:r w:rsidR="00526838">
        <w:rPr>
          <w:rFonts w:ascii="Times New Roman" w:hAnsi="Times New Roman"/>
          <w:sz w:val="24"/>
          <w:szCs w:val="24"/>
        </w:rPr>
        <w:t xml:space="preserve">maksātnespējas procesa finansēšanas </w:t>
      </w:r>
      <w:r w:rsidR="0060535C">
        <w:rPr>
          <w:rFonts w:ascii="Times New Roman" w:hAnsi="Times New Roman"/>
          <w:sz w:val="24"/>
          <w:szCs w:val="24"/>
        </w:rPr>
        <w:t>kārtīb</w:t>
      </w:r>
      <w:r w:rsidR="005809EE">
        <w:rPr>
          <w:rFonts w:ascii="Times New Roman" w:hAnsi="Times New Roman"/>
          <w:sz w:val="24"/>
          <w:szCs w:val="24"/>
        </w:rPr>
        <w:t>ā</w:t>
      </w:r>
      <w:r w:rsidR="00526838">
        <w:rPr>
          <w:rFonts w:ascii="Times New Roman" w:hAnsi="Times New Roman"/>
          <w:sz w:val="24"/>
          <w:szCs w:val="24"/>
        </w:rPr>
        <w:t xml:space="preserve">. </w:t>
      </w:r>
    </w:p>
    <w:p w:rsidR="00AD6D68" w:rsidRDefault="008C4821" w:rsidP="008342D6">
      <w:pPr>
        <w:ind w:firstLine="720"/>
        <w:jc w:val="both"/>
        <w:rPr>
          <w:rFonts w:ascii="Times New Roman" w:hAnsi="Times New Roman"/>
          <w:sz w:val="24"/>
          <w:szCs w:val="24"/>
        </w:rPr>
      </w:pPr>
      <w:r>
        <w:rPr>
          <w:rFonts w:ascii="Times New Roman" w:hAnsi="Times New Roman"/>
          <w:sz w:val="24"/>
          <w:szCs w:val="24"/>
        </w:rPr>
        <w:t xml:space="preserve">Papildus informēju, ka saskaņā ar </w:t>
      </w:r>
      <w:r w:rsidR="00FA0705">
        <w:rPr>
          <w:rFonts w:ascii="Times New Roman" w:hAnsi="Times New Roman"/>
          <w:sz w:val="24"/>
          <w:szCs w:val="24"/>
        </w:rPr>
        <w:t>L</w:t>
      </w:r>
      <w:r>
        <w:rPr>
          <w:rFonts w:ascii="Times New Roman" w:hAnsi="Times New Roman"/>
          <w:sz w:val="24"/>
          <w:szCs w:val="24"/>
        </w:rPr>
        <w:t xml:space="preserve">ikumu </w:t>
      </w:r>
      <w:r w:rsidR="00395919">
        <w:rPr>
          <w:rFonts w:ascii="Times New Roman" w:hAnsi="Times New Roman"/>
          <w:sz w:val="24"/>
          <w:szCs w:val="24"/>
        </w:rPr>
        <w:t>administrators par atlīdzību ir tiesīgs vienoties ne tikai ar maksātnespējas procesa subjektu fiziskās personas maksātnespējas procesā, bet arī ar tiesiskās aizsardzības procesa subjektu tiesiskās aizsardzības procesā</w:t>
      </w:r>
      <w:r w:rsidR="008342D6">
        <w:rPr>
          <w:rFonts w:ascii="Times New Roman" w:hAnsi="Times New Roman"/>
          <w:sz w:val="24"/>
          <w:szCs w:val="24"/>
        </w:rPr>
        <w:t xml:space="preserve"> vai ārpustiesas tiesiskās aizsardzības procesā</w:t>
      </w:r>
      <w:r w:rsidR="00395919">
        <w:rPr>
          <w:rFonts w:ascii="Times New Roman" w:hAnsi="Times New Roman"/>
          <w:sz w:val="24"/>
          <w:szCs w:val="24"/>
        </w:rPr>
        <w:t xml:space="preserve">. Proti, saskaņā ar </w:t>
      </w:r>
      <w:r w:rsidR="00FA0705">
        <w:rPr>
          <w:rFonts w:ascii="Times New Roman" w:hAnsi="Times New Roman"/>
          <w:sz w:val="24"/>
          <w:szCs w:val="24"/>
        </w:rPr>
        <w:t>L</w:t>
      </w:r>
      <w:r w:rsidR="00395919">
        <w:rPr>
          <w:rFonts w:ascii="Times New Roman" w:hAnsi="Times New Roman"/>
          <w:sz w:val="24"/>
          <w:szCs w:val="24"/>
        </w:rPr>
        <w:t>ikuma 166. pantu p</w:t>
      </w:r>
      <w:r w:rsidR="00395919" w:rsidRPr="00395919">
        <w:rPr>
          <w:rFonts w:ascii="Times New Roman" w:hAnsi="Times New Roman"/>
          <w:sz w:val="24"/>
          <w:szCs w:val="24"/>
        </w:rPr>
        <w:t xml:space="preserve">ar administratora pienākumu veikšanu tiesiskās aizsardzības procesā vai ārpustiesas tiesiskās aizsardzības procesā administrators saņem ikmēneša atlīdzību vienas minimālās mēnešalgas apmērā, ja </w:t>
      </w:r>
      <w:r w:rsidR="00395919">
        <w:rPr>
          <w:rFonts w:ascii="Times New Roman" w:hAnsi="Times New Roman"/>
          <w:sz w:val="24"/>
          <w:szCs w:val="24"/>
        </w:rPr>
        <w:t xml:space="preserve">vien administrators nav rakstveidā vienojies ar parādnieku </w:t>
      </w:r>
      <w:r w:rsidR="00395919" w:rsidRPr="00395919">
        <w:rPr>
          <w:rFonts w:ascii="Times New Roman" w:hAnsi="Times New Roman"/>
          <w:sz w:val="24"/>
          <w:szCs w:val="24"/>
        </w:rPr>
        <w:t>par citu atlīdzības apmēru un tās segšanas kārtību.</w:t>
      </w:r>
      <w:r w:rsidR="008342D6">
        <w:rPr>
          <w:rFonts w:ascii="Times New Roman" w:hAnsi="Times New Roman"/>
          <w:sz w:val="24"/>
          <w:szCs w:val="24"/>
        </w:rPr>
        <w:t xml:space="preserve"> </w:t>
      </w:r>
      <w:r w:rsidR="00395919" w:rsidRPr="00395919">
        <w:rPr>
          <w:rFonts w:ascii="Times New Roman" w:hAnsi="Times New Roman"/>
          <w:sz w:val="24"/>
          <w:szCs w:val="24"/>
        </w:rPr>
        <w:t>Atlīdzību par administratora pienākumu veikšanu tiesiskās aizsardzības procesā vai ārpustiesas tiesiskās aizsardzības procesā sedz no parādnieka līdzekļiem un tās segšanas kārtību paredz tiesiskās aizsardzības procesa pasākumu plānā.</w:t>
      </w:r>
      <w:r w:rsidR="008342D6">
        <w:rPr>
          <w:rFonts w:ascii="Times New Roman" w:hAnsi="Times New Roman"/>
          <w:sz w:val="24"/>
          <w:szCs w:val="24"/>
        </w:rPr>
        <w:t xml:space="preserve"> Šādas tiesības likumdevējs ir paredz</w:t>
      </w:r>
      <w:r w:rsidR="004D1008">
        <w:rPr>
          <w:rFonts w:ascii="Times New Roman" w:hAnsi="Times New Roman"/>
          <w:sz w:val="24"/>
          <w:szCs w:val="24"/>
        </w:rPr>
        <w:t xml:space="preserve">ējis, </w:t>
      </w:r>
      <w:r w:rsidR="0073295A">
        <w:rPr>
          <w:rFonts w:ascii="Times New Roman" w:hAnsi="Times New Roman"/>
          <w:sz w:val="24"/>
          <w:szCs w:val="24"/>
        </w:rPr>
        <w:t>l</w:t>
      </w:r>
      <w:r w:rsidR="0073295A" w:rsidRPr="0073295A">
        <w:rPr>
          <w:rFonts w:ascii="Times New Roman" w:hAnsi="Times New Roman"/>
          <w:sz w:val="24"/>
          <w:szCs w:val="24"/>
        </w:rPr>
        <w:t>ai veicinātu administratoru konkurētspēju</w:t>
      </w:r>
      <w:r w:rsidR="0073295A">
        <w:rPr>
          <w:rFonts w:ascii="Times New Roman" w:hAnsi="Times New Roman"/>
          <w:sz w:val="24"/>
          <w:szCs w:val="24"/>
        </w:rPr>
        <w:t>. Savukārt administratora atlīdzības un izmaksāšanas kārtības norādīšana tiesiskās aizsardzības procesa pasākumu plān</w:t>
      </w:r>
      <w:r w:rsidR="00E509F2">
        <w:rPr>
          <w:rFonts w:ascii="Times New Roman" w:hAnsi="Times New Roman"/>
          <w:sz w:val="24"/>
          <w:szCs w:val="24"/>
        </w:rPr>
        <w:t>ā veicina</w:t>
      </w:r>
      <w:r w:rsidR="00AD6D68">
        <w:rPr>
          <w:rFonts w:ascii="Times New Roman" w:hAnsi="Times New Roman"/>
          <w:sz w:val="24"/>
          <w:szCs w:val="24"/>
        </w:rPr>
        <w:t xml:space="preserve"> kreditoru interešu aizsardzību (nepieciešamība tiesiskās aizsardzības procesa plānu saskaņot ar kreditoriem), kā arī procesa caurspīdīgumu.</w:t>
      </w:r>
      <w:r w:rsidR="00C22FCE">
        <w:rPr>
          <w:rFonts w:ascii="Times New Roman" w:hAnsi="Times New Roman"/>
          <w:sz w:val="24"/>
          <w:szCs w:val="24"/>
        </w:rPr>
        <w:t xml:space="preserve"> </w:t>
      </w:r>
    </w:p>
    <w:p w:rsidR="00F172B3" w:rsidRDefault="008342D6" w:rsidP="008342D6">
      <w:pPr>
        <w:ind w:firstLine="720"/>
        <w:jc w:val="both"/>
        <w:rPr>
          <w:rFonts w:ascii="Times New Roman" w:hAnsi="Times New Roman"/>
          <w:sz w:val="24"/>
          <w:szCs w:val="24"/>
        </w:rPr>
      </w:pPr>
      <w:r>
        <w:rPr>
          <w:rFonts w:ascii="Times New Roman" w:hAnsi="Times New Roman"/>
          <w:sz w:val="24"/>
          <w:szCs w:val="24"/>
        </w:rPr>
        <w:t xml:space="preserve">Ņemot vērā </w:t>
      </w:r>
      <w:r w:rsidR="00AD6D68">
        <w:rPr>
          <w:rFonts w:ascii="Times New Roman" w:hAnsi="Times New Roman"/>
          <w:sz w:val="24"/>
          <w:szCs w:val="24"/>
        </w:rPr>
        <w:t xml:space="preserve">visu iepriekš </w:t>
      </w:r>
      <w:r>
        <w:rPr>
          <w:rFonts w:ascii="Times New Roman" w:hAnsi="Times New Roman"/>
          <w:sz w:val="24"/>
          <w:szCs w:val="24"/>
        </w:rPr>
        <w:t xml:space="preserve">minēto, Jūsu vēstulē minētās iespējamās problēmas </w:t>
      </w:r>
      <w:r w:rsidR="00FA0705">
        <w:rPr>
          <w:rFonts w:ascii="Times New Roman" w:hAnsi="Times New Roman"/>
          <w:sz w:val="24"/>
          <w:szCs w:val="24"/>
        </w:rPr>
        <w:t>L</w:t>
      </w:r>
      <w:r>
        <w:rPr>
          <w:rFonts w:ascii="Times New Roman" w:hAnsi="Times New Roman"/>
          <w:sz w:val="24"/>
          <w:szCs w:val="24"/>
        </w:rPr>
        <w:t xml:space="preserve">ikuma piemērošanā nav saskatāmas, tāpēc nav nepieciešami grozījumi maksātnespējas procesa finansēšanas kārtībā. </w:t>
      </w:r>
      <w:r w:rsidR="00526838">
        <w:rPr>
          <w:rFonts w:ascii="Times New Roman" w:hAnsi="Times New Roman"/>
          <w:sz w:val="24"/>
          <w:szCs w:val="24"/>
        </w:rPr>
        <w:t xml:space="preserve">Vienlaikus </w:t>
      </w:r>
      <w:r w:rsidR="00176FBA">
        <w:rPr>
          <w:rFonts w:ascii="Times New Roman" w:hAnsi="Times New Roman"/>
          <w:sz w:val="24"/>
          <w:szCs w:val="24"/>
        </w:rPr>
        <w:t>informēju,</w:t>
      </w:r>
      <w:r w:rsidR="00526838">
        <w:rPr>
          <w:rFonts w:ascii="Times New Roman" w:hAnsi="Times New Roman"/>
          <w:sz w:val="24"/>
          <w:szCs w:val="24"/>
        </w:rPr>
        <w:t xml:space="preserve"> ka</w:t>
      </w:r>
      <w:r w:rsidR="00F03D00">
        <w:rPr>
          <w:rFonts w:ascii="Times New Roman" w:hAnsi="Times New Roman"/>
          <w:sz w:val="24"/>
          <w:szCs w:val="24"/>
        </w:rPr>
        <w:t xml:space="preserve"> gadījumā</w:t>
      </w:r>
      <w:r w:rsidR="00526838">
        <w:rPr>
          <w:rFonts w:ascii="Times New Roman" w:hAnsi="Times New Roman"/>
          <w:sz w:val="24"/>
          <w:szCs w:val="24"/>
        </w:rPr>
        <w:t xml:space="preserve">, ja </w:t>
      </w:r>
      <w:r w:rsidR="00FA0705">
        <w:rPr>
          <w:rFonts w:ascii="Times New Roman" w:hAnsi="Times New Roman"/>
          <w:sz w:val="24"/>
          <w:szCs w:val="24"/>
        </w:rPr>
        <w:t>L</w:t>
      </w:r>
      <w:r w:rsidR="00526838">
        <w:rPr>
          <w:rFonts w:ascii="Times New Roman" w:hAnsi="Times New Roman"/>
          <w:sz w:val="24"/>
          <w:szCs w:val="24"/>
        </w:rPr>
        <w:t xml:space="preserve">ikuma ieviešanas gaitā tiks konstatētas šādas </w:t>
      </w:r>
      <w:r w:rsidR="00954200">
        <w:rPr>
          <w:rFonts w:ascii="Times New Roman" w:hAnsi="Times New Roman"/>
          <w:sz w:val="24"/>
          <w:szCs w:val="24"/>
        </w:rPr>
        <w:t xml:space="preserve">vai citas tā piemērošanas </w:t>
      </w:r>
      <w:r w:rsidR="00526838">
        <w:rPr>
          <w:rFonts w:ascii="Times New Roman" w:hAnsi="Times New Roman"/>
          <w:sz w:val="24"/>
          <w:szCs w:val="24"/>
        </w:rPr>
        <w:t xml:space="preserve">problēmas, situācijas risināšanai </w:t>
      </w:r>
      <w:r w:rsidR="00E1241F">
        <w:rPr>
          <w:rFonts w:ascii="Times New Roman" w:hAnsi="Times New Roman"/>
          <w:sz w:val="24"/>
          <w:szCs w:val="24"/>
        </w:rPr>
        <w:t xml:space="preserve">tiks sagatavoti attiecīgi </w:t>
      </w:r>
      <w:r w:rsidR="00954200">
        <w:rPr>
          <w:rFonts w:ascii="Times New Roman" w:hAnsi="Times New Roman"/>
          <w:sz w:val="24"/>
          <w:szCs w:val="24"/>
        </w:rPr>
        <w:t>grozījumi un virzīti pieņemšanai noteiktajā kārtībā.</w:t>
      </w:r>
    </w:p>
    <w:p w:rsidR="00F172B3" w:rsidRDefault="00F172B3" w:rsidP="00F172B3">
      <w:pPr>
        <w:ind w:firstLine="720"/>
        <w:jc w:val="both"/>
        <w:rPr>
          <w:rFonts w:ascii="Times New Roman" w:hAnsi="Times New Roman"/>
          <w:sz w:val="24"/>
          <w:szCs w:val="24"/>
        </w:rPr>
      </w:pPr>
    </w:p>
    <w:p w:rsidR="00F172B3" w:rsidRDefault="00227435" w:rsidP="00F172B3">
      <w:pPr>
        <w:ind w:firstLine="720"/>
        <w:jc w:val="both"/>
        <w:rPr>
          <w:rFonts w:ascii="Times New Roman" w:hAnsi="Times New Roman"/>
          <w:sz w:val="24"/>
          <w:szCs w:val="24"/>
        </w:rPr>
      </w:pPr>
      <w:r>
        <w:rPr>
          <w:rFonts w:ascii="Times New Roman" w:hAnsi="Times New Roman"/>
          <w:sz w:val="24"/>
          <w:szCs w:val="24"/>
        </w:rPr>
        <w:t>Ar cieņu,</w:t>
      </w:r>
    </w:p>
    <w:p w:rsidR="00227435" w:rsidRDefault="00227435" w:rsidP="00F172B3">
      <w:pPr>
        <w:ind w:firstLine="720"/>
        <w:jc w:val="both"/>
        <w:rPr>
          <w:rFonts w:ascii="Times New Roman" w:hAnsi="Times New Roman"/>
          <w:sz w:val="24"/>
          <w:szCs w:val="24"/>
        </w:rPr>
      </w:pPr>
    </w:p>
    <w:p w:rsidR="00176FBA" w:rsidRDefault="00227435" w:rsidP="00227435">
      <w:pPr>
        <w:tabs>
          <w:tab w:val="left" w:pos="7655"/>
        </w:tabs>
        <w:jc w:val="both"/>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t>V. Dombrovskis</w:t>
      </w:r>
    </w:p>
    <w:p w:rsidR="00E6388D" w:rsidRDefault="00E6388D" w:rsidP="00227435">
      <w:pPr>
        <w:tabs>
          <w:tab w:val="left" w:pos="7655"/>
        </w:tabs>
        <w:jc w:val="both"/>
        <w:rPr>
          <w:rFonts w:ascii="Times New Roman" w:hAnsi="Times New Roman"/>
          <w:i/>
          <w:sz w:val="20"/>
          <w:szCs w:val="20"/>
        </w:rPr>
      </w:pPr>
    </w:p>
    <w:p w:rsidR="00110EFF" w:rsidRDefault="00110EFF" w:rsidP="00227435">
      <w:pPr>
        <w:tabs>
          <w:tab w:val="left" w:pos="7655"/>
        </w:tabs>
        <w:jc w:val="both"/>
        <w:rPr>
          <w:rFonts w:ascii="Times New Roman" w:hAnsi="Times New Roman"/>
          <w:i/>
          <w:sz w:val="20"/>
          <w:szCs w:val="20"/>
        </w:rPr>
      </w:pPr>
    </w:p>
    <w:p w:rsidR="0032016B" w:rsidRPr="00CF4DC8" w:rsidRDefault="0032016B" w:rsidP="0032016B">
      <w:pPr>
        <w:pStyle w:val="BodyText"/>
        <w:rPr>
          <w:sz w:val="20"/>
          <w:lang w:val="lv-LV"/>
        </w:rPr>
      </w:pPr>
      <w:r w:rsidRPr="00CF4DC8">
        <w:rPr>
          <w:sz w:val="20"/>
          <w:lang w:val="lv-LV"/>
        </w:rPr>
        <w:t>06.01.2011. 1</w:t>
      </w:r>
      <w:r w:rsidR="00680F54">
        <w:rPr>
          <w:sz w:val="20"/>
          <w:lang w:val="lv-LV"/>
        </w:rPr>
        <w:t>6</w:t>
      </w:r>
      <w:r w:rsidRPr="00CF4DC8">
        <w:rPr>
          <w:sz w:val="20"/>
          <w:lang w:val="lv-LV"/>
        </w:rPr>
        <w:t>:</w:t>
      </w:r>
      <w:r w:rsidR="00680F54">
        <w:rPr>
          <w:sz w:val="20"/>
          <w:lang w:val="lv-LV"/>
        </w:rPr>
        <w:t>39</w:t>
      </w:r>
    </w:p>
    <w:p w:rsidR="0032016B" w:rsidRPr="00CF4DC8" w:rsidRDefault="0032016B" w:rsidP="0032016B">
      <w:pPr>
        <w:pStyle w:val="BodyText"/>
        <w:rPr>
          <w:sz w:val="20"/>
          <w:lang w:val="lv-LV"/>
        </w:rPr>
      </w:pPr>
      <w:r w:rsidRPr="00CF4DC8">
        <w:rPr>
          <w:sz w:val="20"/>
          <w:lang w:val="lv-LV"/>
        </w:rPr>
        <w:t>8</w:t>
      </w:r>
      <w:r w:rsidR="00FA0705">
        <w:rPr>
          <w:sz w:val="20"/>
          <w:lang w:val="lv-LV"/>
        </w:rPr>
        <w:t>14</w:t>
      </w:r>
    </w:p>
    <w:p w:rsidR="0032016B" w:rsidRPr="00CF4DC8" w:rsidRDefault="0032016B" w:rsidP="0032016B">
      <w:pPr>
        <w:pStyle w:val="BodyText"/>
        <w:rPr>
          <w:sz w:val="20"/>
          <w:lang w:val="lv-LV"/>
        </w:rPr>
      </w:pPr>
      <w:r w:rsidRPr="00CF4DC8">
        <w:rPr>
          <w:sz w:val="20"/>
          <w:lang w:val="lv-LV"/>
        </w:rPr>
        <w:t>S.Eižvertiņa</w:t>
      </w:r>
    </w:p>
    <w:p w:rsidR="0032016B" w:rsidRPr="00CF4DC8" w:rsidRDefault="0032016B" w:rsidP="0032016B">
      <w:pPr>
        <w:pStyle w:val="BodyText"/>
        <w:rPr>
          <w:sz w:val="20"/>
          <w:lang w:val="lv-LV"/>
        </w:rPr>
      </w:pPr>
      <w:bookmarkStart w:id="0" w:name="OLE_LINK3"/>
      <w:bookmarkStart w:id="1" w:name="OLE_LINK4"/>
      <w:bookmarkStart w:id="2" w:name="OLE_LINK5"/>
      <w:bookmarkStart w:id="3" w:name="OLE_LINK6"/>
      <w:r w:rsidRPr="00CF4DC8">
        <w:rPr>
          <w:color w:val="000000"/>
          <w:sz w:val="20"/>
        </w:rPr>
        <w:t>67046132</w:t>
      </w:r>
      <w:r w:rsidRPr="00CF4DC8">
        <w:rPr>
          <w:sz w:val="20"/>
          <w:lang w:val="lv-LV"/>
        </w:rPr>
        <w:t xml:space="preserve">, </w:t>
      </w:r>
      <w:hyperlink r:id="rId6" w:history="1">
        <w:r w:rsidRPr="00CF4DC8">
          <w:rPr>
            <w:rStyle w:val="Hyperlink"/>
            <w:sz w:val="20"/>
          </w:rPr>
          <w:t>Sigita.Eizvertina@</w:t>
        </w:r>
        <w:r w:rsidRPr="00CF4DC8">
          <w:rPr>
            <w:rStyle w:val="Hyperlink"/>
            <w:vanish/>
            <w:sz w:val="20"/>
          </w:rPr>
          <w:t>e simbols</w:t>
        </w:r>
        <w:r w:rsidRPr="00CF4DC8">
          <w:rPr>
            <w:rStyle w:val="Hyperlink"/>
            <w:sz w:val="20"/>
          </w:rPr>
          <w:t>tm.gov.lv</w:t>
        </w:r>
      </w:hyperlink>
      <w:bookmarkEnd w:id="0"/>
      <w:bookmarkEnd w:id="1"/>
      <w:bookmarkEnd w:id="2"/>
      <w:bookmarkEnd w:id="3"/>
    </w:p>
    <w:sectPr w:rsidR="0032016B" w:rsidRPr="00CF4DC8" w:rsidSect="00CF4DC8">
      <w:headerReference w:type="default" r:id="rId7"/>
      <w:footerReference w:type="default" r:id="rId8"/>
      <w:footerReference w:type="first" r:id="rId9"/>
      <w:pgSz w:w="11906" w:h="16838" w:code="9"/>
      <w:pgMar w:top="1134" w:right="851"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E2" w:rsidRDefault="004765E2" w:rsidP="00176FBA">
      <w:r>
        <w:separator/>
      </w:r>
    </w:p>
  </w:endnote>
  <w:endnote w:type="continuationSeparator" w:id="0">
    <w:p w:rsidR="004765E2" w:rsidRDefault="004765E2" w:rsidP="00176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C8" w:rsidRPr="00CF4DC8" w:rsidRDefault="00CF4DC8" w:rsidP="00CF4DC8">
    <w:pPr>
      <w:pStyle w:val="Footer"/>
      <w:jc w:val="both"/>
      <w:rPr>
        <w:rFonts w:ascii="Times New Roman" w:hAnsi="Times New Roman"/>
        <w:sz w:val="20"/>
        <w:szCs w:val="20"/>
      </w:rPr>
    </w:pPr>
    <w:r w:rsidRPr="00CF4DC8">
      <w:rPr>
        <w:rFonts w:ascii="Times New Roman" w:hAnsi="Times New Roman"/>
        <w:sz w:val="20"/>
        <w:szCs w:val="20"/>
      </w:rPr>
      <w:t>TMvestproj_060111_MNL; Vēstules projekts par nepieciešamību pilnveidot Maksātnespējas likumā noteikto maksātnespējas procesa finansēšanas tiesisko regulējumu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CB" w:rsidRDefault="00D40ACB" w:rsidP="00CF4DC8">
    <w:pPr>
      <w:pStyle w:val="Footer"/>
      <w:jc w:val="both"/>
      <w:rPr>
        <w:rFonts w:ascii="Times New Roman" w:hAnsi="Times New Roman"/>
        <w:sz w:val="20"/>
        <w:szCs w:val="20"/>
      </w:rPr>
    </w:pPr>
  </w:p>
  <w:p w:rsidR="00CF4DC8" w:rsidRPr="00CF4DC8" w:rsidRDefault="00CF4DC8" w:rsidP="00CF4DC8">
    <w:pPr>
      <w:pStyle w:val="Footer"/>
      <w:jc w:val="both"/>
      <w:rPr>
        <w:rFonts w:ascii="Times New Roman" w:hAnsi="Times New Roman"/>
        <w:sz w:val="20"/>
        <w:szCs w:val="20"/>
      </w:rPr>
    </w:pPr>
    <w:r w:rsidRPr="00CF4DC8">
      <w:rPr>
        <w:rFonts w:ascii="Times New Roman" w:hAnsi="Times New Roman"/>
        <w:sz w:val="20"/>
        <w:szCs w:val="20"/>
      </w:rPr>
      <w:t xml:space="preserve">TMvestproj_060111_MNL; </w:t>
    </w:r>
    <w:bookmarkStart w:id="4" w:name="OLE_LINK1"/>
    <w:bookmarkStart w:id="5" w:name="OLE_LINK2"/>
    <w:bookmarkStart w:id="6" w:name="_Hlk282095244"/>
    <w:r w:rsidRPr="00CF4DC8">
      <w:rPr>
        <w:rFonts w:ascii="Times New Roman" w:hAnsi="Times New Roman"/>
        <w:sz w:val="20"/>
        <w:szCs w:val="20"/>
      </w:rPr>
      <w:t>Vēstules projekts par nepieciešamību pilnveidot Maksātnespējas likumā noteikto maksātnespējas procesa finansēšanas tiesisko regulējumu</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E2" w:rsidRDefault="004765E2" w:rsidP="00176FBA">
      <w:r>
        <w:separator/>
      </w:r>
    </w:p>
  </w:footnote>
  <w:footnote w:type="continuationSeparator" w:id="0">
    <w:p w:rsidR="004765E2" w:rsidRDefault="004765E2" w:rsidP="00176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CE" w:rsidRDefault="00AA58CC">
    <w:pPr>
      <w:pStyle w:val="Header"/>
      <w:jc w:val="center"/>
    </w:pPr>
    <w:fldSimple w:instr=" PAGE   \* MERGEFORMAT ">
      <w:r w:rsidR="00FA0705">
        <w:rPr>
          <w:noProof/>
        </w:rPr>
        <w:t>2</w:t>
      </w:r>
    </w:fldSimple>
  </w:p>
  <w:p w:rsidR="00C22FCE" w:rsidRDefault="00C22F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1AA6"/>
    <w:rsid w:val="000345CD"/>
    <w:rsid w:val="00043246"/>
    <w:rsid w:val="000B4C09"/>
    <w:rsid w:val="00110EFF"/>
    <w:rsid w:val="00110FDB"/>
    <w:rsid w:val="001307E8"/>
    <w:rsid w:val="00135426"/>
    <w:rsid w:val="00153E10"/>
    <w:rsid w:val="00176FBA"/>
    <w:rsid w:val="001B5E52"/>
    <w:rsid w:val="001C0B36"/>
    <w:rsid w:val="001F5634"/>
    <w:rsid w:val="00207044"/>
    <w:rsid w:val="00207EC0"/>
    <w:rsid w:val="00220465"/>
    <w:rsid w:val="00227435"/>
    <w:rsid w:val="00244025"/>
    <w:rsid w:val="00263B09"/>
    <w:rsid w:val="00280FA0"/>
    <w:rsid w:val="002828F1"/>
    <w:rsid w:val="00294A3D"/>
    <w:rsid w:val="002B04EB"/>
    <w:rsid w:val="002E06B6"/>
    <w:rsid w:val="003009BD"/>
    <w:rsid w:val="0032016B"/>
    <w:rsid w:val="00325FE9"/>
    <w:rsid w:val="003622C0"/>
    <w:rsid w:val="00395919"/>
    <w:rsid w:val="003A526D"/>
    <w:rsid w:val="00426709"/>
    <w:rsid w:val="004564B9"/>
    <w:rsid w:val="00457594"/>
    <w:rsid w:val="00465CD6"/>
    <w:rsid w:val="004765E2"/>
    <w:rsid w:val="004B27CF"/>
    <w:rsid w:val="004B36D9"/>
    <w:rsid w:val="004D1008"/>
    <w:rsid w:val="00511F53"/>
    <w:rsid w:val="00526838"/>
    <w:rsid w:val="005313BD"/>
    <w:rsid w:val="005605DD"/>
    <w:rsid w:val="005809EE"/>
    <w:rsid w:val="0060535C"/>
    <w:rsid w:val="00605B61"/>
    <w:rsid w:val="0060766D"/>
    <w:rsid w:val="00622A5B"/>
    <w:rsid w:val="00666CC4"/>
    <w:rsid w:val="00667E22"/>
    <w:rsid w:val="00680F54"/>
    <w:rsid w:val="00684D97"/>
    <w:rsid w:val="006A5121"/>
    <w:rsid w:val="006B29C6"/>
    <w:rsid w:val="006B49AD"/>
    <w:rsid w:val="006E60A1"/>
    <w:rsid w:val="006F3E31"/>
    <w:rsid w:val="0073295A"/>
    <w:rsid w:val="00747DC0"/>
    <w:rsid w:val="00797F79"/>
    <w:rsid w:val="007A1613"/>
    <w:rsid w:val="007A6A13"/>
    <w:rsid w:val="007E4524"/>
    <w:rsid w:val="007F5C3B"/>
    <w:rsid w:val="00820EC6"/>
    <w:rsid w:val="00823CD1"/>
    <w:rsid w:val="00823DEE"/>
    <w:rsid w:val="008342D6"/>
    <w:rsid w:val="00841AA6"/>
    <w:rsid w:val="0084718D"/>
    <w:rsid w:val="00864C98"/>
    <w:rsid w:val="00885B84"/>
    <w:rsid w:val="008A2271"/>
    <w:rsid w:val="008A68D5"/>
    <w:rsid w:val="008C4821"/>
    <w:rsid w:val="008E3827"/>
    <w:rsid w:val="00912FF2"/>
    <w:rsid w:val="00932894"/>
    <w:rsid w:val="00934586"/>
    <w:rsid w:val="009402CD"/>
    <w:rsid w:val="00954200"/>
    <w:rsid w:val="00973731"/>
    <w:rsid w:val="00990843"/>
    <w:rsid w:val="009A2EE1"/>
    <w:rsid w:val="00A67870"/>
    <w:rsid w:val="00A678BB"/>
    <w:rsid w:val="00A706B7"/>
    <w:rsid w:val="00AA58CC"/>
    <w:rsid w:val="00AB0961"/>
    <w:rsid w:val="00AC1623"/>
    <w:rsid w:val="00AC4155"/>
    <w:rsid w:val="00AD52D7"/>
    <w:rsid w:val="00AD6D68"/>
    <w:rsid w:val="00B81570"/>
    <w:rsid w:val="00B86FD4"/>
    <w:rsid w:val="00BD6BE4"/>
    <w:rsid w:val="00BE3B7F"/>
    <w:rsid w:val="00C06E4C"/>
    <w:rsid w:val="00C22FCE"/>
    <w:rsid w:val="00C2652B"/>
    <w:rsid w:val="00C31238"/>
    <w:rsid w:val="00C316F9"/>
    <w:rsid w:val="00C3569E"/>
    <w:rsid w:val="00C37E4A"/>
    <w:rsid w:val="00C40EB5"/>
    <w:rsid w:val="00C7691E"/>
    <w:rsid w:val="00C8141F"/>
    <w:rsid w:val="00CC763A"/>
    <w:rsid w:val="00CF4DC8"/>
    <w:rsid w:val="00D20452"/>
    <w:rsid w:val="00D274BE"/>
    <w:rsid w:val="00D40ACB"/>
    <w:rsid w:val="00D90F6B"/>
    <w:rsid w:val="00D94B42"/>
    <w:rsid w:val="00D95C7B"/>
    <w:rsid w:val="00DE5538"/>
    <w:rsid w:val="00DE5B7D"/>
    <w:rsid w:val="00E04138"/>
    <w:rsid w:val="00E06C39"/>
    <w:rsid w:val="00E07683"/>
    <w:rsid w:val="00E1241F"/>
    <w:rsid w:val="00E509F2"/>
    <w:rsid w:val="00E6388D"/>
    <w:rsid w:val="00E75BE8"/>
    <w:rsid w:val="00E9082C"/>
    <w:rsid w:val="00F03D00"/>
    <w:rsid w:val="00F172B3"/>
    <w:rsid w:val="00F5031E"/>
    <w:rsid w:val="00F57522"/>
    <w:rsid w:val="00F666FC"/>
    <w:rsid w:val="00F71247"/>
    <w:rsid w:val="00F87EEC"/>
    <w:rsid w:val="00F950A7"/>
    <w:rsid w:val="00FA0705"/>
    <w:rsid w:val="00FA0E09"/>
    <w:rsid w:val="00FE61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3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BA"/>
    <w:pPr>
      <w:tabs>
        <w:tab w:val="center" w:pos="4153"/>
        <w:tab w:val="right" w:pos="8306"/>
      </w:tabs>
    </w:pPr>
  </w:style>
  <w:style w:type="character" w:customStyle="1" w:styleId="HeaderChar">
    <w:name w:val="Header Char"/>
    <w:basedOn w:val="DefaultParagraphFont"/>
    <w:link w:val="Header"/>
    <w:uiPriority w:val="99"/>
    <w:rsid w:val="00176FBA"/>
    <w:rPr>
      <w:sz w:val="22"/>
      <w:szCs w:val="22"/>
      <w:lang w:eastAsia="en-US"/>
    </w:rPr>
  </w:style>
  <w:style w:type="paragraph" w:styleId="Footer">
    <w:name w:val="footer"/>
    <w:basedOn w:val="Normal"/>
    <w:link w:val="FooterChar"/>
    <w:uiPriority w:val="99"/>
    <w:semiHidden/>
    <w:unhideWhenUsed/>
    <w:rsid w:val="00176FBA"/>
    <w:pPr>
      <w:tabs>
        <w:tab w:val="center" w:pos="4153"/>
        <w:tab w:val="right" w:pos="8306"/>
      </w:tabs>
    </w:pPr>
  </w:style>
  <w:style w:type="character" w:customStyle="1" w:styleId="FooterChar">
    <w:name w:val="Footer Char"/>
    <w:basedOn w:val="DefaultParagraphFont"/>
    <w:link w:val="Footer"/>
    <w:uiPriority w:val="99"/>
    <w:semiHidden/>
    <w:rsid w:val="00176FBA"/>
    <w:rPr>
      <w:sz w:val="22"/>
      <w:szCs w:val="22"/>
      <w:lang w:eastAsia="en-US"/>
    </w:rPr>
  </w:style>
  <w:style w:type="character" w:styleId="Hyperlink">
    <w:name w:val="Hyperlink"/>
    <w:basedOn w:val="DefaultParagraphFont"/>
    <w:unhideWhenUsed/>
    <w:rsid w:val="0032016B"/>
    <w:rPr>
      <w:color w:val="0000FF"/>
      <w:u w:val="single"/>
    </w:rPr>
  </w:style>
  <w:style w:type="paragraph" w:styleId="BodyText">
    <w:name w:val="Body Text"/>
    <w:basedOn w:val="Normal"/>
    <w:link w:val="BodyTextChar"/>
    <w:unhideWhenUsed/>
    <w:rsid w:val="0032016B"/>
    <w:pPr>
      <w:jc w:val="both"/>
    </w:pPr>
    <w:rPr>
      <w:rFonts w:ascii="Times New Roman" w:hAnsi="Times New Roman"/>
      <w:sz w:val="24"/>
      <w:szCs w:val="20"/>
      <w:lang w:val="en-GB"/>
    </w:rPr>
  </w:style>
  <w:style w:type="character" w:customStyle="1" w:styleId="BodyTextChar">
    <w:name w:val="Body Text Char"/>
    <w:basedOn w:val="DefaultParagraphFont"/>
    <w:link w:val="BodyText"/>
    <w:rsid w:val="0032016B"/>
    <w:rPr>
      <w:rFonts w:ascii="Times New Roman" w:hAnsi="Times New Roman"/>
      <w:sz w:val="24"/>
      <w:lang w:val="en-GB" w:eastAsia="en-US"/>
    </w:rPr>
  </w:style>
  <w:style w:type="paragraph" w:styleId="BalloonText">
    <w:name w:val="Balloon Text"/>
    <w:basedOn w:val="Normal"/>
    <w:link w:val="BalloonTextChar"/>
    <w:uiPriority w:val="99"/>
    <w:semiHidden/>
    <w:unhideWhenUsed/>
    <w:rsid w:val="00C3569E"/>
    <w:rPr>
      <w:rFonts w:ascii="Tahoma" w:hAnsi="Tahoma" w:cs="Tahoma"/>
      <w:sz w:val="16"/>
      <w:szCs w:val="16"/>
    </w:rPr>
  </w:style>
  <w:style w:type="character" w:customStyle="1" w:styleId="BalloonTextChar">
    <w:name w:val="Balloon Text Char"/>
    <w:basedOn w:val="DefaultParagraphFont"/>
    <w:link w:val="BalloonText"/>
    <w:uiPriority w:val="99"/>
    <w:semiHidden/>
    <w:rsid w:val="00C356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7410765">
      <w:bodyDiv w:val="1"/>
      <w:marLeft w:val="0"/>
      <w:marRight w:val="0"/>
      <w:marTop w:val="0"/>
      <w:marBottom w:val="0"/>
      <w:divBdr>
        <w:top w:val="none" w:sz="0" w:space="0" w:color="auto"/>
        <w:left w:val="none" w:sz="0" w:space="0" w:color="auto"/>
        <w:bottom w:val="none" w:sz="0" w:space="0" w:color="auto"/>
        <w:right w:val="none" w:sz="0" w:space="0" w:color="auto"/>
      </w:divBdr>
      <w:divsChild>
        <w:div w:id="935946998">
          <w:marLeft w:val="547"/>
          <w:marRight w:val="0"/>
          <w:marTop w:val="96"/>
          <w:marBottom w:val="0"/>
          <w:divBdr>
            <w:top w:val="none" w:sz="0" w:space="0" w:color="auto"/>
            <w:left w:val="none" w:sz="0" w:space="0" w:color="auto"/>
            <w:bottom w:val="none" w:sz="0" w:space="0" w:color="auto"/>
            <w:right w:val="none" w:sz="0" w:space="0" w:color="auto"/>
          </w:divBdr>
        </w:div>
      </w:divsChild>
    </w:div>
    <w:div w:id="650793396">
      <w:bodyDiv w:val="1"/>
      <w:marLeft w:val="38"/>
      <w:marRight w:val="38"/>
      <w:marTop w:val="75"/>
      <w:marBottom w:val="75"/>
      <w:divBdr>
        <w:top w:val="none" w:sz="0" w:space="0" w:color="auto"/>
        <w:left w:val="none" w:sz="0" w:space="0" w:color="auto"/>
        <w:bottom w:val="none" w:sz="0" w:space="0" w:color="auto"/>
        <w:right w:val="none" w:sz="0" w:space="0" w:color="auto"/>
      </w:divBdr>
      <w:divsChild>
        <w:div w:id="708072295">
          <w:marLeft w:val="0"/>
          <w:marRight w:val="0"/>
          <w:marTop w:val="0"/>
          <w:marBottom w:val="567"/>
          <w:divBdr>
            <w:top w:val="none" w:sz="0" w:space="0" w:color="auto"/>
            <w:left w:val="none" w:sz="0" w:space="0" w:color="auto"/>
            <w:bottom w:val="none" w:sz="0" w:space="0" w:color="auto"/>
            <w:right w:val="none" w:sz="0" w:space="0" w:color="auto"/>
          </w:divBdr>
        </w:div>
      </w:divsChild>
    </w:div>
    <w:div w:id="1034383359">
      <w:bodyDiv w:val="1"/>
      <w:marLeft w:val="0"/>
      <w:marRight w:val="0"/>
      <w:marTop w:val="0"/>
      <w:marBottom w:val="0"/>
      <w:divBdr>
        <w:top w:val="none" w:sz="0" w:space="0" w:color="auto"/>
        <w:left w:val="none" w:sz="0" w:space="0" w:color="auto"/>
        <w:bottom w:val="none" w:sz="0" w:space="0" w:color="auto"/>
        <w:right w:val="none" w:sz="0" w:space="0" w:color="auto"/>
      </w:divBdr>
      <w:divsChild>
        <w:div w:id="962274939">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ita.Eizvertina@t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4487</Words>
  <Characters>2559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7032</CharactersWithSpaces>
  <SharedDoc>false</SharedDoc>
  <HLinks>
    <vt:vector size="6" baseType="variant">
      <vt:variant>
        <vt:i4>786530</vt:i4>
      </vt:variant>
      <vt:variant>
        <vt:i4>0</vt:i4>
      </vt:variant>
      <vt:variant>
        <vt:i4>0</vt:i4>
      </vt:variant>
      <vt:variant>
        <vt:i4>5</vt:i4>
      </vt:variant>
      <vt:variant>
        <vt:lpwstr>mailto:Sigita.Eizvertina@e%20simbolstm.gov.lv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Vēstules projekts par nepieciešamību pilnveidot Maksātnespējas likumā noteikto maksātnespējas procesa finansēšanas tiesisko regulējumu</dc:title>
  <dc:subject>Vēstules projekts</dc:subject>
  <dc:creator>Tieslietu ministrija</dc:creator>
  <cp:keywords/>
  <dc:description>67046132, Sigita.Eizvertina@tm.gov.lv</dc:description>
  <cp:lastModifiedBy>dv1301</cp:lastModifiedBy>
  <cp:revision>3</cp:revision>
  <dcterms:created xsi:type="dcterms:W3CDTF">2011-01-07T07:59:00Z</dcterms:created>
  <dcterms:modified xsi:type="dcterms:W3CDTF">2011-01-07T08:12:00Z</dcterms:modified>
</cp:coreProperties>
</file>