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FE" w:rsidRPr="00EF59C6" w:rsidRDefault="00AF3EFE" w:rsidP="00AF3EFE">
      <w:pPr>
        <w:pStyle w:val="Nosaukums"/>
        <w:outlineLvl w:val="0"/>
      </w:pPr>
      <w:bookmarkStart w:id="0" w:name="OLE_LINK7"/>
      <w:bookmarkStart w:id="1" w:name="OLE_LINK8"/>
      <w:r w:rsidRPr="00EF59C6">
        <w:t>Informatīvais ziņojums</w:t>
      </w:r>
    </w:p>
    <w:p w:rsidR="00AF3EFE" w:rsidRPr="00EF59C6" w:rsidRDefault="00BB5407" w:rsidP="00AF3EFE">
      <w:pPr>
        <w:jc w:val="center"/>
        <w:rPr>
          <w:b/>
          <w:bCs/>
        </w:rPr>
      </w:pPr>
      <w:bookmarkStart w:id="2" w:name="OLE_LINK5"/>
      <w:bookmarkStart w:id="3" w:name="OLE_LINK6"/>
      <w:bookmarkStart w:id="4" w:name="OLE_LINK1"/>
      <w:bookmarkEnd w:id="0"/>
      <w:bookmarkEnd w:id="1"/>
      <w:r w:rsidRPr="00EF59C6">
        <w:rPr>
          <w:b/>
          <w:bCs/>
        </w:rPr>
        <w:t xml:space="preserve">par </w:t>
      </w:r>
      <w:r w:rsidR="00AF3EFE" w:rsidRPr="00EF59C6">
        <w:rPr>
          <w:b/>
        </w:rPr>
        <w:t xml:space="preserve">Tieslietu un iekšlietu ministru padomes </w:t>
      </w:r>
      <w:r w:rsidR="00AF3EFE" w:rsidRPr="00EF59C6">
        <w:rPr>
          <w:b/>
          <w:bCs/>
        </w:rPr>
        <w:t>201</w:t>
      </w:r>
      <w:r w:rsidR="00096204" w:rsidRPr="00EF59C6">
        <w:rPr>
          <w:b/>
          <w:bCs/>
        </w:rPr>
        <w:t>1</w:t>
      </w:r>
      <w:r w:rsidR="00AF3EFE" w:rsidRPr="00EF59C6">
        <w:rPr>
          <w:b/>
          <w:bCs/>
        </w:rPr>
        <w:t>. </w:t>
      </w:r>
      <w:r w:rsidR="00606F89" w:rsidRPr="00EF59C6">
        <w:rPr>
          <w:b/>
          <w:bCs/>
        </w:rPr>
        <w:t>g</w:t>
      </w:r>
      <w:r w:rsidR="00AF3EFE" w:rsidRPr="00EF59C6">
        <w:rPr>
          <w:b/>
          <w:bCs/>
        </w:rPr>
        <w:t>ada</w:t>
      </w:r>
      <w:r w:rsidR="00606F89" w:rsidRPr="00EF59C6">
        <w:rPr>
          <w:b/>
          <w:bCs/>
        </w:rPr>
        <w:t xml:space="preserve"> </w:t>
      </w:r>
      <w:r w:rsidR="009B57FD" w:rsidRPr="00EF59C6">
        <w:rPr>
          <w:b/>
          <w:bCs/>
        </w:rPr>
        <w:t>11</w:t>
      </w:r>
      <w:r w:rsidR="00096204" w:rsidRPr="00EF59C6">
        <w:rPr>
          <w:b/>
          <w:bCs/>
        </w:rPr>
        <w:t>.-</w:t>
      </w:r>
      <w:r w:rsidR="009B57FD" w:rsidRPr="00EF59C6">
        <w:rPr>
          <w:b/>
          <w:bCs/>
        </w:rPr>
        <w:t>12</w:t>
      </w:r>
      <w:r w:rsidR="00AF3EFE" w:rsidRPr="00EF59C6">
        <w:rPr>
          <w:b/>
          <w:bCs/>
        </w:rPr>
        <w:t>.</w:t>
      </w:r>
      <w:r w:rsidR="00606F89" w:rsidRPr="00EF59C6">
        <w:rPr>
          <w:b/>
          <w:bCs/>
        </w:rPr>
        <w:t> </w:t>
      </w:r>
      <w:r w:rsidR="009B57FD" w:rsidRPr="00EF59C6">
        <w:rPr>
          <w:b/>
          <w:bCs/>
        </w:rPr>
        <w:t>aprīļa</w:t>
      </w:r>
      <w:r w:rsidR="00AF3EFE" w:rsidRPr="00EF59C6">
        <w:rPr>
          <w:b/>
          <w:bCs/>
        </w:rPr>
        <w:t xml:space="preserve"> </w:t>
      </w:r>
      <w:r w:rsidR="00AF3EFE" w:rsidRPr="00EF59C6">
        <w:rPr>
          <w:b/>
        </w:rPr>
        <w:t>sanāksm</w:t>
      </w:r>
      <w:r w:rsidR="00AF3EFE" w:rsidRPr="00EF59C6">
        <w:rPr>
          <w:b/>
          <w:bCs/>
        </w:rPr>
        <w:t xml:space="preserve">ē izskatāmajiem jautājumiem </w:t>
      </w:r>
    </w:p>
    <w:bookmarkEnd w:id="2"/>
    <w:bookmarkEnd w:id="3"/>
    <w:bookmarkEnd w:id="4"/>
    <w:p w:rsidR="00AF3EFE" w:rsidRPr="00EF59C6" w:rsidRDefault="00AF3EFE" w:rsidP="00AF3EFE">
      <w:pPr>
        <w:jc w:val="center"/>
      </w:pPr>
    </w:p>
    <w:p w:rsidR="00E0698D" w:rsidRPr="00EF59C6" w:rsidRDefault="00E0698D" w:rsidP="00E0698D">
      <w:pPr>
        <w:pStyle w:val="Virsraksts5"/>
        <w:jc w:val="both"/>
      </w:pPr>
      <w:r w:rsidRPr="00EF59C6">
        <w:t>I Ministru padomes sanāksmes darba kārtība</w:t>
      </w:r>
    </w:p>
    <w:p w:rsidR="00E0698D" w:rsidRPr="00EF59C6" w:rsidRDefault="00E0698D" w:rsidP="00AF3EFE">
      <w:pPr>
        <w:jc w:val="center"/>
      </w:pPr>
    </w:p>
    <w:p w:rsidR="004D32DC" w:rsidRPr="00EF59C6" w:rsidRDefault="00262A30" w:rsidP="00AF3EFE">
      <w:pPr>
        <w:ind w:firstLine="720"/>
        <w:jc w:val="both"/>
      </w:pPr>
      <w:r>
        <w:t>Luksemburgā</w:t>
      </w:r>
      <w:r w:rsidR="00AF3EFE" w:rsidRPr="00EF59C6">
        <w:t>, 201</w:t>
      </w:r>
      <w:r w:rsidR="00096204" w:rsidRPr="00EF59C6">
        <w:t>1</w:t>
      </w:r>
      <w:r w:rsidR="00AF3EFE" w:rsidRPr="00EF59C6">
        <w:t>.</w:t>
      </w:r>
      <w:r w:rsidR="00D61135" w:rsidRPr="00EF59C6">
        <w:t> </w:t>
      </w:r>
      <w:r w:rsidR="00AF3EFE" w:rsidRPr="00EF59C6">
        <w:rPr>
          <w:bCs/>
        </w:rPr>
        <w:t xml:space="preserve">gada </w:t>
      </w:r>
      <w:r w:rsidR="003C0458" w:rsidRPr="00EF59C6">
        <w:rPr>
          <w:bCs/>
        </w:rPr>
        <w:t>11</w:t>
      </w:r>
      <w:r w:rsidR="00AF3EFE" w:rsidRPr="00EF59C6">
        <w:rPr>
          <w:bCs/>
        </w:rPr>
        <w:t>.-</w:t>
      </w:r>
      <w:r w:rsidR="003C0458" w:rsidRPr="00EF59C6">
        <w:rPr>
          <w:bCs/>
        </w:rPr>
        <w:t>12</w:t>
      </w:r>
      <w:r w:rsidR="00AF3EFE" w:rsidRPr="00EF59C6">
        <w:rPr>
          <w:bCs/>
        </w:rPr>
        <w:t>.</w:t>
      </w:r>
      <w:r w:rsidR="003C0458" w:rsidRPr="00EF59C6">
        <w:rPr>
          <w:bCs/>
        </w:rPr>
        <w:t xml:space="preserve"> aprīlī </w:t>
      </w:r>
      <w:r w:rsidR="00AF3EFE" w:rsidRPr="00EF59C6">
        <w:t xml:space="preserve">notiks kārtējā Eiropas Savienības (turpmāk – ES) Tieslietu un iekšlietu ministru padomes </w:t>
      </w:r>
      <w:r w:rsidR="00AF3EFE" w:rsidRPr="00EF59C6">
        <w:rPr>
          <w:iCs/>
        </w:rPr>
        <w:t>(turpmāk – Padome)</w:t>
      </w:r>
      <w:r w:rsidR="00AF3EFE" w:rsidRPr="00EF59C6">
        <w:t xml:space="preserve"> sanāksme, kura</w:t>
      </w:r>
      <w:r w:rsidR="007C2497" w:rsidRPr="00EF59C6">
        <w:t xml:space="preserve">s darba kārtībā ir </w:t>
      </w:r>
      <w:r w:rsidR="004D32DC" w:rsidRPr="00EF59C6">
        <w:t xml:space="preserve">ietverti šādi </w:t>
      </w:r>
      <w:r w:rsidR="00DB1FC3" w:rsidRPr="00EF59C6">
        <w:t xml:space="preserve">Tieslietu, Labklājības un Kultūras ministrijas kompetencē esošie </w:t>
      </w:r>
      <w:r w:rsidR="004D32DC" w:rsidRPr="00EF59C6">
        <w:t>jautājumi</w:t>
      </w:r>
      <w:r w:rsidR="00DB1FC3" w:rsidRPr="00EF59C6">
        <w:t xml:space="preserve">: </w:t>
      </w:r>
    </w:p>
    <w:p w:rsidR="004D32DC" w:rsidRPr="00EF59C6" w:rsidRDefault="004D32DC" w:rsidP="00AF3EFE">
      <w:pPr>
        <w:ind w:firstLine="720"/>
        <w:jc w:val="both"/>
      </w:pPr>
    </w:p>
    <w:p w:rsidR="004D32DC" w:rsidRPr="00EF59C6" w:rsidRDefault="004D32DC" w:rsidP="001E604A">
      <w:pPr>
        <w:pStyle w:val="Sarakstarindkopa"/>
        <w:numPr>
          <w:ilvl w:val="0"/>
          <w:numId w:val="5"/>
        </w:numPr>
        <w:jc w:val="both"/>
      </w:pPr>
      <w:r w:rsidRPr="00EF59C6">
        <w:rPr>
          <w:bCs/>
        </w:rPr>
        <w:t>Priekšlikums Eiropas Parlamenta un Padomes direktīvai par seksuālās vardarbības pret bērniem, bērnu seksuālās izmantošanas un bērnu pornogrāfijas apkarošanu, ar ko atceļ Pamatlēmumu 2004/68/TI;</w:t>
      </w:r>
    </w:p>
    <w:p w:rsidR="004D32DC" w:rsidRPr="00EF59C6" w:rsidRDefault="004D32DC" w:rsidP="004D32DC">
      <w:pPr>
        <w:pStyle w:val="Sarakstarindkopa"/>
        <w:numPr>
          <w:ilvl w:val="0"/>
          <w:numId w:val="5"/>
        </w:numPr>
        <w:jc w:val="both"/>
      </w:pPr>
      <w:r w:rsidRPr="00EF59C6">
        <w:rPr>
          <w:bCs/>
        </w:rPr>
        <w:t>Priekšlikums  Eiropas Parlamenta un Padomes Direktīvai par tiesībām uz informāciju kriminālprocesā;</w:t>
      </w:r>
    </w:p>
    <w:p w:rsidR="004D32DC" w:rsidRPr="00EF59C6" w:rsidRDefault="004D32DC" w:rsidP="001E604A">
      <w:pPr>
        <w:pStyle w:val="Sarakstarindkopa"/>
        <w:numPr>
          <w:ilvl w:val="0"/>
          <w:numId w:val="5"/>
        </w:numPr>
        <w:jc w:val="both"/>
      </w:pPr>
      <w:r w:rsidRPr="00EF59C6">
        <w:t>Noziedzīgajos nodarījumos cietušo tiesību aizsardzība;</w:t>
      </w:r>
    </w:p>
    <w:p w:rsidR="004D32DC" w:rsidRPr="00EF59C6" w:rsidRDefault="00A37F6E" w:rsidP="004D32DC">
      <w:pPr>
        <w:pStyle w:val="Sarakstarindkopa"/>
        <w:numPr>
          <w:ilvl w:val="0"/>
          <w:numId w:val="5"/>
        </w:numPr>
        <w:jc w:val="both"/>
      </w:pPr>
      <w:r w:rsidRPr="00EF59C6">
        <w:t>Priekšlikums</w:t>
      </w:r>
      <w:r w:rsidR="004D32DC" w:rsidRPr="00EF59C6">
        <w:t xml:space="preserve"> Eiropas Parlamenta un Padomes Direktīvai par uzbrukumiem informācijas sistēmām, ar ko atceļ Padomes Pamatlēmumu 2005/222/TI;</w:t>
      </w:r>
    </w:p>
    <w:p w:rsidR="004D32DC" w:rsidRPr="00EF59C6" w:rsidRDefault="004D32DC" w:rsidP="004D32DC">
      <w:pPr>
        <w:pStyle w:val="Sarakstarindkopa"/>
        <w:numPr>
          <w:ilvl w:val="0"/>
          <w:numId w:val="5"/>
        </w:numPr>
        <w:jc w:val="both"/>
      </w:pPr>
      <w:r w:rsidRPr="00EF59C6">
        <w:rPr>
          <w:bCs/>
        </w:rPr>
        <w:t>Beļģijas Karalistes, Bulgārijas Republikas, Igaunijas Republikas, Spānijas Karalistes, Austrijas Republikas, Slovēnijas Republikas un Zviedrijas Karalistes iniciatīva Eiropas Parlamenta un Padomes Direktīvai par Eiropas Izmekl</w:t>
      </w:r>
      <w:r w:rsidR="00291569" w:rsidRPr="00EF59C6">
        <w:rPr>
          <w:bCs/>
        </w:rPr>
        <w:t>ēšanas rīkojum</w:t>
      </w:r>
      <w:r w:rsidR="00A37F6E" w:rsidRPr="00EF59C6">
        <w:rPr>
          <w:bCs/>
        </w:rPr>
        <w:t>u</w:t>
      </w:r>
      <w:r w:rsidR="00291569" w:rsidRPr="00EF59C6">
        <w:rPr>
          <w:bCs/>
        </w:rPr>
        <w:t xml:space="preserve"> krimināllietās;</w:t>
      </w:r>
    </w:p>
    <w:p w:rsidR="004D32DC" w:rsidRPr="00EF59C6" w:rsidRDefault="004D32DC" w:rsidP="004D32DC">
      <w:pPr>
        <w:pStyle w:val="Sarakstarindkopa"/>
        <w:numPr>
          <w:ilvl w:val="0"/>
          <w:numId w:val="5"/>
        </w:numPr>
        <w:jc w:val="both"/>
      </w:pPr>
      <w:r w:rsidRPr="00EF59C6">
        <w:t>Priekšlikums Eiropas Parlamenta un Padomes regulai par jurisdikciju, piemērojamiem tiesību aktiem, lēmumu un autentisku aktu atzīšanu un izpildi mantošanas jomā un par Eiropas mantojuma apliecības izveidi</w:t>
      </w:r>
      <w:r w:rsidR="00291569" w:rsidRPr="00EF59C6">
        <w:t>;</w:t>
      </w:r>
    </w:p>
    <w:p w:rsidR="00291569" w:rsidRPr="00EF59C6" w:rsidRDefault="0052132C" w:rsidP="004D32DC">
      <w:pPr>
        <w:pStyle w:val="Pamatteksts"/>
        <w:numPr>
          <w:ilvl w:val="0"/>
          <w:numId w:val="5"/>
        </w:numPr>
        <w:spacing w:after="0"/>
        <w:jc w:val="both"/>
      </w:pPr>
      <w:r w:rsidRPr="00EF59C6">
        <w:t>Priekšlikums</w:t>
      </w:r>
      <w:r w:rsidR="00291569" w:rsidRPr="00EF59C6">
        <w:t xml:space="preserve"> Padomes regulai par jurisdikciju, piemērojamiem tiesību aktiem, nolēmumu atzīšanu un izpildi laulāto mantisko attiecību lietās un priekšlikums Padomes regulai par jurisdikciju, piemērojamiem tiesību aktiem, nolēmumu atzīšanu un izpildi par reģistrēto partnerattiecību mantiskajām sekām; </w:t>
      </w:r>
    </w:p>
    <w:p w:rsidR="00A37F6E" w:rsidRPr="00EF59C6" w:rsidRDefault="00A37F6E" w:rsidP="00A37F6E">
      <w:pPr>
        <w:pStyle w:val="Sarakstarindkopa"/>
        <w:numPr>
          <w:ilvl w:val="0"/>
          <w:numId w:val="5"/>
        </w:numPr>
        <w:jc w:val="both"/>
      </w:pPr>
      <w:r w:rsidRPr="00EF59C6">
        <w:t xml:space="preserve">Eiropas Komisijas paziņojums Eiropas Parlamentam, Padomei, Eiropas Ekonomikas un sociālo lietu komitejai un Reģionu komitejai „ES darba kārtība bērnu tiesību jomā”; </w:t>
      </w:r>
    </w:p>
    <w:p w:rsidR="009D419B" w:rsidRPr="00EF59C6" w:rsidRDefault="00E0206B" w:rsidP="00A37F6E">
      <w:pPr>
        <w:pStyle w:val="Sarakstarindkopa"/>
        <w:numPr>
          <w:ilvl w:val="0"/>
          <w:numId w:val="5"/>
        </w:numPr>
        <w:jc w:val="both"/>
      </w:pPr>
      <w:r w:rsidRPr="00EF59C6">
        <w:t xml:space="preserve">Eiropas Komisijas paziņojums par ES </w:t>
      </w:r>
      <w:r w:rsidR="0077448C" w:rsidRPr="00EF59C6">
        <w:t>ietvaru</w:t>
      </w:r>
      <w:r w:rsidRPr="00EF59C6">
        <w:t xml:space="preserve"> nacionālajām </w:t>
      </w:r>
      <w:proofErr w:type="spellStart"/>
      <w:r w:rsidRPr="00EF59C6">
        <w:t>romu</w:t>
      </w:r>
      <w:proofErr w:type="spellEnd"/>
      <w:r w:rsidRPr="00EF59C6">
        <w:t xml:space="preserve"> integrācijas stratēģijām; </w:t>
      </w:r>
    </w:p>
    <w:p w:rsidR="00291569" w:rsidRPr="00EF59C6" w:rsidRDefault="00291569" w:rsidP="00291569">
      <w:pPr>
        <w:pStyle w:val="Sarakstarindkopa"/>
        <w:numPr>
          <w:ilvl w:val="0"/>
          <w:numId w:val="5"/>
        </w:numPr>
        <w:jc w:val="both"/>
      </w:pPr>
      <w:r w:rsidRPr="00EF59C6">
        <w:t xml:space="preserve">ES Pamattiesību Hartas </w:t>
      </w:r>
      <w:r w:rsidR="00DB1FC3" w:rsidRPr="00EF59C6">
        <w:t>piemērošana</w:t>
      </w:r>
      <w:r w:rsidRPr="00EF59C6">
        <w:t>;</w:t>
      </w:r>
    </w:p>
    <w:p w:rsidR="00291569" w:rsidRPr="00EF59C6" w:rsidRDefault="00291569" w:rsidP="00291569">
      <w:pPr>
        <w:pStyle w:val="Sarakstarindkopa"/>
        <w:numPr>
          <w:ilvl w:val="0"/>
          <w:numId w:val="5"/>
        </w:numPr>
        <w:ind w:right="-1"/>
        <w:jc w:val="both"/>
      </w:pPr>
      <w:bookmarkStart w:id="5" w:name="OLE_LINK2"/>
      <w:r w:rsidRPr="00EF59C6">
        <w:t>Nolīgum</w:t>
      </w:r>
      <w:r w:rsidR="00DB1FC3" w:rsidRPr="00EF59C6">
        <w:t>a</w:t>
      </w:r>
      <w:r w:rsidRPr="00EF59C6">
        <w:rPr>
          <w:i/>
        </w:rPr>
        <w:t xml:space="preserve"> </w:t>
      </w:r>
      <w:r w:rsidRPr="00EF59C6">
        <w:t>starp ES un ASV, lai nodrošinātu finanšu datu apstrādi un nodošanu, kurus ES dara pieejamus ASV, lai īstenotu Teroristu finansēšanas izsekošanas programmu („SWIFT” Nolīgums)</w:t>
      </w:r>
      <w:r w:rsidR="00DB1FC3" w:rsidRPr="00EF59C6">
        <w:t xml:space="preserve"> piemērošana</w:t>
      </w:r>
      <w:r w:rsidR="00582F4E" w:rsidRPr="00EF59C6">
        <w:t xml:space="preserve">. </w:t>
      </w:r>
      <w:r w:rsidRPr="00EF59C6">
        <w:t xml:space="preserve"> </w:t>
      </w:r>
    </w:p>
    <w:p w:rsidR="00A37F6E" w:rsidRPr="00EF59C6" w:rsidRDefault="00A37F6E" w:rsidP="00A37F6E">
      <w:pPr>
        <w:pStyle w:val="Sarakstarindkopa"/>
        <w:ind w:left="709" w:right="-1"/>
        <w:jc w:val="both"/>
      </w:pPr>
    </w:p>
    <w:bookmarkEnd w:id="5"/>
    <w:p w:rsidR="00996994" w:rsidRPr="00EF59C6" w:rsidRDefault="00080FBE" w:rsidP="00996994">
      <w:pPr>
        <w:pStyle w:val="Pamatteksts2"/>
        <w:jc w:val="both"/>
        <w:rPr>
          <w:b/>
          <w:bCs/>
          <w:sz w:val="24"/>
          <w:szCs w:val="24"/>
          <w:u w:val="single"/>
        </w:rPr>
      </w:pPr>
      <w:r w:rsidRPr="00EF59C6">
        <w:rPr>
          <w:b/>
          <w:bCs/>
          <w:sz w:val="24"/>
          <w:szCs w:val="24"/>
          <w:u w:val="single"/>
        </w:rPr>
        <w:t>I</w:t>
      </w:r>
      <w:r w:rsidR="00996994" w:rsidRPr="00EF59C6">
        <w:rPr>
          <w:b/>
          <w:bCs/>
          <w:sz w:val="24"/>
          <w:szCs w:val="24"/>
          <w:u w:val="single"/>
        </w:rPr>
        <w:t xml:space="preserve">I </w:t>
      </w:r>
      <w:r w:rsidRPr="00EF59C6">
        <w:rPr>
          <w:b/>
          <w:bCs/>
          <w:sz w:val="24"/>
          <w:szCs w:val="24"/>
          <w:u w:val="single"/>
        </w:rPr>
        <w:t xml:space="preserve">Jautājumu būtība </w:t>
      </w:r>
    </w:p>
    <w:p w:rsidR="00C655A0" w:rsidRPr="00EF59C6" w:rsidRDefault="00C7575F" w:rsidP="00C7575F">
      <w:pPr>
        <w:pStyle w:val="Sarakstarindkopa"/>
        <w:ind w:left="644"/>
        <w:jc w:val="both"/>
      </w:pPr>
      <w:r w:rsidRPr="00EF59C6">
        <w:t xml:space="preserve">       </w:t>
      </w:r>
    </w:p>
    <w:p w:rsidR="00E51B15" w:rsidRPr="00EF59C6" w:rsidRDefault="00E51B15" w:rsidP="00E51B15">
      <w:pPr>
        <w:pStyle w:val="Sarakstarindkopa"/>
        <w:numPr>
          <w:ilvl w:val="0"/>
          <w:numId w:val="19"/>
        </w:numPr>
        <w:contextualSpacing w:val="0"/>
        <w:jc w:val="both"/>
        <w:rPr>
          <w:b/>
          <w:bCs/>
        </w:rPr>
      </w:pPr>
      <w:r w:rsidRPr="00EF59C6">
        <w:rPr>
          <w:b/>
          <w:bCs/>
        </w:rPr>
        <w:t>Priekšlikums Eiropas Parlamenta un Padomes direktīvai par seksuālās vardarbības pret bērniem, bērnu seksuālās izmantošanas un bērnu pornogrāfijas apkarošanu, ar ko atceļ Pamatlēmumu 2004/68/TI</w:t>
      </w:r>
    </w:p>
    <w:p w:rsidR="00E51B15" w:rsidRPr="00EF59C6" w:rsidRDefault="00E51B15" w:rsidP="00E51B15">
      <w:pPr>
        <w:pStyle w:val="Sarakstarindkopa"/>
        <w:ind w:left="0" w:firstLine="709"/>
        <w:jc w:val="both"/>
      </w:pPr>
      <w:r w:rsidRPr="00EF59C6">
        <w:t xml:space="preserve">Padomes sanāksmē dalībvalstu ministri tiks informēti par progresu Prezidentūras un Komisijas sarunās ar Eiropas Parlamentu. Dalībvalstu vienošanās attiecībā uz direktīvu pēc būtības tika apstiprināta Tieslietu un iekšlietu ministru padomes sanāksmē 2010. gada beigās, 2011. gada 16. martā uzsākts Prezidentūras, Komisijas un Eiropas Parlamenta trialogs. </w:t>
      </w:r>
    </w:p>
    <w:p w:rsidR="00E51B15" w:rsidRPr="00EF59C6" w:rsidRDefault="00E51B15" w:rsidP="00E51B15">
      <w:pPr>
        <w:ind w:firstLine="709"/>
        <w:jc w:val="both"/>
      </w:pPr>
      <w:r w:rsidRPr="00EF59C6">
        <w:t xml:space="preserve">Direktīvas mērķis ir nodrošināt vainīgo personu </w:t>
      </w:r>
      <w:r w:rsidR="00262A30" w:rsidRPr="00EF59C6">
        <w:t xml:space="preserve">efektīvu </w:t>
      </w:r>
      <w:r w:rsidRPr="00EF59C6">
        <w:t xml:space="preserve">saukšanu pie kriminālatbildības, cietušo personu tiesību aizsardzību un bērnu seksuālās izmantošanas un </w:t>
      </w:r>
      <w:r w:rsidRPr="00EF59C6">
        <w:lastRenderedPageBreak/>
        <w:t>vardarbības pret bērniem novēršanu.</w:t>
      </w:r>
      <w:r w:rsidR="00827557" w:rsidRPr="00EF59C6">
        <w:t xml:space="preserve"> Ar direktīvas pieņemšanu tiks aizstāts </w:t>
      </w:r>
      <w:r w:rsidRPr="00EF59C6">
        <w:t>spēkā esoš</w:t>
      </w:r>
      <w:r w:rsidR="00262A30">
        <w:t>ai</w:t>
      </w:r>
      <w:r w:rsidRPr="00EF59C6">
        <w:t xml:space="preserve">s Pamatlēmums 2004/68/TI par bērnu seksuālās izmantošanas un bērnu pornogrāfijas apkarošanu, ar kuru tiek nodrošināts dalībvalstu tiesību aktu tuvināšanas minimums. </w:t>
      </w:r>
    </w:p>
    <w:p w:rsidR="00E51B15" w:rsidRPr="00EF59C6" w:rsidRDefault="00E51B15" w:rsidP="00E51B15">
      <w:pPr>
        <w:pStyle w:val="Sarakstarindkopa"/>
        <w:ind w:left="709"/>
        <w:jc w:val="both"/>
      </w:pPr>
    </w:p>
    <w:p w:rsidR="00E51B15" w:rsidRPr="00EF59C6" w:rsidRDefault="00E51B15" w:rsidP="00E51B15">
      <w:pPr>
        <w:pStyle w:val="Sarakstarindkopa"/>
        <w:numPr>
          <w:ilvl w:val="0"/>
          <w:numId w:val="19"/>
        </w:numPr>
        <w:contextualSpacing w:val="0"/>
        <w:jc w:val="both"/>
      </w:pPr>
      <w:r w:rsidRPr="00EF59C6">
        <w:rPr>
          <w:b/>
          <w:bCs/>
        </w:rPr>
        <w:t>Priekšlikums  Eiropas Parlamenta un Padomes Direktīvai par tiesībām uz informāciju kriminālprocesā</w:t>
      </w:r>
    </w:p>
    <w:p w:rsidR="00E51B15" w:rsidRPr="00EF59C6" w:rsidRDefault="00E51B15" w:rsidP="00E51B15">
      <w:pPr>
        <w:ind w:firstLine="709"/>
        <w:jc w:val="both"/>
      </w:pPr>
      <w:r w:rsidRPr="00EF59C6">
        <w:t>Padomes sanāksmē dalībvalstu ministri tiks informēti par progresu Prezidentūras un Komisijas sarunās ar Eiropas Parlamentu. Dalībvalstu vienošanās par direktīvas pamata tekstu ir panākta jau pagājušā gada beigās, apstiprinot to ES Tieslietu un iekšlietu ministru 2010. gada decembra padomes sanāksmē.</w:t>
      </w:r>
    </w:p>
    <w:p w:rsidR="00E51B15" w:rsidRPr="00EF59C6" w:rsidRDefault="00E51B15" w:rsidP="00E51B15">
      <w:pPr>
        <w:ind w:firstLine="709"/>
        <w:jc w:val="both"/>
      </w:pPr>
      <w:r w:rsidRPr="00EF59C6">
        <w:t>Direktīvas mērķis ir stiprināt aizdomās turēto un apsūdzēto tiesības kriminālprocesā, nodrošinot šo personu tiesības uz informāciju. Direktīva paredz vienotus minimālus standartus attiecībā uz tiesībām uz informāciju kriminālprocesā, kam būtu jāatvieglo savstarpējās atzīšanas principa piemērošana ES, tādējādi uzlabojot ES dalībvalstu tiesu iestāžu sadarbību krimināllietās.</w:t>
      </w:r>
    </w:p>
    <w:p w:rsidR="00E51B15" w:rsidRPr="00EF59C6" w:rsidRDefault="00E51B15" w:rsidP="00E51B15">
      <w:pPr>
        <w:pStyle w:val="Sarakstarindkopa"/>
        <w:ind w:left="709"/>
        <w:jc w:val="both"/>
      </w:pPr>
    </w:p>
    <w:p w:rsidR="00E51B15" w:rsidRPr="00EF59C6" w:rsidRDefault="00E51B15" w:rsidP="00E51B15">
      <w:pPr>
        <w:pStyle w:val="Sarakstarindkopa"/>
        <w:numPr>
          <w:ilvl w:val="0"/>
          <w:numId w:val="19"/>
        </w:numPr>
        <w:contextualSpacing w:val="0"/>
        <w:jc w:val="both"/>
        <w:rPr>
          <w:b/>
          <w:bCs/>
        </w:rPr>
      </w:pPr>
      <w:r w:rsidRPr="00EF59C6">
        <w:rPr>
          <w:b/>
          <w:bCs/>
        </w:rPr>
        <w:t>Noziedzīgajos nodarījumos cietušo tiesību aizsardzība</w:t>
      </w:r>
    </w:p>
    <w:p w:rsidR="00E51B15" w:rsidRPr="00EF59C6" w:rsidRDefault="00E51B15" w:rsidP="00E51B15">
      <w:pPr>
        <w:pStyle w:val="Sarakstarindkopa"/>
        <w:ind w:left="0" w:firstLine="709"/>
        <w:jc w:val="both"/>
      </w:pPr>
      <w:r w:rsidRPr="00EF59C6">
        <w:t xml:space="preserve">Ministri tiks iepazīstināti ar Prezidentūras rīkotās konferences secinājumiem attiecībā uz noziedzīgajos nodarījumos cietušo tiesību aizsardzību ES līmenī. Konference, kas tika veltīta problēmām šajā jomā, kā arī nākotnē izstrādājamā tiesiskā regulējuma saturam, notika 2011. gada 23. -24. martā, Budapeštā.   </w:t>
      </w:r>
    </w:p>
    <w:p w:rsidR="00E51B15" w:rsidRPr="00EF59C6" w:rsidRDefault="00E51B15" w:rsidP="00E51B15">
      <w:pPr>
        <w:pStyle w:val="Sarakstarindkopa"/>
        <w:ind w:left="0" w:firstLine="709"/>
        <w:jc w:val="both"/>
      </w:pPr>
      <w:r w:rsidRPr="00EF59C6">
        <w:t>Atbilstoši daudzgadu darba programmai 2010.-2014. gadam tieslietu un iekšlietu jomā (Stokholmas programma) ir plānota visaptveroša ES līmeņa regulējuma izstrāde cietušo tiesību aizsardzībai. Vēl Stokholmas programmas izstrādes laikā Latvija ir uz</w:t>
      </w:r>
      <w:r w:rsidR="00262A30">
        <w:t>s</w:t>
      </w:r>
      <w:r w:rsidRPr="00EF59C6">
        <w:t>vērusi jautājuma par cietušo tiesību aizsardzību kriminālprocesā nozīmi, jo, lai gan šobrīd ir spēkā Pamatlēmums 2001/220/TI</w:t>
      </w:r>
      <w:r w:rsidRPr="00EF59C6">
        <w:rPr>
          <w:rStyle w:val="Vresatsauce"/>
        </w:rPr>
        <w:footnoteReference w:id="1"/>
      </w:r>
      <w:r w:rsidRPr="00EF59C6">
        <w:t xml:space="preserve">, tas neaptver un neparedz visas nepieciešamās cietušo aizsardzības nianses. Tādējādi ES līmenī būtu nepieciešams izstrādāt vienotu horizontālu regulējumu, aptverot visus cietušo aizsardzības jautājumus. </w:t>
      </w:r>
    </w:p>
    <w:p w:rsidR="00E51B15" w:rsidRPr="00EF59C6" w:rsidRDefault="00E51B15" w:rsidP="00E51B15">
      <w:pPr>
        <w:ind w:right="142" w:firstLine="709"/>
        <w:jc w:val="both"/>
      </w:pPr>
    </w:p>
    <w:p w:rsidR="00E51B15" w:rsidRPr="00EF59C6" w:rsidRDefault="00E51B15" w:rsidP="00E51B15">
      <w:pPr>
        <w:pStyle w:val="Sarakstarindkopa"/>
        <w:numPr>
          <w:ilvl w:val="0"/>
          <w:numId w:val="19"/>
        </w:numPr>
        <w:contextualSpacing w:val="0"/>
        <w:jc w:val="both"/>
        <w:rPr>
          <w:b/>
          <w:bCs/>
        </w:rPr>
      </w:pPr>
      <w:r w:rsidRPr="00EF59C6">
        <w:rPr>
          <w:b/>
          <w:bCs/>
        </w:rPr>
        <w:t>Priekšlikums Eiropas Parlamenta un Padomes Direktīvai par uzbrukumiem informācijas sistēmām, ar ko atceļ Padomes Pamatlēmumu 2005/222/TI</w:t>
      </w:r>
    </w:p>
    <w:p w:rsidR="00E51B15" w:rsidRPr="00EF59C6" w:rsidRDefault="00E51B15" w:rsidP="00E51B15">
      <w:pPr>
        <w:ind w:firstLine="709"/>
        <w:jc w:val="both"/>
      </w:pPr>
      <w:r w:rsidRPr="00EF59C6">
        <w:t>Padomes sanāksmē paredzēta vispārējās pieejas pieņemšana</w:t>
      </w:r>
      <w:r w:rsidR="00827557" w:rsidRPr="00EF59C6">
        <w:t xml:space="preserve"> par atsevišķiem direktīvas pantiem</w:t>
      </w:r>
      <w:r w:rsidRPr="00EF59C6">
        <w:t xml:space="preserve">. </w:t>
      </w:r>
    </w:p>
    <w:p w:rsidR="00E51B15" w:rsidRPr="00EF59C6" w:rsidRDefault="00E51B15" w:rsidP="00262A30">
      <w:pPr>
        <w:ind w:firstLine="720"/>
        <w:jc w:val="both"/>
      </w:pPr>
      <w:r w:rsidRPr="00EF59C6">
        <w:t xml:space="preserve">Direktīvas, kuras izskatīšana Padomē tika uzsākta pagājušā gada beigās, mērķis ir nodrošināt informācijas tehnoloģiju jomas darbību un aizsardzību, izmantojot krimināltiesiskos līdzekļus. Aktīvākas diskusijas Padomē direktīvas izstrādes gaitā norisinājās attiecībā uz direktīvā paredzētajām sankcijām, </w:t>
      </w:r>
      <w:r w:rsidR="00A925B0">
        <w:t>maznozīmīgu</w:t>
      </w:r>
      <w:r w:rsidRPr="00EF59C6">
        <w:t xml:space="preserve"> noziedzīgu nodarījumu kriminalizāciju un atbildību pastiprinošiem apstākļiem.</w:t>
      </w:r>
    </w:p>
    <w:p w:rsidR="00E51B15" w:rsidRPr="00EF59C6" w:rsidRDefault="00262A30" w:rsidP="00E51B15">
      <w:pPr>
        <w:ind w:firstLine="720"/>
        <w:jc w:val="both"/>
      </w:pPr>
      <w:r w:rsidRPr="00EF59C6">
        <w:t>Apzinoties, ka kibernoziegumu, kuriem ir izteikts pārrobežu raksturs, izplatība arvien vai</w:t>
      </w:r>
      <w:r>
        <w:t>rāk apdraud sabiedrības drošību,</w:t>
      </w:r>
      <w:r w:rsidRPr="00EF59C6">
        <w:t xml:space="preserve"> </w:t>
      </w:r>
      <w:r w:rsidR="00E51B15" w:rsidRPr="00EF59C6">
        <w:t xml:space="preserve">Latvija kopumā atbalsta direktīvu. Latvija ir pārliecināta, ka sodu palielināšana pati par sevi neveicina noziedzīgu nodarījumu </w:t>
      </w:r>
      <w:proofErr w:type="spellStart"/>
      <w:r w:rsidR="00E51B15" w:rsidRPr="00EF59C6">
        <w:t>prevenciju</w:t>
      </w:r>
      <w:proofErr w:type="spellEnd"/>
      <w:r w:rsidR="00E51B15" w:rsidRPr="00EF59C6">
        <w:t xml:space="preserve">, tādēļ sankciju palielināšana preventīvos nolūkos nav atbalstāma. Minētā iemesla dēļ, diskusiju laikā, Latvija ir paudusi atbalstu ierosinājumam no direktīvas darbības jomas izslēgt maznozīmīgus nodarījumus. Vienlaikus Latvija uzskata, ka direktīvā uzskaitīto noziedzīgo nodarījumu kaitīguma pakāpe kopumā ir atbilstoša, lai par to izdarīšanu būtu samērīgi noteikt sankcijas tādā apmērā, kādā piedāvā Eiropas Komisija. </w:t>
      </w:r>
    </w:p>
    <w:p w:rsidR="00E51B15" w:rsidRPr="00EF59C6" w:rsidRDefault="00E51B15" w:rsidP="00E51B15">
      <w:pPr>
        <w:ind w:firstLine="720"/>
        <w:jc w:val="both"/>
      </w:pPr>
      <w:r w:rsidRPr="00EF59C6">
        <w:lastRenderedPageBreak/>
        <w:t xml:space="preserve">Tajā pašā laikā Latvija nevar atbalstīt piedāvātos sankciju līmeņus kvalificējošo pazīmju kontekstā, jo uzskata, ka, formulējot konkrētus apstākļus būtu jāievēro tehnoloģiskās neitralitātes princips, kā arī jāizvairās no kvalificējošo pazīmju dublēšanas. Latvija arī uzskata, ka identitātes slēpšana nozieguma izdarīšanas laikā nebūtu paredzams kā atsevišķs atbildību pastiprinošs apstāklis direktīvas ietvaros. Pamata arguments šāda atbildību pastiprinošā apstākļa iekļaušanai ir, ka identitātes slēpšanas gadījumā citām personām tiek radīts kaitējums. Tomēr, pirmkārt, kaitējums, kas tiek radīts konkrētai personai, izmantojot tās datus būtu uzskatāms par citu, atsevišķu noziedzīgu nodarījumu. Šī atsevišķā noziedzīgā nodarījuma objekts nav vēršanās pret informācijas sistēmu kā tādu, bet vēršanās pret konkrētās personas, kam kaitējums tiek nodarīts interesēm. Otrkārt, situācija, kad nodarījuma rezultātā tiek radītās nopietnas sekas vai būtisks interešu aizskārums, jau ir paredzēta direktīvā kvalificējošo pazīmju kontekstā. </w:t>
      </w:r>
    </w:p>
    <w:p w:rsidR="00E51B15" w:rsidRPr="00EF59C6" w:rsidRDefault="00E51B15" w:rsidP="00E51B15">
      <w:pPr>
        <w:ind w:firstLine="720"/>
        <w:jc w:val="both"/>
      </w:pPr>
    </w:p>
    <w:p w:rsidR="00E51B15" w:rsidRPr="00EF59C6" w:rsidRDefault="00E51B15" w:rsidP="00E51B15">
      <w:pPr>
        <w:pStyle w:val="Sarakstarindkopa"/>
        <w:numPr>
          <w:ilvl w:val="0"/>
          <w:numId w:val="19"/>
        </w:numPr>
        <w:contextualSpacing w:val="0"/>
        <w:jc w:val="both"/>
        <w:rPr>
          <w:b/>
          <w:bCs/>
        </w:rPr>
      </w:pPr>
      <w:r w:rsidRPr="00EF59C6">
        <w:rPr>
          <w:b/>
          <w:bCs/>
        </w:rPr>
        <w:t>Beļģijas Karalistes, Bulgārijas Republikas, Igaunijas Republikas, Spānijas Karalistes, Austrijas Republikas, Slovēnijas Republikas un Zviedrijas Karalistes iniciatīva Eiropas Parlamenta un Padomes Direktīvai par Eiropas Izmeklēšanas rīkojumu krimināllietās</w:t>
      </w:r>
    </w:p>
    <w:p w:rsidR="00E51B15" w:rsidRPr="00EF59C6" w:rsidRDefault="00E51B15" w:rsidP="00E51B15">
      <w:pPr>
        <w:ind w:firstLine="709"/>
        <w:jc w:val="both"/>
      </w:pPr>
      <w:r w:rsidRPr="00EF59C6">
        <w:t xml:space="preserve">Padomes sanāksmē dalībvalstu ministri tiks informēti par panākto progresu ekspertu līmeņa diskusijās. </w:t>
      </w:r>
    </w:p>
    <w:p w:rsidR="00E51B15" w:rsidRPr="00EF59C6" w:rsidRDefault="00E51B15" w:rsidP="00E51B15">
      <w:pPr>
        <w:ind w:firstLine="709"/>
        <w:jc w:val="both"/>
      </w:pPr>
      <w:r w:rsidRPr="00EF59C6">
        <w:t xml:space="preserve">Iniciatīvas mērķis ir ES līmenī izveidot vienotu un efektīvu sistēmu pierādījumu iegūšanai kriminālprocesa ietvaros, ņemot vērā to, ka šobrīd pārrobežu pierādījumu iegūšanas sistēma ES ir sadrumstalota un fragmentāra.  </w:t>
      </w:r>
    </w:p>
    <w:p w:rsidR="00E51B15" w:rsidRPr="00EF59C6" w:rsidRDefault="00E51B15" w:rsidP="00E51B15">
      <w:pPr>
        <w:ind w:firstLine="709"/>
        <w:jc w:val="both"/>
      </w:pPr>
      <w:r w:rsidRPr="00EF59C6">
        <w:t>Kopš 2010.</w:t>
      </w:r>
      <w:r w:rsidR="0019313D" w:rsidRPr="00EF59C6">
        <w:t> </w:t>
      </w:r>
      <w:r w:rsidRPr="00EF59C6">
        <w:t>gada jūlija direktīvas projekts tiek aktīvi skatīts ekspertu līmenī ES Padomes Krimināltiesiskās sadarbības darba grupas sanāksmēs, ir konstatēti vairāki problēmjautājumi. Pirmās politiskā līmeņa diskusijas attiecībā uz direktīvu norisinājās ES Tieslietu un iekšlietu ministru padomes sanāksmē 2010.</w:t>
      </w:r>
      <w:r w:rsidR="0019313D" w:rsidRPr="00EF59C6">
        <w:t> </w:t>
      </w:r>
      <w:r w:rsidRPr="00EF59C6">
        <w:t xml:space="preserve">gada 8.- 9. novembrī, kad dalībvalstu ministri atbalstīja Prezidentūras piedāvāto pieeju, ka līdz ar Eiropas Izmeklēšanas rīkojuma izstrādi būtiski ir uzlabot esošo situāciju attiecībā pret šobrīd paredzēto regulējumu, vienlaikus atzīmējot nepieciešamību turpināt diskusijas ekspertu līmenī identificēto problēmjautājumu kontekstā. </w:t>
      </w:r>
    </w:p>
    <w:p w:rsidR="00E51B15" w:rsidRPr="00EF59C6" w:rsidRDefault="00E51B15" w:rsidP="00E51B15"/>
    <w:p w:rsidR="00EF59C6" w:rsidRPr="00EF59C6" w:rsidRDefault="00EF59C6" w:rsidP="00EF59C6">
      <w:pPr>
        <w:pStyle w:val="Sarakstarindkopa"/>
        <w:numPr>
          <w:ilvl w:val="0"/>
          <w:numId w:val="19"/>
        </w:numPr>
        <w:contextualSpacing w:val="0"/>
        <w:jc w:val="both"/>
        <w:rPr>
          <w:b/>
          <w:bCs/>
        </w:rPr>
      </w:pPr>
      <w:r w:rsidRPr="00EF59C6">
        <w:rPr>
          <w:b/>
          <w:bCs/>
        </w:rPr>
        <w:t>Priekšlikums Eiropas Parlamenta un Padomes regulai par jurisdikciju, piemērojamiem tiesību aktiem, lēmumu un autentisku aktu atzīšanu un izpildi mantošanas jomā un par Eiropas mantojuma apliecības izveidi</w:t>
      </w:r>
    </w:p>
    <w:p w:rsidR="00EF59C6" w:rsidRPr="00EF59C6" w:rsidRDefault="00EF59C6" w:rsidP="00EF59C6">
      <w:pPr>
        <w:pStyle w:val="Sarakstarindkopa"/>
        <w:ind w:left="0" w:firstLine="709"/>
        <w:jc w:val="both"/>
        <w:rPr>
          <w:b/>
          <w:bCs/>
        </w:rPr>
      </w:pPr>
      <w:r w:rsidRPr="00EF59C6">
        <w:t xml:space="preserve">Prezidentūra informēs ministrus par progresu ekspertu līmeņa diskusijās. </w:t>
      </w:r>
    </w:p>
    <w:p w:rsidR="00EF59C6" w:rsidRPr="00EF59C6" w:rsidRDefault="00EF59C6" w:rsidP="00EF59C6">
      <w:pPr>
        <w:ind w:firstLine="709"/>
        <w:jc w:val="both"/>
      </w:pPr>
      <w:r w:rsidRPr="00EF59C6">
        <w:t xml:space="preserve">2009. gada 14. oktobrī Eiropas Komisija nāca klajā ar regulas projektu, ar mērķi ES līmenī padarīt skaidrāku pārrobežu mantošanas jautājumu risināšanu un nodrošināt iespēju pārrobežu mantošanas lietās iesaistītām personām tās nokārtot pēc iespējas vienkāršāk un ērtāk. </w:t>
      </w:r>
    </w:p>
    <w:p w:rsidR="00EF59C6" w:rsidRPr="00EF59C6" w:rsidRDefault="00EF59C6" w:rsidP="00EF59C6">
      <w:pPr>
        <w:pStyle w:val="Sarakstarindkopa"/>
        <w:ind w:left="0" w:firstLine="709"/>
        <w:jc w:val="both"/>
      </w:pPr>
      <w:r w:rsidRPr="00EF59C6">
        <w:t xml:space="preserve">Latvijas intereses regulas kontekstā </w:t>
      </w:r>
      <w:r w:rsidR="00262A30">
        <w:t>ir</w:t>
      </w:r>
      <w:r w:rsidRPr="00EF59C6">
        <w:t xml:space="preserve"> atvieglot pārrobežu mantošanas lietu kārtošanu gan personām, gan arī dalībvalstu tiesām (iestādēm). </w:t>
      </w:r>
    </w:p>
    <w:p w:rsidR="00EF59C6" w:rsidRPr="00EF59C6" w:rsidRDefault="00EF59C6" w:rsidP="00EF59C6">
      <w:pPr>
        <w:pStyle w:val="Sarakstarindkopa"/>
        <w:ind w:left="0" w:firstLine="709"/>
        <w:jc w:val="both"/>
      </w:pPr>
      <w:r w:rsidRPr="00EF59C6">
        <w:t xml:space="preserve">Pirmkārt, būtiski </w:t>
      </w:r>
      <w:r w:rsidR="00262A30">
        <w:t xml:space="preserve">ir </w:t>
      </w:r>
      <w:r w:rsidRPr="00EF59C6">
        <w:t>atv</w:t>
      </w:r>
      <w:r w:rsidR="00262A30">
        <w:t>ieglot dalībvalstu tiesu (iestāžu</w:t>
      </w:r>
      <w:r w:rsidRPr="00EF59C6">
        <w:t>) uzdevumu izvērtēt, vai tā</w:t>
      </w:r>
      <w:r w:rsidR="00262A30">
        <w:t>s</w:t>
      </w:r>
      <w:r w:rsidRPr="00EF59C6">
        <w:t xml:space="preserve"> ir kompetenta</w:t>
      </w:r>
      <w:r w:rsidR="00262A30">
        <w:t>s</w:t>
      </w:r>
      <w:r w:rsidRPr="00EF59C6">
        <w:t xml:space="preserve"> uzsākt mantojuma lietu. Latvija atbalsta, ka, kā pamata kritērijs nosakot kompetenci tiek izmatota ma</w:t>
      </w:r>
      <w:r w:rsidR="00262A30">
        <w:t>n</w:t>
      </w:r>
      <w:r w:rsidRPr="00EF59C6">
        <w:t xml:space="preserve">tojuma atstājēja pastāvīgā dzīvesvieta. Tajā pašā laikā regulā būtu jānosaka objektīvi konstatējami kritēriji pastāvīgās dzīvesvietas noteikšanai, jo mantojuma atstājēja gribu noskaidrot vairs nav iespējams, turklāt mantojuma lietu specifikas dēļ tiesām varētu būt problemātiski izmantot līdz šim Eiropas Savienības Tiesas judikatūras noteiktos pastāvīgās dzīvesvietas kritērijus. </w:t>
      </w:r>
    </w:p>
    <w:p w:rsidR="00EF59C6" w:rsidRPr="00EF59C6" w:rsidRDefault="00EF59C6" w:rsidP="00EF59C6">
      <w:pPr>
        <w:pStyle w:val="Sarakstarindkopa"/>
        <w:ind w:left="0" w:firstLine="709"/>
        <w:jc w:val="both"/>
      </w:pPr>
      <w:r w:rsidRPr="00EF59C6">
        <w:lastRenderedPageBreak/>
        <w:t xml:space="preserve">Otrkārt, ņemot vērā, ka dalībvalstu starpā atšķiras tiesu sistēmu uzbūve, piemēram, Latvijā mantošanas lietu vešana ir notāru kompetencē, svarīgi nodrošināt, ka jurisdikcijas normas vienādi attiektos gan uz tiesu iestādēm, gan notāriem vai rast citu risinājumu, lai novērstu paralēlu mantošanas lietu kārtošanu vairākās valstīs vienlaikus. </w:t>
      </w:r>
    </w:p>
    <w:p w:rsidR="00EF59C6" w:rsidRPr="00EF59C6" w:rsidRDefault="00EF59C6" w:rsidP="00EF59C6">
      <w:pPr>
        <w:pStyle w:val="Sarakstarindkopa"/>
        <w:ind w:left="0" w:firstLine="709"/>
        <w:jc w:val="both"/>
      </w:pPr>
      <w:r w:rsidRPr="00EF59C6">
        <w:t xml:space="preserve">Treškārt, jāņem vērā, ka dalībvalstu tiesām (iestādēm), vedot mantojuma lietu, būs problemātiski piemērot ārvalstu tiesību normas, tādējādi Latvijas ieskatā regulas ietvaros pēc iespējas jānodrošina tiesas valsts likuma piemērošana, vai jāparedz ērts mehānisms ārvalsts likuma satura noskaidrošanai.  </w:t>
      </w:r>
    </w:p>
    <w:p w:rsidR="00EF59C6" w:rsidRPr="00EF59C6" w:rsidRDefault="00EF59C6" w:rsidP="00EF59C6">
      <w:pPr>
        <w:pStyle w:val="Sarakstarindkopa"/>
        <w:ind w:left="709"/>
        <w:jc w:val="both"/>
      </w:pPr>
      <w:r w:rsidRPr="00EF59C6">
        <w:t>       </w:t>
      </w:r>
    </w:p>
    <w:p w:rsidR="00EF59C6" w:rsidRPr="00EF59C6" w:rsidRDefault="00EF59C6" w:rsidP="00EF59C6">
      <w:pPr>
        <w:pStyle w:val="Pamatteksts"/>
        <w:numPr>
          <w:ilvl w:val="0"/>
          <w:numId w:val="19"/>
        </w:numPr>
        <w:spacing w:after="0"/>
        <w:ind w:right="37"/>
        <w:jc w:val="both"/>
      </w:pPr>
      <w:r w:rsidRPr="00EF59C6">
        <w:rPr>
          <w:b/>
          <w:bCs/>
        </w:rPr>
        <w:t>Priekšlikums Padomes regulai par jurisdikciju, piemērojamiem tiesību aktiem, nolēmumu atzīšanu un izpildi laulāto mantisko attiecību lietās un priekšlikums Padomes regulai par jurisdikciju, piemērojamiem tiesību aktiem, nolēmumu atzīšanu un izpildi par reģistrēto partnerattiecību mantiskajām sekām</w:t>
      </w:r>
    </w:p>
    <w:p w:rsidR="00EF59C6" w:rsidRPr="00EF59C6" w:rsidRDefault="00EF59C6" w:rsidP="00EF59C6">
      <w:pPr>
        <w:pStyle w:val="Pamatteksts"/>
        <w:spacing w:after="0"/>
        <w:ind w:left="709" w:right="37"/>
        <w:jc w:val="both"/>
      </w:pPr>
      <w:r w:rsidRPr="00EF59C6">
        <w:t xml:space="preserve">Priekšlikumi tiks prezentēti Padomes sanāksmē. </w:t>
      </w:r>
    </w:p>
    <w:p w:rsidR="00EF59C6" w:rsidRPr="00EF59C6" w:rsidRDefault="00EF59C6" w:rsidP="00EF59C6">
      <w:pPr>
        <w:pStyle w:val="Pamatteksts"/>
        <w:spacing w:after="0"/>
        <w:ind w:right="37"/>
        <w:jc w:val="both"/>
      </w:pPr>
      <w:r w:rsidRPr="00EF59C6">
        <w:t>            </w:t>
      </w:r>
      <w:r w:rsidRPr="00EF59C6">
        <w:rPr>
          <w:rStyle w:val="longtext1"/>
          <w:sz w:val="24"/>
          <w:szCs w:val="24"/>
          <w:shd w:val="clear" w:color="auto" w:fill="FFFFFF"/>
        </w:rPr>
        <w:t xml:space="preserve">Šobrīd noteikumi, kas piemērojami pārrobežu pāru mantiskajām attiecībām nenodrošina tiesisko noteiktību, kas nepieciešama pāru mantas pārvaldības un dalīšanas jomā. </w:t>
      </w:r>
      <w:r w:rsidRPr="00EF59C6">
        <w:t xml:space="preserve">Līdz ar to Komisija 2011. gada 16. martā nāca klajā ar priekšlikumiem, kuru mērķis ir vienkāršot laulāto vai reģistrētu pāru mantas dalīšanu, pārrobežu laulības šķiršanas vai atšķiršanas, partneru šķiršanas procesā vai laulātā vai partnera nāves gadījumā. Diskusijas Padomē par priekšlikumiem plānots uzsākt š.g. aprīlī, pēc prezentācijas Ministru padomes sanāksmē. </w:t>
      </w:r>
    </w:p>
    <w:p w:rsidR="00EF59C6" w:rsidRPr="00EF59C6" w:rsidRDefault="00EF59C6" w:rsidP="00EF59C6">
      <w:pPr>
        <w:pStyle w:val="naiskr"/>
        <w:spacing w:before="0" w:after="0"/>
        <w:ind w:right="37"/>
        <w:jc w:val="both"/>
        <w:rPr>
          <w:szCs w:val="24"/>
          <w:lang w:val="lv-LV"/>
        </w:rPr>
      </w:pPr>
      <w:r w:rsidRPr="00EF59C6">
        <w:rPr>
          <w:rStyle w:val="longtext1"/>
          <w:sz w:val="24"/>
          <w:szCs w:val="24"/>
          <w:shd w:val="clear" w:color="auto" w:fill="FFFFFF"/>
          <w:lang w:val="lv-LV"/>
        </w:rPr>
        <w:t xml:space="preserve">            </w:t>
      </w:r>
      <w:r w:rsidRPr="00EF59C6">
        <w:rPr>
          <w:szCs w:val="24"/>
          <w:lang w:val="lv-LV"/>
        </w:rPr>
        <w:t xml:space="preserve"> Lai gan abi priekšlikumi ir ļoti līdzīgi struktūras un satura ziņā, Komisija uzskata, ka ar diviem atsevišķiem tiesību aktiem būs vieglāk ņemt vērā ikviena pāra savienības veida īpatnības (laulību vai partnerattiecības), sniedzot atbildes uz šādiem jautājumiem: </w:t>
      </w:r>
    </w:p>
    <w:p w:rsidR="00EF59C6" w:rsidRPr="00EF59C6" w:rsidRDefault="00EF59C6" w:rsidP="00EF59C6">
      <w:pPr>
        <w:pStyle w:val="naiskr"/>
        <w:spacing w:before="0" w:after="0"/>
        <w:ind w:left="720" w:right="37"/>
        <w:jc w:val="both"/>
        <w:rPr>
          <w:rStyle w:val="longtext1"/>
          <w:sz w:val="24"/>
          <w:szCs w:val="24"/>
          <w:shd w:val="clear" w:color="auto" w:fill="FFFFFF"/>
          <w:lang w:val="lv-LV"/>
        </w:rPr>
      </w:pPr>
      <w:r w:rsidRPr="00EF59C6">
        <w:rPr>
          <w:rStyle w:val="longtext1"/>
          <w:sz w:val="24"/>
          <w:szCs w:val="24"/>
          <w:shd w:val="clear" w:color="auto" w:fill="FFFFFF"/>
          <w:lang w:val="lv-LV"/>
        </w:rPr>
        <w:t>1)</w:t>
      </w:r>
      <w:r w:rsidR="00262A30">
        <w:rPr>
          <w:rStyle w:val="longtext1"/>
          <w:sz w:val="24"/>
          <w:szCs w:val="24"/>
          <w:shd w:val="clear" w:color="auto" w:fill="FFFFFF"/>
          <w:lang w:val="lv-LV"/>
        </w:rPr>
        <w:t xml:space="preserve"> </w:t>
      </w:r>
      <w:r w:rsidRPr="00EF59C6">
        <w:rPr>
          <w:rStyle w:val="longtext1"/>
          <w:sz w:val="24"/>
          <w:szCs w:val="24"/>
          <w:shd w:val="clear" w:color="auto" w:fill="FFFFFF"/>
          <w:lang w:val="lv-LV"/>
        </w:rPr>
        <w:t>kura tiesa ir kompetenta skatīt mantisko attiecību jautājumus;</w:t>
      </w:r>
    </w:p>
    <w:p w:rsidR="00EF59C6" w:rsidRPr="00EF59C6" w:rsidRDefault="00EF59C6" w:rsidP="00EF59C6">
      <w:pPr>
        <w:pStyle w:val="naiskr"/>
        <w:spacing w:before="0" w:after="0"/>
        <w:ind w:left="720" w:right="37"/>
        <w:jc w:val="both"/>
        <w:rPr>
          <w:rStyle w:val="longtext1"/>
          <w:sz w:val="24"/>
          <w:szCs w:val="24"/>
          <w:shd w:val="clear" w:color="auto" w:fill="FFFFFF"/>
          <w:lang w:val="lv-LV"/>
        </w:rPr>
      </w:pPr>
      <w:r w:rsidRPr="00EF59C6">
        <w:rPr>
          <w:rStyle w:val="longtext1"/>
          <w:sz w:val="24"/>
          <w:szCs w:val="24"/>
          <w:shd w:val="clear" w:color="auto" w:fill="FFFFFF"/>
          <w:lang w:val="lv-LV"/>
        </w:rPr>
        <w:t>2)</w:t>
      </w:r>
      <w:r w:rsidR="00262A30">
        <w:rPr>
          <w:rStyle w:val="longtext1"/>
          <w:sz w:val="24"/>
          <w:szCs w:val="24"/>
          <w:shd w:val="clear" w:color="auto" w:fill="FFFFFF"/>
          <w:lang w:val="lv-LV"/>
        </w:rPr>
        <w:t xml:space="preserve"> </w:t>
      </w:r>
      <w:r w:rsidRPr="00EF59C6">
        <w:rPr>
          <w:rStyle w:val="longtext1"/>
          <w:sz w:val="24"/>
          <w:szCs w:val="24"/>
          <w:shd w:val="clear" w:color="auto" w:fill="FFFFFF"/>
          <w:lang w:val="lv-LV"/>
        </w:rPr>
        <w:t>kurus tiesību aktus piemēro mantiskajām attiecībām;</w:t>
      </w:r>
    </w:p>
    <w:p w:rsidR="00EF59C6" w:rsidRPr="00EF59C6" w:rsidRDefault="00EF59C6" w:rsidP="00EF59C6">
      <w:pPr>
        <w:pStyle w:val="Pamatteksts"/>
        <w:spacing w:after="0"/>
        <w:ind w:firstLine="720"/>
        <w:jc w:val="both"/>
      </w:pPr>
      <w:r w:rsidRPr="00EF59C6">
        <w:rPr>
          <w:rStyle w:val="longtext1"/>
          <w:sz w:val="24"/>
          <w:szCs w:val="24"/>
          <w:shd w:val="clear" w:color="auto" w:fill="FFFFFF"/>
        </w:rPr>
        <w:t>3)</w:t>
      </w:r>
      <w:r w:rsidR="00262A30">
        <w:rPr>
          <w:rStyle w:val="longtext1"/>
          <w:sz w:val="24"/>
          <w:szCs w:val="24"/>
          <w:shd w:val="clear" w:color="auto" w:fill="FFFFFF"/>
        </w:rPr>
        <w:t> </w:t>
      </w:r>
      <w:r w:rsidRPr="00EF59C6">
        <w:rPr>
          <w:rStyle w:val="longtext1"/>
          <w:sz w:val="24"/>
          <w:szCs w:val="24"/>
          <w:shd w:val="clear" w:color="auto" w:fill="FFFFFF"/>
        </w:rPr>
        <w:t xml:space="preserve">vai vienas dalībvalsts tiesas vai citas kompetentās iestādes nolēmums ir atzīstams un izpildāms citā dalībvalstī un kādā kārtībā. </w:t>
      </w:r>
    </w:p>
    <w:p w:rsidR="00EF59C6" w:rsidRPr="00EF59C6" w:rsidRDefault="00EF59C6" w:rsidP="00EF59C6">
      <w:pPr>
        <w:pStyle w:val="5Normal"/>
        <w:spacing w:after="0"/>
        <w:ind w:right="37"/>
        <w:rPr>
          <w:rFonts w:ascii="Calibri" w:hAnsi="Calibri"/>
          <w:sz w:val="24"/>
          <w:szCs w:val="24"/>
          <w:lang w:val="lv-LV"/>
        </w:rPr>
      </w:pPr>
      <w:r w:rsidRPr="00EF59C6">
        <w:rPr>
          <w:rFonts w:ascii="Times New Roman" w:hAnsi="Times New Roman"/>
          <w:sz w:val="24"/>
          <w:szCs w:val="24"/>
          <w:lang w:val="lv-LV"/>
        </w:rPr>
        <w:t>              Vienlaikus ar priekšlikumiem nav paredzēts saskaņot vai grozīt dalībvalstu materiālo</w:t>
      </w:r>
      <w:r w:rsidR="00262A30">
        <w:rPr>
          <w:rFonts w:ascii="Times New Roman" w:hAnsi="Times New Roman"/>
          <w:sz w:val="24"/>
          <w:szCs w:val="24"/>
          <w:lang w:val="lv-LV"/>
        </w:rPr>
        <w:t>s</w:t>
      </w:r>
      <w:r w:rsidRPr="00EF59C6">
        <w:rPr>
          <w:rFonts w:ascii="Times New Roman" w:hAnsi="Times New Roman"/>
          <w:sz w:val="24"/>
          <w:szCs w:val="24"/>
          <w:lang w:val="lv-LV"/>
        </w:rPr>
        <w:t xml:space="preserve"> tiesību aktus laulību vai reģistrēto partnerattiecību jomā. </w:t>
      </w:r>
    </w:p>
    <w:p w:rsidR="0052132C" w:rsidRPr="00EF59C6" w:rsidRDefault="00962592" w:rsidP="00962592">
      <w:pPr>
        <w:pStyle w:val="5Normal"/>
        <w:tabs>
          <w:tab w:val="left" w:pos="6560"/>
        </w:tabs>
        <w:spacing w:after="0"/>
        <w:ind w:right="37"/>
        <w:rPr>
          <w:sz w:val="24"/>
          <w:szCs w:val="24"/>
        </w:rPr>
      </w:pPr>
      <w:r w:rsidRPr="00EF59C6">
        <w:rPr>
          <w:rFonts w:ascii="Times New Roman" w:hAnsi="Times New Roman"/>
          <w:sz w:val="24"/>
          <w:szCs w:val="24"/>
          <w:lang w:val="lv-LV"/>
        </w:rPr>
        <w:tab/>
      </w:r>
      <w:r w:rsidRPr="00EF59C6">
        <w:rPr>
          <w:rFonts w:ascii="Times New Roman" w:hAnsi="Times New Roman"/>
          <w:sz w:val="24"/>
          <w:szCs w:val="24"/>
          <w:lang w:val="lv-LV"/>
        </w:rPr>
        <w:tab/>
        <w:t xml:space="preserve">   </w:t>
      </w:r>
    </w:p>
    <w:p w:rsidR="0052132C" w:rsidRDefault="0052132C" w:rsidP="0052132C">
      <w:pPr>
        <w:pStyle w:val="Sarakstarindkopa"/>
        <w:numPr>
          <w:ilvl w:val="0"/>
          <w:numId w:val="10"/>
        </w:numPr>
        <w:jc w:val="both"/>
        <w:rPr>
          <w:b/>
        </w:rPr>
      </w:pPr>
      <w:r w:rsidRPr="00EF59C6">
        <w:rPr>
          <w:b/>
        </w:rPr>
        <w:t>Eiropas Komisijas 2011.gada 15.februāra paziņojums Eiropas Parlamentam, Padomei, Eiropas Ekonomikas un sociālo lietu komitejai un Reģionu komitejai „ES darba kārtība bērnu tiesību jomā”</w:t>
      </w:r>
    </w:p>
    <w:p w:rsidR="00262A30" w:rsidRPr="00EF59C6" w:rsidRDefault="00262A30" w:rsidP="00262A30">
      <w:pPr>
        <w:ind w:firstLine="709"/>
        <w:jc w:val="both"/>
      </w:pPr>
      <w:r w:rsidRPr="00EF59C6">
        <w:t>Ministri tiks iepazīstināti ar Komisijas paziņojumu, kura mērķis ir akcentēt ES inst</w:t>
      </w:r>
      <w:r>
        <w:t>itūciju un dalībvalstu apņemšanā</w:t>
      </w:r>
      <w:r w:rsidRPr="00EF59C6">
        <w:t xml:space="preserve">s veicināt bērnu tiesību ievērošanu un aizsardzību ES politikas jomās, kas tieši vai netieši ietekmē bērnu tiesības un intereses.  </w:t>
      </w:r>
    </w:p>
    <w:p w:rsidR="00262A30" w:rsidRPr="00EF59C6" w:rsidRDefault="00262A30" w:rsidP="00262A30">
      <w:pPr>
        <w:jc w:val="both"/>
      </w:pPr>
      <w:r>
        <w:tab/>
      </w:r>
      <w:r w:rsidRPr="00EF59C6">
        <w:t xml:space="preserve">Paziņojumā ietverti vispārīgi principi, atbilstoši kuriem ES institūcijās, kā arī dalībvalstu līmenī nodrošināma bērnu tiesību ievērošana, </w:t>
      </w:r>
      <w:r>
        <w:t>kā arī Komisijas plānotās</w:t>
      </w:r>
      <w:r w:rsidRPr="00EF59C6">
        <w:t xml:space="preserve"> aktivitātes šādās jomās: </w:t>
      </w:r>
    </w:p>
    <w:p w:rsidR="00262A30" w:rsidRPr="00EF59C6" w:rsidRDefault="00262A30" w:rsidP="00262A30">
      <w:pPr>
        <w:ind w:firstLine="709"/>
        <w:jc w:val="both"/>
      </w:pPr>
      <w:r w:rsidRPr="00EF59C6">
        <w:t xml:space="preserve">1) bērniem draudzīga tiesa; </w:t>
      </w:r>
    </w:p>
    <w:p w:rsidR="00262A30" w:rsidRPr="00EF59C6" w:rsidRDefault="00262A30" w:rsidP="00262A30">
      <w:pPr>
        <w:pStyle w:val="Sarakstarindkopa"/>
        <w:ind w:left="709"/>
        <w:jc w:val="both"/>
      </w:pPr>
      <w:r w:rsidRPr="00EF59C6">
        <w:t xml:space="preserve">2) bērnu, kuri nonākuši īpašās riska situācijās, aizsardzība; </w:t>
      </w:r>
    </w:p>
    <w:p w:rsidR="00262A30" w:rsidRPr="00EF59C6" w:rsidRDefault="00262A30" w:rsidP="00262A30">
      <w:pPr>
        <w:pStyle w:val="Sarakstarindkopa"/>
        <w:ind w:left="709"/>
        <w:jc w:val="both"/>
      </w:pPr>
      <w:r w:rsidRPr="00EF59C6">
        <w:t xml:space="preserve">3) bērnu tiesību aizsardzība trešajās valstīs; </w:t>
      </w:r>
    </w:p>
    <w:p w:rsidR="00262A30" w:rsidRPr="00EF59C6" w:rsidRDefault="00262A30" w:rsidP="00262A30">
      <w:pPr>
        <w:pStyle w:val="Sarakstarindkopa"/>
        <w:ind w:left="709"/>
        <w:jc w:val="both"/>
      </w:pPr>
      <w:r w:rsidRPr="00EF59C6">
        <w:t xml:space="preserve">4) bērnu līdzdalības veicināšana. </w:t>
      </w:r>
    </w:p>
    <w:p w:rsidR="00262A30" w:rsidRPr="00EF59C6" w:rsidRDefault="00262A30" w:rsidP="00262A30">
      <w:pPr>
        <w:ind w:firstLine="709"/>
        <w:jc w:val="both"/>
      </w:pPr>
      <w:r w:rsidRPr="00EF59C6">
        <w:t xml:space="preserve">Paziņojumā ietverta Komisijas apņemšanās izstrādāt noteiktus ES tiesību aktu projektus, veicināt izglītojošu un informatīvu pasākumu īstenošanu, analizēt esošo informatīvo materiālu (vadlīniju) ieviešanu, veicināt labas prakses piemēru apmaiņu, veicināt tālruņa līnijas pazudušajiem bērniem ieviešanu ES dalībvalstīs, nodrošināt dalībvalstīm atbalstu bērnu tiesību aizsardzības jomā ES finansētu programmu ietvaros u.c. </w:t>
      </w:r>
    </w:p>
    <w:p w:rsidR="0052132C" w:rsidRPr="00EF59C6" w:rsidRDefault="0052132C" w:rsidP="0052132C">
      <w:pPr>
        <w:pStyle w:val="Sarakstarindkopa"/>
        <w:ind w:left="709"/>
        <w:jc w:val="both"/>
      </w:pPr>
    </w:p>
    <w:p w:rsidR="0052132C" w:rsidRPr="00EF59C6" w:rsidRDefault="00E0206B" w:rsidP="00ED08F7">
      <w:pPr>
        <w:pStyle w:val="Sarakstarindkopa"/>
        <w:numPr>
          <w:ilvl w:val="0"/>
          <w:numId w:val="10"/>
        </w:numPr>
        <w:ind w:right="-1"/>
        <w:jc w:val="both"/>
        <w:rPr>
          <w:b/>
        </w:rPr>
      </w:pPr>
      <w:r w:rsidRPr="00EF59C6">
        <w:rPr>
          <w:b/>
        </w:rPr>
        <w:t xml:space="preserve">Eiropas Komisijas paziņojums par ES </w:t>
      </w:r>
      <w:r w:rsidR="0077448C" w:rsidRPr="00EF59C6">
        <w:rPr>
          <w:b/>
        </w:rPr>
        <w:t>ietvaru</w:t>
      </w:r>
      <w:r w:rsidRPr="00EF59C6">
        <w:rPr>
          <w:b/>
        </w:rPr>
        <w:t xml:space="preserve"> nacionālajām </w:t>
      </w:r>
      <w:proofErr w:type="spellStart"/>
      <w:r w:rsidRPr="00EF59C6">
        <w:rPr>
          <w:b/>
        </w:rPr>
        <w:t>romu</w:t>
      </w:r>
      <w:proofErr w:type="spellEnd"/>
      <w:r w:rsidRPr="00EF59C6">
        <w:rPr>
          <w:b/>
        </w:rPr>
        <w:t xml:space="preserve"> integrācijas stratēģijām</w:t>
      </w:r>
      <w:r w:rsidR="0052132C" w:rsidRPr="00EF59C6">
        <w:rPr>
          <w:b/>
        </w:rPr>
        <w:t xml:space="preserve"> </w:t>
      </w:r>
    </w:p>
    <w:p w:rsidR="00373EFD" w:rsidRDefault="00373EFD" w:rsidP="00373EFD">
      <w:pPr>
        <w:ind w:right="-1" w:firstLine="709"/>
        <w:jc w:val="both"/>
      </w:pPr>
      <w:r>
        <w:t xml:space="preserve">Ministri tiks iepazīstināti ar Komisijas paziņojumu. </w:t>
      </w:r>
    </w:p>
    <w:p w:rsidR="00373EFD" w:rsidRPr="00373EFD" w:rsidRDefault="00373EFD" w:rsidP="00373EFD">
      <w:pPr>
        <w:ind w:firstLine="709"/>
        <w:jc w:val="both"/>
        <w:rPr>
          <w:iCs/>
        </w:rPr>
      </w:pPr>
      <w:r w:rsidRPr="00373EFD">
        <w:rPr>
          <w:iCs/>
        </w:rPr>
        <w:t xml:space="preserve">Romu jautājumu Ungārija izvirzījusi kā vienu no prezidentūras prioritātēm. Plānots, ka Eiropas Komisija līdz š.g. aprīlim izstrādās stratēģiju </w:t>
      </w:r>
      <w:proofErr w:type="spellStart"/>
      <w:r w:rsidRPr="00373EFD">
        <w:rPr>
          <w:iCs/>
        </w:rPr>
        <w:t>romu</w:t>
      </w:r>
      <w:proofErr w:type="spellEnd"/>
      <w:r w:rsidRPr="00373EFD">
        <w:rPr>
          <w:iCs/>
        </w:rPr>
        <w:t xml:space="preserve"> integrācijai ES līmenī, kas kalpos kā ietvars nacionālajām stratēģijām </w:t>
      </w:r>
      <w:proofErr w:type="spellStart"/>
      <w:r w:rsidRPr="00373EFD">
        <w:rPr>
          <w:iCs/>
        </w:rPr>
        <w:t>romu</w:t>
      </w:r>
      <w:proofErr w:type="spellEnd"/>
      <w:r w:rsidRPr="00373EFD">
        <w:rPr>
          <w:iCs/>
        </w:rPr>
        <w:t xml:space="preserve"> integrācijai. Stratēģiju plānots pieņemt 2011. gada jūnija Eiropadomē. Ungārijas prezidentūras priekšlikumā </w:t>
      </w:r>
      <w:proofErr w:type="spellStart"/>
      <w:r w:rsidRPr="00373EFD">
        <w:rPr>
          <w:iCs/>
        </w:rPr>
        <w:t>romu</w:t>
      </w:r>
      <w:proofErr w:type="spellEnd"/>
      <w:r w:rsidRPr="00373EFD">
        <w:rPr>
          <w:iCs/>
        </w:rPr>
        <w:t xml:space="preserve"> politika tiek balstīta uz idejas, ka </w:t>
      </w:r>
      <w:proofErr w:type="spellStart"/>
      <w:r w:rsidRPr="00373EFD">
        <w:rPr>
          <w:iCs/>
        </w:rPr>
        <w:t>romu</w:t>
      </w:r>
      <w:proofErr w:type="spellEnd"/>
      <w:r w:rsidRPr="00373EFD">
        <w:rPr>
          <w:iCs/>
        </w:rPr>
        <w:t xml:space="preserve"> stāvokļa uzlabošana sekmētu mērķu sasniegšanu ES līmenī. Liela nozīme ir arī stratēģijai “Eiropa 2020”, kuras viens no mērķiem ir cīņa pret nabadzību un bezdarbu, kā arī izglītības līmeņa celšana. Lai veiksmīgāk sasniegtu uzstādītos mērķus, prezidentūra izmantos horizontālu pieeju, kas paredz </w:t>
      </w:r>
      <w:proofErr w:type="spellStart"/>
      <w:r w:rsidRPr="00373EFD">
        <w:rPr>
          <w:iCs/>
        </w:rPr>
        <w:t>romu</w:t>
      </w:r>
      <w:proofErr w:type="spellEnd"/>
      <w:r w:rsidRPr="00373EFD">
        <w:rPr>
          <w:iCs/>
        </w:rPr>
        <w:t xml:space="preserve"> jautājumu ietvert arī atsevišķu nozaru politiku plānošanas dokumentos. Arī diskusijas notiks nozaru ministru padomēs.</w:t>
      </w:r>
    </w:p>
    <w:p w:rsidR="00373EFD" w:rsidRDefault="00373EFD" w:rsidP="00373EFD">
      <w:pPr>
        <w:ind w:firstLine="720"/>
        <w:jc w:val="both"/>
        <w:rPr>
          <w:iCs/>
        </w:rPr>
      </w:pPr>
      <w:r w:rsidRPr="00373EFD">
        <w:rPr>
          <w:iCs/>
        </w:rPr>
        <w:t xml:space="preserve">2011.gada janvāra ES Vispārējo lietu padomē prezidentūra iepazīstināja ar plānoto pasākumu „ceļa karti” stratēģijas izstrādei. Stratēģijas vajadzībām 2010.gada septembrī tika izveidota īpaša darba grupa, lai izvērtētu dalībvalstu un ES fondu līdzekļu efektīvu izmantojumu </w:t>
      </w:r>
      <w:proofErr w:type="spellStart"/>
      <w:r w:rsidRPr="00373EFD">
        <w:rPr>
          <w:iCs/>
        </w:rPr>
        <w:t>romu</w:t>
      </w:r>
      <w:proofErr w:type="spellEnd"/>
      <w:r w:rsidRPr="00373EFD">
        <w:rPr>
          <w:iCs/>
        </w:rPr>
        <w:t xml:space="preserve"> integrācijai. Tādējādi paredzēts, ka stratēģija sniegs priekšlikums dalībvalstīm, kā efektīvāk izmantot </w:t>
      </w:r>
      <w:proofErr w:type="spellStart"/>
      <w:r w:rsidRPr="00373EFD">
        <w:rPr>
          <w:iCs/>
        </w:rPr>
        <w:t>romu</w:t>
      </w:r>
      <w:proofErr w:type="spellEnd"/>
      <w:r w:rsidRPr="00373EFD">
        <w:rPr>
          <w:iCs/>
        </w:rPr>
        <w:t xml:space="preserve"> integrācijai paredzētos līdzekļus nacionālā un ES līmenī.</w:t>
      </w:r>
    </w:p>
    <w:p w:rsidR="00373EFD" w:rsidRPr="00373EFD" w:rsidRDefault="00373EFD" w:rsidP="00373EFD">
      <w:pPr>
        <w:ind w:firstLine="709"/>
        <w:jc w:val="both"/>
        <w:rPr>
          <w:iCs/>
        </w:rPr>
      </w:pPr>
      <w:r>
        <w:rPr>
          <w:bCs/>
        </w:rPr>
        <w:t xml:space="preserve">Latvijā kopumā atbalsta ES ietvara veidošanu nacionālajām stratēģijām </w:t>
      </w:r>
      <w:proofErr w:type="spellStart"/>
      <w:r>
        <w:rPr>
          <w:bCs/>
        </w:rPr>
        <w:t>romu</w:t>
      </w:r>
      <w:proofErr w:type="spellEnd"/>
      <w:r>
        <w:rPr>
          <w:bCs/>
        </w:rPr>
        <w:t xml:space="preserve"> integrācijai, </w:t>
      </w:r>
      <w:r>
        <w:t>jo</w:t>
      </w:r>
      <w:r>
        <w:rPr>
          <w:bCs/>
        </w:rPr>
        <w:t xml:space="preserve"> </w:t>
      </w:r>
      <w:r>
        <w:t>kopējas</w:t>
      </w:r>
      <w:r>
        <w:rPr>
          <w:bCs/>
        </w:rPr>
        <w:t xml:space="preserve"> </w:t>
      </w:r>
      <w:proofErr w:type="spellStart"/>
      <w:r>
        <w:t>romu</w:t>
      </w:r>
      <w:proofErr w:type="spellEnd"/>
      <w:r>
        <w:t xml:space="preserve"> iekļaušanas politikas veidošana ES līmenī ir pozitīvs signāls, lai apzinātos īpašās vajadzības, ar kādām sastopas </w:t>
      </w:r>
      <w:proofErr w:type="spellStart"/>
      <w:r>
        <w:t>romu</w:t>
      </w:r>
      <w:proofErr w:type="spellEnd"/>
      <w:r>
        <w:t xml:space="preserve"> kopiena, kā arī vienoties par kopējām politiskām vadlīnijām. Uzmanība ir jāvērš uz </w:t>
      </w:r>
      <w:proofErr w:type="spellStart"/>
      <w:r>
        <w:t>romu</w:t>
      </w:r>
      <w:proofErr w:type="spellEnd"/>
      <w:r>
        <w:t xml:space="preserve"> sociāli ekonomiskās integrācijas veicināšanu, balstoties uz spēkā esošajiem ES tiesību aktiem un nodrošinot </w:t>
      </w:r>
      <w:proofErr w:type="spellStart"/>
      <w:r>
        <w:t>romu</w:t>
      </w:r>
      <w:proofErr w:type="spellEnd"/>
      <w:r>
        <w:t xml:space="preserve"> pamattiesību aizsardzību. Tomēr</w:t>
      </w:r>
      <w:r>
        <w:rPr>
          <w:bCs/>
        </w:rPr>
        <w:t xml:space="preserve"> </w:t>
      </w:r>
      <w:r>
        <w:t xml:space="preserve">jāņem vērā </w:t>
      </w:r>
      <w:proofErr w:type="spellStart"/>
      <w:r>
        <w:t>romu</w:t>
      </w:r>
      <w:proofErr w:type="spellEnd"/>
      <w:r>
        <w:t xml:space="preserve"> kopienas konkrētā situācija un īpatnības katrā atsevišķā dalībvalstī - piemēram, </w:t>
      </w:r>
      <w:proofErr w:type="spellStart"/>
      <w:r>
        <w:t>romu</w:t>
      </w:r>
      <w:proofErr w:type="spellEnd"/>
      <w:r>
        <w:t xml:space="preserve"> skaitu, problēmu intensitāti dažādās jomās. Latvija pašlaik aktualizē </w:t>
      </w:r>
      <w:proofErr w:type="spellStart"/>
      <w:r>
        <w:t>romu</w:t>
      </w:r>
      <w:proofErr w:type="spellEnd"/>
      <w:r>
        <w:t xml:space="preserve"> jautājumus kopējā integrācijas politikas ietvarā, kuras rezultātā plānots izstrādāt noteiktu pasākumu kopumu, lai veicinātu </w:t>
      </w:r>
      <w:proofErr w:type="spellStart"/>
      <w:r>
        <w:t>romu</w:t>
      </w:r>
      <w:proofErr w:type="spellEnd"/>
      <w:r>
        <w:t xml:space="preserve"> integrāciju nacionālajā līmenī. Šo pasākumu kopumu plānots integrēt kopējās integrācijas politikas vadlīnijās, nevis izveidojot atsevišķu stratēģiju.</w:t>
      </w:r>
    </w:p>
    <w:p w:rsidR="0077448C" w:rsidRPr="00EF59C6" w:rsidRDefault="0077448C" w:rsidP="00E0206B">
      <w:pPr>
        <w:pStyle w:val="Kjene"/>
        <w:jc w:val="both"/>
        <w:rPr>
          <w:lang w:val="lv-LV"/>
        </w:rPr>
      </w:pPr>
    </w:p>
    <w:p w:rsidR="00C655A0" w:rsidRPr="00EF59C6" w:rsidRDefault="00DB1FC3" w:rsidP="00C655A0">
      <w:pPr>
        <w:pStyle w:val="Sarakstarindkopa"/>
        <w:numPr>
          <w:ilvl w:val="0"/>
          <w:numId w:val="10"/>
        </w:numPr>
        <w:jc w:val="both"/>
        <w:rPr>
          <w:b/>
        </w:rPr>
      </w:pPr>
      <w:r w:rsidRPr="00EF59C6">
        <w:rPr>
          <w:b/>
        </w:rPr>
        <w:t xml:space="preserve"> E</w:t>
      </w:r>
      <w:r w:rsidR="00C655A0" w:rsidRPr="00EF59C6">
        <w:rPr>
          <w:b/>
        </w:rPr>
        <w:t xml:space="preserve">S Pamattiesību </w:t>
      </w:r>
      <w:r w:rsidR="008708A7" w:rsidRPr="00EF59C6">
        <w:rPr>
          <w:b/>
        </w:rPr>
        <w:t>H</w:t>
      </w:r>
      <w:r w:rsidR="00C655A0" w:rsidRPr="00EF59C6">
        <w:rPr>
          <w:b/>
        </w:rPr>
        <w:t xml:space="preserve">artas </w:t>
      </w:r>
      <w:r w:rsidRPr="00EF59C6">
        <w:rPr>
          <w:b/>
        </w:rPr>
        <w:t xml:space="preserve">piemērošana </w:t>
      </w:r>
    </w:p>
    <w:p w:rsidR="00BF3462" w:rsidRPr="00EF59C6" w:rsidRDefault="00BF3462" w:rsidP="00BF3462">
      <w:pPr>
        <w:ind w:firstLine="709"/>
        <w:jc w:val="both"/>
      </w:pPr>
      <w:r w:rsidRPr="00EF59C6">
        <w:t xml:space="preserve"> Ministri tiks iepazīstināti ar ES Pamattiesību Hartas piemērošanas ziņojumu 2010. gadā, kurā ir ietverts pārskats par Hartā paredzēto tiesību stiprināšanu ES kompetencē esošajās jomās. </w:t>
      </w:r>
    </w:p>
    <w:p w:rsidR="00911D09" w:rsidRPr="00EF59C6" w:rsidRDefault="00911D09" w:rsidP="00911D09">
      <w:pPr>
        <w:ind w:firstLine="709"/>
        <w:contextualSpacing/>
        <w:jc w:val="both"/>
      </w:pPr>
    </w:p>
    <w:p w:rsidR="001C7881" w:rsidRPr="00EF59C6" w:rsidRDefault="001C7881" w:rsidP="001C7881">
      <w:pPr>
        <w:pStyle w:val="Sarakstarindkopa"/>
        <w:numPr>
          <w:ilvl w:val="0"/>
          <w:numId w:val="10"/>
        </w:numPr>
        <w:ind w:right="-1"/>
        <w:jc w:val="both"/>
        <w:rPr>
          <w:b/>
        </w:rPr>
      </w:pPr>
      <w:r w:rsidRPr="00EF59C6">
        <w:rPr>
          <w:b/>
        </w:rPr>
        <w:t>Nolīgum</w:t>
      </w:r>
      <w:r w:rsidR="00DB1FC3" w:rsidRPr="00EF59C6">
        <w:rPr>
          <w:b/>
        </w:rPr>
        <w:t>a</w:t>
      </w:r>
      <w:r w:rsidRPr="00EF59C6">
        <w:rPr>
          <w:b/>
          <w:i/>
        </w:rPr>
        <w:t xml:space="preserve"> </w:t>
      </w:r>
      <w:r w:rsidRPr="00EF59C6">
        <w:rPr>
          <w:b/>
        </w:rPr>
        <w:t>starp ES un ASV, lai nodrošinātu finanšu datu apstrādi un nodošanu, kurus ES dara pieejamus ASV, lai īstenotu Teroristu finansēšanas izsekošanas programm</w:t>
      </w:r>
      <w:r w:rsidR="00213AB8">
        <w:rPr>
          <w:b/>
        </w:rPr>
        <w:t>u (SWIFT</w:t>
      </w:r>
      <w:r w:rsidR="00DB1FC3" w:rsidRPr="00EF59C6">
        <w:rPr>
          <w:b/>
        </w:rPr>
        <w:t xml:space="preserve"> Nolīgums) piemērošana</w:t>
      </w:r>
    </w:p>
    <w:p w:rsidR="001C7881" w:rsidRPr="00EF59C6" w:rsidRDefault="001C7881" w:rsidP="00BF3462">
      <w:pPr>
        <w:ind w:right="-1" w:firstLine="709"/>
        <w:jc w:val="both"/>
      </w:pPr>
      <w:r w:rsidRPr="00EF59C6">
        <w:t xml:space="preserve">Padomes sanāksmē dalībvalstu ministri tiks </w:t>
      </w:r>
      <w:r w:rsidR="00BF3462" w:rsidRPr="00EF59C6">
        <w:t xml:space="preserve">iepazīstināti ar Komisijas ziņojumu par </w:t>
      </w:r>
      <w:r w:rsidR="00213AB8">
        <w:t xml:space="preserve">SWIFT </w:t>
      </w:r>
      <w:r w:rsidRPr="00EF59C6">
        <w:t>Nolīgum</w:t>
      </w:r>
      <w:r w:rsidR="00BF3462" w:rsidRPr="00EF59C6">
        <w:t>a</w:t>
      </w:r>
      <w:r w:rsidRPr="00EF59C6">
        <w:t xml:space="preserve"> piemērošanu pusgada laikā kopš tā noslēgšanas. </w:t>
      </w:r>
    </w:p>
    <w:p w:rsidR="001C7881" w:rsidRPr="00EF59C6" w:rsidRDefault="001C7881" w:rsidP="00BF3462">
      <w:pPr>
        <w:ind w:right="-1" w:firstLine="709"/>
        <w:jc w:val="both"/>
      </w:pPr>
      <w:r w:rsidRPr="00EF59C6">
        <w:t xml:space="preserve">2010.gada 13.jūlijā tika publicēts Padomes Lēmums 2010/412/ES par to, lai noslēgtu </w:t>
      </w:r>
      <w:r w:rsidR="00213AB8">
        <w:t xml:space="preserve">SWIFT </w:t>
      </w:r>
      <w:r w:rsidRPr="00EF59C6">
        <w:t>Nolīgumu starp ES un ASV par tādu finanšu ziņojumapmaiņas datu apstrādi un nodošanu, kurus ES darba pieejamus ASV, lai īstenotu Teroristu finansēšanas izsekošanas programmu. Padomes lēmums ir pieņemts ES Tieslietu un iekšlietu</w:t>
      </w:r>
      <w:r w:rsidR="00BE3474" w:rsidRPr="00EF59C6">
        <w:t xml:space="preserve"> ministru padomē 2010.gada 23.</w:t>
      </w:r>
      <w:r w:rsidRPr="00EF59C6">
        <w:t>aprīlī. Eiropas Parlaments ir apstiprinājis N</w:t>
      </w:r>
      <w:r w:rsidR="00BD35BC" w:rsidRPr="00EF59C6">
        <w:t xml:space="preserve">olīgumu 2010.gada jūlijā un tas stājās spēkā 2010.gada 1.augustā. </w:t>
      </w:r>
    </w:p>
    <w:p w:rsidR="001C7881" w:rsidRPr="00EF59C6" w:rsidRDefault="001C7881" w:rsidP="001C7881">
      <w:pPr>
        <w:ind w:right="38" w:firstLine="709"/>
        <w:jc w:val="both"/>
        <w:rPr>
          <w:bCs/>
        </w:rPr>
      </w:pPr>
    </w:p>
    <w:p w:rsidR="009003E7" w:rsidRDefault="009003E7" w:rsidP="00C655A0">
      <w:pPr>
        <w:ind w:firstLine="709"/>
        <w:jc w:val="both"/>
      </w:pPr>
    </w:p>
    <w:p w:rsidR="00213AB8" w:rsidRDefault="00213AB8" w:rsidP="00C655A0">
      <w:pPr>
        <w:ind w:firstLine="709"/>
        <w:jc w:val="both"/>
      </w:pPr>
    </w:p>
    <w:p w:rsidR="00213AB8" w:rsidRPr="00EF59C6" w:rsidRDefault="00213AB8" w:rsidP="00C655A0">
      <w:pPr>
        <w:ind w:firstLine="709"/>
        <w:jc w:val="both"/>
      </w:pPr>
    </w:p>
    <w:p w:rsidR="00AF3EFE" w:rsidRPr="00EF59C6" w:rsidRDefault="00996994" w:rsidP="00AB314F">
      <w:pPr>
        <w:jc w:val="both"/>
      </w:pPr>
      <w:r w:rsidRPr="00EF59C6">
        <w:rPr>
          <w:b/>
          <w:u w:val="single"/>
        </w:rPr>
        <w:t>I</w:t>
      </w:r>
      <w:r w:rsidR="00D61135" w:rsidRPr="00EF59C6">
        <w:rPr>
          <w:b/>
          <w:u w:val="single"/>
        </w:rPr>
        <w:t>II</w:t>
      </w:r>
      <w:r w:rsidR="00AF3EFE" w:rsidRPr="00EF59C6">
        <w:rPr>
          <w:b/>
          <w:u w:val="single"/>
        </w:rPr>
        <w:t xml:space="preserve"> Latvijas delegācija</w:t>
      </w:r>
    </w:p>
    <w:p w:rsidR="00AF3EFE" w:rsidRPr="00EF59C6" w:rsidRDefault="00AF3EFE" w:rsidP="00AF3EFE">
      <w:pPr>
        <w:pStyle w:val="Pamatteksts2"/>
        <w:jc w:val="both"/>
        <w:rPr>
          <w:sz w:val="24"/>
          <w:szCs w:val="24"/>
        </w:rPr>
      </w:pPr>
    </w:p>
    <w:p w:rsidR="00AF3EFE" w:rsidRPr="00EF59C6" w:rsidRDefault="00AF3EFE" w:rsidP="00AF3EFE">
      <w:pPr>
        <w:pStyle w:val="Pamatteksts2"/>
        <w:jc w:val="both"/>
        <w:rPr>
          <w:sz w:val="24"/>
          <w:szCs w:val="24"/>
        </w:rPr>
      </w:pPr>
      <w:r w:rsidRPr="00EF59C6">
        <w:rPr>
          <w:sz w:val="24"/>
          <w:szCs w:val="24"/>
        </w:rPr>
        <w:t>Delegācijas vadītājs:</w:t>
      </w:r>
    </w:p>
    <w:p w:rsidR="00AF3EFE" w:rsidRPr="00EF59C6" w:rsidRDefault="00D361A4" w:rsidP="007044DD">
      <w:pPr>
        <w:pStyle w:val="Pamatteksts2"/>
        <w:ind w:left="2977" w:hanging="2171"/>
        <w:jc w:val="both"/>
        <w:rPr>
          <w:bCs/>
          <w:sz w:val="24"/>
          <w:szCs w:val="24"/>
        </w:rPr>
      </w:pPr>
      <w:r w:rsidRPr="00EF59C6">
        <w:rPr>
          <w:b/>
          <w:bCs/>
          <w:sz w:val="24"/>
          <w:szCs w:val="24"/>
        </w:rPr>
        <w:t xml:space="preserve">   </w:t>
      </w:r>
      <w:r w:rsidR="001D04EC" w:rsidRPr="00EF59C6">
        <w:rPr>
          <w:b/>
          <w:bCs/>
          <w:sz w:val="24"/>
          <w:szCs w:val="24"/>
        </w:rPr>
        <w:t xml:space="preserve">                              </w:t>
      </w:r>
      <w:r w:rsidR="00EF59C6">
        <w:rPr>
          <w:b/>
          <w:bCs/>
          <w:sz w:val="24"/>
          <w:szCs w:val="24"/>
        </w:rPr>
        <w:t xml:space="preserve">  </w:t>
      </w:r>
      <w:r w:rsidR="00582F4E" w:rsidRPr="00EF59C6">
        <w:rPr>
          <w:b/>
          <w:bCs/>
          <w:sz w:val="24"/>
          <w:szCs w:val="24"/>
        </w:rPr>
        <w:t>Aigars Štokenbergs</w:t>
      </w:r>
      <w:r w:rsidR="007044DD" w:rsidRPr="00EF59C6">
        <w:rPr>
          <w:sz w:val="24"/>
          <w:szCs w:val="24"/>
        </w:rPr>
        <w:t>, </w:t>
      </w:r>
      <w:r w:rsidR="00582F4E" w:rsidRPr="00EF59C6">
        <w:rPr>
          <w:sz w:val="24"/>
          <w:szCs w:val="24"/>
        </w:rPr>
        <w:t>tieslietu ministrs</w:t>
      </w:r>
      <w:r w:rsidR="00BE3474" w:rsidRPr="00EF59C6">
        <w:rPr>
          <w:sz w:val="24"/>
          <w:szCs w:val="24"/>
        </w:rPr>
        <w:t>.</w:t>
      </w:r>
      <w:r w:rsidR="007044DD" w:rsidRPr="00EF59C6">
        <w:rPr>
          <w:sz w:val="24"/>
          <w:szCs w:val="24"/>
        </w:rPr>
        <w:t xml:space="preserve"> </w:t>
      </w:r>
    </w:p>
    <w:p w:rsidR="00AF3EFE" w:rsidRPr="00EF59C6" w:rsidRDefault="00AF3EFE" w:rsidP="00AF3EFE">
      <w:pPr>
        <w:pStyle w:val="Pamatteksts2"/>
        <w:ind w:left="2520" w:hanging="2520"/>
        <w:jc w:val="both"/>
        <w:rPr>
          <w:sz w:val="24"/>
          <w:szCs w:val="24"/>
        </w:rPr>
      </w:pPr>
    </w:p>
    <w:p w:rsidR="002A2A1A" w:rsidRPr="00EF59C6" w:rsidRDefault="00AF3EFE" w:rsidP="00AF3EFE">
      <w:pPr>
        <w:ind w:left="2977" w:hanging="2977"/>
        <w:jc w:val="both"/>
      </w:pPr>
      <w:r w:rsidRPr="00EF59C6">
        <w:t>Delegācijas dalībnieki:</w:t>
      </w:r>
      <w:r w:rsidRPr="00EF59C6">
        <w:tab/>
        <w:t xml:space="preserve"> </w:t>
      </w:r>
    </w:p>
    <w:p w:rsidR="00582F4E" w:rsidRPr="00EF59C6" w:rsidRDefault="002A2A1A" w:rsidP="00D61135">
      <w:pPr>
        <w:ind w:left="2977" w:hanging="2977"/>
        <w:jc w:val="both"/>
        <w:rPr>
          <w:bCs/>
        </w:rPr>
      </w:pPr>
      <w:r w:rsidRPr="00EF59C6">
        <w:t xml:space="preserve"> </w:t>
      </w:r>
      <w:r w:rsidR="00797603" w:rsidRPr="00EF59C6">
        <w:t xml:space="preserve">                                             </w:t>
      </w:r>
      <w:r w:rsidR="00D61135" w:rsidRPr="00EF59C6">
        <w:t xml:space="preserve">  </w:t>
      </w:r>
      <w:r w:rsidR="000952FD">
        <w:t xml:space="preserve"> </w:t>
      </w:r>
      <w:r w:rsidR="00BF3462" w:rsidRPr="00EF59C6">
        <w:t xml:space="preserve"> </w:t>
      </w:r>
      <w:r w:rsidR="00582F4E" w:rsidRPr="00EF59C6">
        <w:rPr>
          <w:b/>
          <w:bCs/>
        </w:rPr>
        <w:t>Inga Skujiņa</w:t>
      </w:r>
      <w:r w:rsidR="00582F4E" w:rsidRPr="00EF59C6">
        <w:t>, Tieslietu ministrijas valsts sekretāra v</w:t>
      </w:r>
      <w:r w:rsidR="00D61135" w:rsidRPr="00EF59C6">
        <w:t>ietniece stratēģijas jautājumos;</w:t>
      </w:r>
    </w:p>
    <w:p w:rsidR="00AF3EFE" w:rsidRPr="00EF59C6" w:rsidRDefault="00AF3EFE" w:rsidP="00AF3EFE">
      <w:pPr>
        <w:ind w:left="2977"/>
        <w:jc w:val="both"/>
      </w:pPr>
      <w:r w:rsidRPr="00EF59C6">
        <w:rPr>
          <w:b/>
        </w:rPr>
        <w:t>E</w:t>
      </w:r>
      <w:r w:rsidRPr="00EF59C6">
        <w:rPr>
          <w:b/>
          <w:bCs/>
        </w:rPr>
        <w:t xml:space="preserve">gita </w:t>
      </w:r>
      <w:proofErr w:type="spellStart"/>
      <w:r w:rsidRPr="00EF59C6">
        <w:rPr>
          <w:b/>
          <w:bCs/>
        </w:rPr>
        <w:t>Šķibele</w:t>
      </w:r>
      <w:proofErr w:type="spellEnd"/>
      <w:r w:rsidRPr="00EF59C6">
        <w:t xml:space="preserve">, tieslietu nozares padomniece Latvijas Republikas </w:t>
      </w:r>
      <w:r w:rsidR="00D61135" w:rsidRPr="00EF59C6">
        <w:rPr>
          <w:rStyle w:val="Izteiksmgs"/>
          <w:b w:val="0"/>
        </w:rPr>
        <w:t>Pastāvīgajā</w:t>
      </w:r>
      <w:r w:rsidR="00D61135" w:rsidRPr="00EF59C6">
        <w:t xml:space="preserve"> </w:t>
      </w:r>
      <w:r w:rsidRPr="00EF59C6">
        <w:t xml:space="preserve">pārstāvniecībā ES; </w:t>
      </w:r>
    </w:p>
    <w:p w:rsidR="00AF3EFE" w:rsidRPr="00EF59C6" w:rsidRDefault="00AF3EFE" w:rsidP="00AF3EFE">
      <w:pPr>
        <w:ind w:left="2977"/>
        <w:jc w:val="both"/>
      </w:pPr>
      <w:r w:rsidRPr="00EF59C6">
        <w:rPr>
          <w:b/>
        </w:rPr>
        <w:t>Sandris Laganovskis</w:t>
      </w:r>
      <w:r w:rsidRPr="00EF59C6">
        <w:t xml:space="preserve">, tieslietu nozares padomnieks Latvijas Republikas </w:t>
      </w:r>
      <w:r w:rsidR="00D61135" w:rsidRPr="00EF59C6">
        <w:rPr>
          <w:rStyle w:val="Izteiksmgs"/>
          <w:b w:val="0"/>
        </w:rPr>
        <w:t>Pastāvīgajā</w:t>
      </w:r>
      <w:r w:rsidR="00D61135" w:rsidRPr="00EF59C6">
        <w:t xml:space="preserve"> </w:t>
      </w:r>
      <w:r w:rsidRPr="00EF59C6">
        <w:t xml:space="preserve">pārstāvniecībā ES. </w:t>
      </w:r>
    </w:p>
    <w:p w:rsidR="009F0810" w:rsidRPr="00EF59C6" w:rsidRDefault="009F0810" w:rsidP="00AF3EFE">
      <w:pPr>
        <w:jc w:val="both"/>
      </w:pPr>
    </w:p>
    <w:p w:rsidR="00ED08F7" w:rsidRPr="00EF59C6" w:rsidRDefault="00ED08F7" w:rsidP="00AF3EFE">
      <w:pPr>
        <w:jc w:val="both"/>
      </w:pPr>
    </w:p>
    <w:p w:rsidR="00EF59C6" w:rsidRDefault="00EF59C6" w:rsidP="00AF3EFE">
      <w:pPr>
        <w:jc w:val="both"/>
      </w:pPr>
    </w:p>
    <w:p w:rsidR="00EF59C6" w:rsidRDefault="00EF59C6" w:rsidP="00AF3EFE">
      <w:pPr>
        <w:jc w:val="both"/>
      </w:pPr>
    </w:p>
    <w:p w:rsidR="00AF3EFE" w:rsidRPr="00EF59C6" w:rsidRDefault="002E2A94" w:rsidP="00AF3EFE">
      <w:pPr>
        <w:jc w:val="both"/>
      </w:pPr>
      <w:r w:rsidRPr="00EF59C6">
        <w:t>T</w:t>
      </w:r>
      <w:r w:rsidR="00606F89" w:rsidRPr="00EF59C6">
        <w:t>ieslietu ministrs</w:t>
      </w:r>
      <w:r w:rsidR="00AF3EFE" w:rsidRPr="00EF59C6">
        <w:tab/>
      </w:r>
      <w:r w:rsidR="00AF3EFE" w:rsidRPr="00EF59C6">
        <w:tab/>
      </w:r>
      <w:r w:rsidR="00AF3EFE" w:rsidRPr="00EF59C6">
        <w:tab/>
      </w:r>
      <w:proofErr w:type="gramStart"/>
      <w:r w:rsidR="00AF3EFE" w:rsidRPr="00EF59C6">
        <w:t xml:space="preserve">    </w:t>
      </w:r>
      <w:proofErr w:type="gramEnd"/>
      <w:r w:rsidR="00AF3EFE" w:rsidRPr="00EF59C6">
        <w:tab/>
      </w:r>
      <w:r w:rsidR="00AF3EFE" w:rsidRPr="00EF59C6">
        <w:tab/>
      </w:r>
      <w:r w:rsidR="00606F89" w:rsidRPr="00EF59C6">
        <w:t xml:space="preserve">           </w:t>
      </w:r>
      <w:r w:rsidR="00161011" w:rsidRPr="00EF59C6">
        <w:t xml:space="preserve"> </w:t>
      </w:r>
      <w:r w:rsidR="00606F89" w:rsidRPr="00EF59C6">
        <w:t xml:space="preserve">                   </w:t>
      </w:r>
      <w:r w:rsidR="00B32C27" w:rsidRPr="00EF59C6">
        <w:t xml:space="preserve">     </w:t>
      </w:r>
      <w:r w:rsidR="00606F89" w:rsidRPr="00EF59C6">
        <w:t xml:space="preserve"> A. Štokenbergs </w:t>
      </w:r>
    </w:p>
    <w:p w:rsidR="00797603" w:rsidRPr="00EF59C6" w:rsidRDefault="00797603" w:rsidP="00AF3EFE">
      <w:pPr>
        <w:jc w:val="both"/>
      </w:pPr>
    </w:p>
    <w:p w:rsidR="00E0206B" w:rsidRPr="00EF59C6" w:rsidRDefault="00E0206B" w:rsidP="00AF3EFE">
      <w:pPr>
        <w:jc w:val="both"/>
      </w:pPr>
    </w:p>
    <w:p w:rsidR="00E0206B" w:rsidRDefault="00E0206B" w:rsidP="00AF3EFE">
      <w:pPr>
        <w:jc w:val="both"/>
        <w:rPr>
          <w:sz w:val="20"/>
          <w:szCs w:val="20"/>
        </w:rPr>
      </w:pPr>
    </w:p>
    <w:p w:rsidR="00E0206B" w:rsidRDefault="00E0206B" w:rsidP="00AF3EFE">
      <w:pPr>
        <w:jc w:val="both"/>
        <w:rPr>
          <w:sz w:val="20"/>
          <w:szCs w:val="20"/>
        </w:rPr>
      </w:pPr>
    </w:p>
    <w:p w:rsidR="00E0206B" w:rsidRDefault="00E0206B" w:rsidP="00AF3EFE">
      <w:pPr>
        <w:jc w:val="both"/>
        <w:rPr>
          <w:sz w:val="20"/>
          <w:szCs w:val="20"/>
        </w:rPr>
      </w:pPr>
    </w:p>
    <w:p w:rsidR="00E0206B" w:rsidRDefault="00E0206B" w:rsidP="00AF3EFE">
      <w:pPr>
        <w:jc w:val="both"/>
        <w:rPr>
          <w:sz w:val="20"/>
          <w:szCs w:val="20"/>
        </w:rPr>
      </w:pPr>
    </w:p>
    <w:p w:rsidR="00E0206B" w:rsidRDefault="00E0206B" w:rsidP="00AF3EFE">
      <w:pPr>
        <w:jc w:val="both"/>
        <w:rPr>
          <w:sz w:val="20"/>
          <w:szCs w:val="20"/>
        </w:rPr>
      </w:pPr>
    </w:p>
    <w:p w:rsidR="000E7D99" w:rsidRDefault="000E7D99" w:rsidP="00AF3EFE">
      <w:pPr>
        <w:jc w:val="both"/>
        <w:rPr>
          <w:sz w:val="20"/>
          <w:szCs w:val="20"/>
        </w:rPr>
      </w:pPr>
    </w:p>
    <w:p w:rsidR="00AF3EFE" w:rsidRPr="001B3261" w:rsidRDefault="00F105D6" w:rsidP="00AF3EFE">
      <w:pPr>
        <w:jc w:val="both"/>
        <w:rPr>
          <w:sz w:val="20"/>
          <w:szCs w:val="20"/>
        </w:rPr>
      </w:pPr>
      <w:r w:rsidRPr="001B3261">
        <w:rPr>
          <w:sz w:val="20"/>
          <w:szCs w:val="20"/>
        </w:rPr>
        <w:t>01</w:t>
      </w:r>
      <w:r w:rsidR="00CC780E" w:rsidRPr="001B3261">
        <w:rPr>
          <w:sz w:val="20"/>
          <w:szCs w:val="20"/>
        </w:rPr>
        <w:t>.</w:t>
      </w:r>
      <w:r w:rsidR="007044DD" w:rsidRPr="001B3261">
        <w:rPr>
          <w:sz w:val="20"/>
          <w:szCs w:val="20"/>
        </w:rPr>
        <w:t>0</w:t>
      </w:r>
      <w:r w:rsidRPr="001B3261">
        <w:rPr>
          <w:sz w:val="20"/>
          <w:szCs w:val="20"/>
        </w:rPr>
        <w:t>4</w:t>
      </w:r>
      <w:r w:rsidR="007044DD" w:rsidRPr="001B3261">
        <w:rPr>
          <w:sz w:val="20"/>
          <w:szCs w:val="20"/>
        </w:rPr>
        <w:t>.2011</w:t>
      </w:r>
      <w:r w:rsidR="00AF3EFE" w:rsidRPr="001B3261">
        <w:rPr>
          <w:sz w:val="20"/>
          <w:szCs w:val="20"/>
        </w:rPr>
        <w:t xml:space="preserve"> </w:t>
      </w:r>
      <w:r w:rsidRPr="001B3261">
        <w:rPr>
          <w:sz w:val="20"/>
          <w:szCs w:val="20"/>
        </w:rPr>
        <w:t>1</w:t>
      </w:r>
      <w:r w:rsidR="001B3261" w:rsidRPr="001B3261">
        <w:rPr>
          <w:sz w:val="20"/>
          <w:szCs w:val="20"/>
        </w:rPr>
        <w:t>3</w:t>
      </w:r>
      <w:r w:rsidR="00AF3EFE" w:rsidRPr="001B3261">
        <w:rPr>
          <w:sz w:val="20"/>
          <w:szCs w:val="20"/>
        </w:rPr>
        <w:t>:</w:t>
      </w:r>
      <w:r w:rsidR="00EC6D9E" w:rsidRPr="001B3261">
        <w:rPr>
          <w:sz w:val="20"/>
          <w:szCs w:val="20"/>
        </w:rPr>
        <w:t>00</w:t>
      </w:r>
    </w:p>
    <w:p w:rsidR="00AF3EFE" w:rsidRPr="001B3261" w:rsidRDefault="001B3261" w:rsidP="00AF3EFE">
      <w:pPr>
        <w:jc w:val="both"/>
        <w:rPr>
          <w:sz w:val="20"/>
          <w:szCs w:val="20"/>
        </w:rPr>
      </w:pPr>
      <w:r w:rsidRPr="001B3261">
        <w:rPr>
          <w:sz w:val="20"/>
          <w:szCs w:val="20"/>
        </w:rPr>
        <w:t>2078</w:t>
      </w:r>
    </w:p>
    <w:p w:rsidR="00642365" w:rsidRPr="009F0810" w:rsidRDefault="00606F89" w:rsidP="00AF3EFE">
      <w:pPr>
        <w:jc w:val="both"/>
        <w:rPr>
          <w:sz w:val="20"/>
          <w:szCs w:val="20"/>
        </w:rPr>
      </w:pPr>
      <w:r w:rsidRPr="001B3261">
        <w:rPr>
          <w:sz w:val="20"/>
          <w:szCs w:val="20"/>
        </w:rPr>
        <w:t>Anna Skrjabina</w:t>
      </w:r>
      <w:r>
        <w:rPr>
          <w:sz w:val="20"/>
          <w:szCs w:val="20"/>
        </w:rPr>
        <w:t xml:space="preserve"> </w:t>
      </w:r>
    </w:p>
    <w:p w:rsidR="00E61C0B" w:rsidRDefault="00642365" w:rsidP="00AF3EFE">
      <w:pPr>
        <w:jc w:val="both"/>
      </w:pPr>
      <w:r w:rsidRPr="009F0810">
        <w:rPr>
          <w:sz w:val="20"/>
          <w:szCs w:val="20"/>
        </w:rPr>
        <w:t>670369</w:t>
      </w:r>
      <w:r w:rsidR="00606F89">
        <w:rPr>
          <w:sz w:val="20"/>
          <w:szCs w:val="20"/>
        </w:rPr>
        <w:t>15</w:t>
      </w:r>
      <w:r w:rsidRPr="009F0810">
        <w:rPr>
          <w:sz w:val="20"/>
          <w:szCs w:val="20"/>
        </w:rPr>
        <w:t xml:space="preserve">, </w:t>
      </w:r>
      <w:hyperlink r:id="rId8" w:history="1">
        <w:r w:rsidR="00606F89" w:rsidRPr="00747EDE">
          <w:rPr>
            <w:rStyle w:val="Hipersaite"/>
            <w:sz w:val="20"/>
            <w:szCs w:val="20"/>
          </w:rPr>
          <w:t>Anna.Skrjabina@tm.gov.lv</w:t>
        </w:r>
      </w:hyperlink>
    </w:p>
    <w:sectPr w:rsidR="00E61C0B" w:rsidSect="0016101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A30" w:rsidRDefault="00262A30" w:rsidP="00A70D10">
      <w:r>
        <w:separator/>
      </w:r>
    </w:p>
  </w:endnote>
  <w:endnote w:type="continuationSeparator" w:id="0">
    <w:p w:rsidR="00262A30" w:rsidRDefault="00262A30" w:rsidP="00A70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30" w:rsidRPr="00582F4E" w:rsidRDefault="00262A30" w:rsidP="009D7A48">
    <w:pPr>
      <w:jc w:val="both"/>
      <w:rPr>
        <w:bCs/>
        <w:i/>
        <w:sz w:val="20"/>
        <w:szCs w:val="20"/>
      </w:rPr>
    </w:pPr>
    <w:r w:rsidRPr="00582F4E">
      <w:rPr>
        <w:i/>
        <w:sz w:val="20"/>
        <w:szCs w:val="20"/>
      </w:rPr>
      <w:t>TMzino_</w:t>
    </w:r>
    <w:r>
      <w:rPr>
        <w:i/>
        <w:sz w:val="20"/>
        <w:szCs w:val="20"/>
      </w:rPr>
      <w:t>01</w:t>
    </w:r>
    <w:r w:rsidRPr="00582F4E">
      <w:rPr>
        <w:i/>
        <w:sz w:val="20"/>
        <w:szCs w:val="20"/>
      </w:rPr>
      <w:t>0</w:t>
    </w:r>
    <w:r>
      <w:rPr>
        <w:i/>
        <w:sz w:val="20"/>
        <w:szCs w:val="20"/>
      </w:rPr>
      <w:t>4</w:t>
    </w:r>
    <w:r w:rsidRPr="00582F4E">
      <w:rPr>
        <w:i/>
        <w:sz w:val="20"/>
        <w:szCs w:val="20"/>
      </w:rPr>
      <w:t xml:space="preserve">11_JHAC; informatīvais </w:t>
    </w:r>
    <w:smartTag w:uri="schemas-tilde-lv/tildestengine" w:element="veidnes">
      <w:smartTagPr>
        <w:attr w:name="text" w:val="ziņojums"/>
        <w:attr w:name="baseform" w:val="ziņojums"/>
        <w:attr w:name="id" w:val="-1"/>
      </w:smartTagPr>
      <w:r w:rsidRPr="00582F4E">
        <w:rPr>
          <w:i/>
          <w:sz w:val="20"/>
          <w:szCs w:val="20"/>
        </w:rPr>
        <w:t>ziņojums</w:t>
      </w:r>
    </w:smartTag>
    <w:r w:rsidRPr="00582F4E">
      <w:rPr>
        <w:i/>
        <w:sz w:val="20"/>
        <w:szCs w:val="20"/>
      </w:rPr>
      <w:t xml:space="preserve"> </w:t>
    </w:r>
    <w:r w:rsidRPr="00582F4E">
      <w:rPr>
        <w:bCs/>
        <w:i/>
        <w:sz w:val="20"/>
        <w:szCs w:val="20"/>
      </w:rPr>
      <w:t xml:space="preserve">par </w:t>
    </w:r>
    <w:r w:rsidRPr="00582F4E">
      <w:rPr>
        <w:i/>
        <w:sz w:val="20"/>
        <w:szCs w:val="20"/>
      </w:rPr>
      <w:t xml:space="preserve">Tieslietu un iekšlietu ministru padomes </w:t>
    </w:r>
    <w:r w:rsidRPr="00582F4E">
      <w:rPr>
        <w:bCs/>
        <w:i/>
        <w:sz w:val="20"/>
        <w:szCs w:val="20"/>
      </w:rPr>
      <w:t xml:space="preserve">2011. gada </w:t>
    </w:r>
    <w:r>
      <w:rPr>
        <w:bCs/>
        <w:i/>
        <w:sz w:val="20"/>
        <w:szCs w:val="20"/>
      </w:rPr>
      <w:t>11</w:t>
    </w:r>
    <w:r w:rsidRPr="00582F4E">
      <w:rPr>
        <w:bCs/>
        <w:i/>
        <w:sz w:val="20"/>
        <w:szCs w:val="20"/>
      </w:rPr>
      <w:t xml:space="preserve">.- </w:t>
    </w:r>
    <w:r>
      <w:rPr>
        <w:bCs/>
        <w:i/>
        <w:sz w:val="20"/>
        <w:szCs w:val="20"/>
      </w:rPr>
      <w:t xml:space="preserve">12.aprīļa </w:t>
    </w:r>
    <w:r w:rsidRPr="00582F4E">
      <w:rPr>
        <w:i/>
        <w:sz w:val="20"/>
        <w:szCs w:val="20"/>
      </w:rPr>
      <w:t>sanāksm</w:t>
    </w:r>
    <w:r w:rsidRPr="00582F4E">
      <w:rPr>
        <w:bCs/>
        <w:i/>
        <w:sz w:val="20"/>
        <w:szCs w:val="20"/>
      </w:rPr>
      <w:t xml:space="preserve">ē izskatāmajiem jautājumiem </w:t>
    </w:r>
  </w:p>
  <w:p w:rsidR="00262A30" w:rsidRPr="00582F4E" w:rsidRDefault="00262A30" w:rsidP="009D7A48">
    <w:pPr>
      <w:jc w:val="both"/>
      <w:rPr>
        <w:i/>
        <w:sz w:val="20"/>
        <w:szCs w:val="20"/>
      </w:rPr>
    </w:pPr>
  </w:p>
  <w:p w:rsidR="00262A30" w:rsidRPr="003D5110" w:rsidRDefault="00262A30" w:rsidP="002A2A1A">
    <w:pPr>
      <w:jc w:val="both"/>
      <w:rPr>
        <w:i/>
        <w:sz w:val="20"/>
        <w:szCs w:val="20"/>
      </w:rPr>
    </w:pPr>
  </w:p>
  <w:p w:rsidR="00262A30" w:rsidRPr="00F16A52" w:rsidRDefault="00262A30" w:rsidP="00C655A0">
    <w:pPr>
      <w:jc w:val="both"/>
      <w:rPr>
        <w:sz w:val="20"/>
        <w:szCs w:val="20"/>
      </w:rPr>
    </w:pPr>
  </w:p>
  <w:p w:rsidR="00262A30" w:rsidRPr="00C655A0" w:rsidRDefault="00262A30" w:rsidP="00C655A0">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30" w:rsidRPr="00582F4E" w:rsidRDefault="00262A30" w:rsidP="00AF3EFE">
    <w:pPr>
      <w:jc w:val="both"/>
      <w:rPr>
        <w:bCs/>
        <w:i/>
        <w:sz w:val="20"/>
        <w:szCs w:val="20"/>
      </w:rPr>
    </w:pPr>
    <w:r w:rsidRPr="00582F4E">
      <w:rPr>
        <w:i/>
        <w:sz w:val="20"/>
        <w:szCs w:val="20"/>
      </w:rPr>
      <w:t>TMzino_</w:t>
    </w:r>
    <w:r>
      <w:rPr>
        <w:i/>
        <w:sz w:val="20"/>
        <w:szCs w:val="20"/>
      </w:rPr>
      <w:t>01</w:t>
    </w:r>
    <w:r w:rsidRPr="00582F4E">
      <w:rPr>
        <w:i/>
        <w:sz w:val="20"/>
        <w:szCs w:val="20"/>
      </w:rPr>
      <w:t>0</w:t>
    </w:r>
    <w:r>
      <w:rPr>
        <w:i/>
        <w:sz w:val="20"/>
        <w:szCs w:val="20"/>
      </w:rPr>
      <w:t>4</w:t>
    </w:r>
    <w:r w:rsidRPr="00582F4E">
      <w:rPr>
        <w:i/>
        <w:sz w:val="20"/>
        <w:szCs w:val="20"/>
      </w:rPr>
      <w:t xml:space="preserve">11_JHAC; informatīvais </w:t>
    </w:r>
    <w:smartTag w:uri="schemas-tilde-lv/tildestengine" w:element="veidnes">
      <w:smartTagPr>
        <w:attr w:name="text" w:val="ziņojums"/>
        <w:attr w:name="baseform" w:val="ziņojums"/>
        <w:attr w:name="id" w:val="-1"/>
      </w:smartTagPr>
      <w:r w:rsidRPr="00582F4E">
        <w:rPr>
          <w:i/>
          <w:sz w:val="20"/>
          <w:szCs w:val="20"/>
        </w:rPr>
        <w:t>ziņojums</w:t>
      </w:r>
    </w:smartTag>
    <w:r w:rsidRPr="00582F4E">
      <w:rPr>
        <w:i/>
        <w:sz w:val="20"/>
        <w:szCs w:val="20"/>
      </w:rPr>
      <w:t xml:space="preserve"> </w:t>
    </w:r>
    <w:r w:rsidRPr="00582F4E">
      <w:rPr>
        <w:bCs/>
        <w:i/>
        <w:sz w:val="20"/>
        <w:szCs w:val="20"/>
      </w:rPr>
      <w:t xml:space="preserve">par </w:t>
    </w:r>
    <w:r w:rsidRPr="00582F4E">
      <w:rPr>
        <w:i/>
        <w:sz w:val="20"/>
        <w:szCs w:val="20"/>
      </w:rPr>
      <w:t xml:space="preserve">Tieslietu un iekšlietu ministru padomes </w:t>
    </w:r>
    <w:r w:rsidRPr="00582F4E">
      <w:rPr>
        <w:bCs/>
        <w:i/>
        <w:sz w:val="20"/>
        <w:szCs w:val="20"/>
      </w:rPr>
      <w:t xml:space="preserve">2011. gada </w:t>
    </w:r>
    <w:r>
      <w:rPr>
        <w:bCs/>
        <w:i/>
        <w:sz w:val="20"/>
        <w:szCs w:val="20"/>
      </w:rPr>
      <w:t>11</w:t>
    </w:r>
    <w:r w:rsidRPr="00582F4E">
      <w:rPr>
        <w:bCs/>
        <w:i/>
        <w:sz w:val="20"/>
        <w:szCs w:val="20"/>
      </w:rPr>
      <w:t xml:space="preserve">.- </w:t>
    </w:r>
    <w:r>
      <w:rPr>
        <w:bCs/>
        <w:i/>
        <w:sz w:val="20"/>
        <w:szCs w:val="20"/>
      </w:rPr>
      <w:t xml:space="preserve">12.aprīļa </w:t>
    </w:r>
    <w:r w:rsidRPr="00582F4E">
      <w:rPr>
        <w:i/>
        <w:sz w:val="20"/>
        <w:szCs w:val="20"/>
      </w:rPr>
      <w:t>sanāksm</w:t>
    </w:r>
    <w:r w:rsidRPr="00582F4E">
      <w:rPr>
        <w:bCs/>
        <w:i/>
        <w:sz w:val="20"/>
        <w:szCs w:val="20"/>
      </w:rPr>
      <w:t xml:space="preserve">ē izskatāmajiem jautājumiem </w:t>
    </w:r>
  </w:p>
  <w:p w:rsidR="00262A30" w:rsidRPr="00582F4E" w:rsidRDefault="00262A30" w:rsidP="00AF3EFE">
    <w:pPr>
      <w:jc w:val="both"/>
      <w:rPr>
        <w:i/>
        <w:sz w:val="20"/>
        <w:szCs w:val="20"/>
      </w:rPr>
    </w:pPr>
  </w:p>
  <w:p w:rsidR="00262A30" w:rsidRPr="00644890" w:rsidRDefault="00262A30" w:rsidP="00AF3EFE">
    <w:pPr>
      <w:pStyle w:val="Kjene"/>
      <w:rPr>
        <w:szCs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A30" w:rsidRDefault="00262A30" w:rsidP="00A70D10">
      <w:r>
        <w:separator/>
      </w:r>
    </w:p>
  </w:footnote>
  <w:footnote w:type="continuationSeparator" w:id="0">
    <w:p w:rsidR="00262A30" w:rsidRDefault="00262A30" w:rsidP="00A70D10">
      <w:r>
        <w:continuationSeparator/>
      </w:r>
    </w:p>
  </w:footnote>
  <w:footnote w:id="1">
    <w:p w:rsidR="00262A30" w:rsidRDefault="00262A30">
      <w:pPr>
        <w:pStyle w:val="Vresteksts"/>
      </w:pPr>
      <w:r>
        <w:rPr>
          <w:rStyle w:val="Vresatsauce"/>
        </w:rPr>
        <w:footnoteRef/>
      </w:r>
      <w:r>
        <w:t xml:space="preserve"> Padomes 2001. gada 15. marta </w:t>
      </w:r>
      <w:proofErr w:type="spellStart"/>
      <w:r>
        <w:t>Ietvarlēmums</w:t>
      </w:r>
      <w:proofErr w:type="spellEnd"/>
      <w:r>
        <w:t xml:space="preserve"> 2001/220/TI par cietušo statusu kriminālprocesā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30" w:rsidRDefault="00A11219">
    <w:pPr>
      <w:pStyle w:val="Galvene"/>
      <w:framePr w:wrap="auto" w:vAnchor="text" w:hAnchor="margin" w:xAlign="center" w:y="1"/>
      <w:rPr>
        <w:rStyle w:val="Lappusesnumurs"/>
      </w:rPr>
    </w:pPr>
    <w:r>
      <w:rPr>
        <w:rStyle w:val="Lappusesnumurs"/>
      </w:rPr>
      <w:fldChar w:fldCharType="begin"/>
    </w:r>
    <w:r w:rsidR="00262A30">
      <w:rPr>
        <w:rStyle w:val="Lappusesnumurs"/>
      </w:rPr>
      <w:instrText xml:space="preserve">PAGE  </w:instrText>
    </w:r>
    <w:r>
      <w:rPr>
        <w:rStyle w:val="Lappusesnumurs"/>
      </w:rPr>
      <w:fldChar w:fldCharType="separate"/>
    </w:r>
    <w:r w:rsidR="000952FD">
      <w:rPr>
        <w:rStyle w:val="Lappusesnumurs"/>
        <w:noProof/>
      </w:rPr>
      <w:t>6</w:t>
    </w:r>
    <w:r>
      <w:rPr>
        <w:rStyle w:val="Lappusesnumurs"/>
      </w:rPr>
      <w:fldChar w:fldCharType="end"/>
    </w:r>
  </w:p>
  <w:p w:rsidR="00262A30" w:rsidRDefault="00262A30">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741C58"/>
    <w:multiLevelType w:val="hybridMultilevel"/>
    <w:tmpl w:val="439E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80961"/>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144B2E14"/>
    <w:multiLevelType w:val="hybridMultilevel"/>
    <w:tmpl w:val="61CA1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9E756C"/>
    <w:multiLevelType w:val="hybridMultilevel"/>
    <w:tmpl w:val="4FF03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931868"/>
    <w:multiLevelType w:val="hybridMultilevel"/>
    <w:tmpl w:val="AD28639C"/>
    <w:lvl w:ilvl="0" w:tplc="5C102D6A">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6">
    <w:nsid w:val="21BC7059"/>
    <w:multiLevelType w:val="hybridMultilevel"/>
    <w:tmpl w:val="6B40F49C"/>
    <w:lvl w:ilvl="0" w:tplc="A2FE53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79B4197"/>
    <w:multiLevelType w:val="hybridMultilevel"/>
    <w:tmpl w:val="4DEE1E3A"/>
    <w:lvl w:ilvl="0" w:tplc="E662F900">
      <w:start w:val="1"/>
      <w:numFmt w:val="decimal"/>
      <w:lvlText w:val="%1."/>
      <w:lvlJc w:val="left"/>
      <w:pPr>
        <w:ind w:left="709" w:hanging="360"/>
      </w:pPr>
      <w:rPr>
        <w:rFonts w:hint="default"/>
        <w:b/>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8">
    <w:nsid w:val="4D836BF4"/>
    <w:multiLevelType w:val="hybridMultilevel"/>
    <w:tmpl w:val="C0C01FEA"/>
    <w:lvl w:ilvl="0" w:tplc="BECC081A">
      <w:start w:val="1"/>
      <w:numFmt w:val="decimal"/>
      <w:lvlText w:val="%1."/>
      <w:lvlJc w:val="left"/>
      <w:pPr>
        <w:ind w:left="1637" w:hanging="360"/>
      </w:pPr>
      <w:rPr>
        <w:rFonts w:hint="default"/>
        <w:i w:val="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4EAA035C"/>
    <w:multiLevelType w:val="hybridMultilevel"/>
    <w:tmpl w:val="381A87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4C2543E"/>
    <w:multiLevelType w:val="hybridMultilevel"/>
    <w:tmpl w:val="DBE6A582"/>
    <w:lvl w:ilvl="0" w:tplc="6C7089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nsid w:val="5A0712EC"/>
    <w:multiLevelType w:val="hybridMultilevel"/>
    <w:tmpl w:val="0B28764C"/>
    <w:lvl w:ilvl="0" w:tplc="AA1205B2">
      <w:start w:val="1"/>
      <w:numFmt w:val="decimal"/>
      <w:lvlText w:val="%1."/>
      <w:lvlJc w:val="left"/>
      <w:pPr>
        <w:ind w:left="1637"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62291D60"/>
    <w:multiLevelType w:val="hybridMultilevel"/>
    <w:tmpl w:val="915E53FC"/>
    <w:lvl w:ilvl="0" w:tplc="6CC2A9E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693035FB"/>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nsid w:val="73705350"/>
    <w:multiLevelType w:val="hybridMultilevel"/>
    <w:tmpl w:val="47BA0C78"/>
    <w:lvl w:ilvl="0" w:tplc="AA5AE67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8523140"/>
    <w:multiLevelType w:val="hybridMultilevel"/>
    <w:tmpl w:val="EDAC6750"/>
    <w:lvl w:ilvl="0" w:tplc="46ACADB0">
      <w:start w:val="1"/>
      <w:numFmt w:val="decimal"/>
      <w:lvlText w:val="%1)"/>
      <w:lvlJc w:val="left"/>
      <w:pPr>
        <w:ind w:left="1212" w:hanging="360"/>
      </w:pPr>
      <w:rPr>
        <w:rFonts w:hint="default"/>
      </w:r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abstractNum w:abstractNumId="16">
    <w:nsid w:val="7C3A15AB"/>
    <w:multiLevelType w:val="hybridMultilevel"/>
    <w:tmpl w:val="DBB6911A"/>
    <w:lvl w:ilvl="0" w:tplc="13D89506">
      <w:start w:val="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
  </w:num>
  <w:num w:numId="5">
    <w:abstractNumId w:val="5"/>
  </w:num>
  <w:num w:numId="6">
    <w:abstractNumId w:val="13"/>
  </w:num>
  <w:num w:numId="7">
    <w:abstractNumId w:val="14"/>
  </w:num>
  <w:num w:numId="8">
    <w:abstractNumId w:val="2"/>
  </w:num>
  <w:num w:numId="9">
    <w:abstractNumId w:val="15"/>
  </w:num>
  <w:num w:numId="10">
    <w:abstractNumId w:val="7"/>
  </w:num>
  <w:num w:numId="11">
    <w:abstractNumId w:val="6"/>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4"/>
  </w:num>
  <w:num w:numId="17">
    <w:abstractNumId w:val="0"/>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3EFE"/>
    <w:rsid w:val="00047D6D"/>
    <w:rsid w:val="0007155C"/>
    <w:rsid w:val="00076F95"/>
    <w:rsid w:val="00080FBE"/>
    <w:rsid w:val="000952FD"/>
    <w:rsid w:val="00096204"/>
    <w:rsid w:val="000D406D"/>
    <w:rsid w:val="000D556B"/>
    <w:rsid w:val="000E7D99"/>
    <w:rsid w:val="000F5E6D"/>
    <w:rsid w:val="0014238C"/>
    <w:rsid w:val="00161011"/>
    <w:rsid w:val="00165B07"/>
    <w:rsid w:val="001729AD"/>
    <w:rsid w:val="0018011D"/>
    <w:rsid w:val="00192C7A"/>
    <w:rsid w:val="0019313D"/>
    <w:rsid w:val="001959F9"/>
    <w:rsid w:val="001A0095"/>
    <w:rsid w:val="001B3261"/>
    <w:rsid w:val="001B4ED9"/>
    <w:rsid w:val="001B5D88"/>
    <w:rsid w:val="001B79BA"/>
    <w:rsid w:val="001C44AB"/>
    <w:rsid w:val="001C7881"/>
    <w:rsid w:val="001D04EC"/>
    <w:rsid w:val="001E604A"/>
    <w:rsid w:val="001F377A"/>
    <w:rsid w:val="001F58ED"/>
    <w:rsid w:val="00204CD6"/>
    <w:rsid w:val="00213AB8"/>
    <w:rsid w:val="00226153"/>
    <w:rsid w:val="00247320"/>
    <w:rsid w:val="00247A3A"/>
    <w:rsid w:val="0025030E"/>
    <w:rsid w:val="00262A30"/>
    <w:rsid w:val="00287CF9"/>
    <w:rsid w:val="00291569"/>
    <w:rsid w:val="00292D2D"/>
    <w:rsid w:val="0029413D"/>
    <w:rsid w:val="00294C62"/>
    <w:rsid w:val="002A2A1A"/>
    <w:rsid w:val="002A653D"/>
    <w:rsid w:val="002E2A94"/>
    <w:rsid w:val="00301BA2"/>
    <w:rsid w:val="00322722"/>
    <w:rsid w:val="00326609"/>
    <w:rsid w:val="0036070D"/>
    <w:rsid w:val="00373EFD"/>
    <w:rsid w:val="00380CB7"/>
    <w:rsid w:val="0038160E"/>
    <w:rsid w:val="0038728E"/>
    <w:rsid w:val="003C0399"/>
    <w:rsid w:val="003C0458"/>
    <w:rsid w:val="003C4F70"/>
    <w:rsid w:val="003D5110"/>
    <w:rsid w:val="003E4392"/>
    <w:rsid w:val="003E66B7"/>
    <w:rsid w:val="00404BD0"/>
    <w:rsid w:val="004167C9"/>
    <w:rsid w:val="004440D9"/>
    <w:rsid w:val="004502EC"/>
    <w:rsid w:val="004525EE"/>
    <w:rsid w:val="00460ACD"/>
    <w:rsid w:val="004631DE"/>
    <w:rsid w:val="0047401D"/>
    <w:rsid w:val="00482865"/>
    <w:rsid w:val="0049284E"/>
    <w:rsid w:val="004B3DE0"/>
    <w:rsid w:val="004C7B2D"/>
    <w:rsid w:val="004D32DC"/>
    <w:rsid w:val="004E0F8D"/>
    <w:rsid w:val="004F03CE"/>
    <w:rsid w:val="004F0E6B"/>
    <w:rsid w:val="004F3719"/>
    <w:rsid w:val="0052132C"/>
    <w:rsid w:val="0053148A"/>
    <w:rsid w:val="005315F4"/>
    <w:rsid w:val="005502BE"/>
    <w:rsid w:val="00551CC0"/>
    <w:rsid w:val="0055378A"/>
    <w:rsid w:val="00557757"/>
    <w:rsid w:val="005660D7"/>
    <w:rsid w:val="00572D7A"/>
    <w:rsid w:val="00582F4E"/>
    <w:rsid w:val="00584BE4"/>
    <w:rsid w:val="005C1483"/>
    <w:rsid w:val="005E01AD"/>
    <w:rsid w:val="005E414C"/>
    <w:rsid w:val="00606F89"/>
    <w:rsid w:val="00642365"/>
    <w:rsid w:val="00650F47"/>
    <w:rsid w:val="006871EB"/>
    <w:rsid w:val="006911EA"/>
    <w:rsid w:val="006A1F4D"/>
    <w:rsid w:val="006B6CAF"/>
    <w:rsid w:val="006B70AF"/>
    <w:rsid w:val="006E209A"/>
    <w:rsid w:val="006E406B"/>
    <w:rsid w:val="006E4E37"/>
    <w:rsid w:val="00701228"/>
    <w:rsid w:val="007044DD"/>
    <w:rsid w:val="007454FC"/>
    <w:rsid w:val="00755917"/>
    <w:rsid w:val="00765D84"/>
    <w:rsid w:val="0076637E"/>
    <w:rsid w:val="007710D9"/>
    <w:rsid w:val="00771BCE"/>
    <w:rsid w:val="0077448C"/>
    <w:rsid w:val="00797603"/>
    <w:rsid w:val="007A3A76"/>
    <w:rsid w:val="007A7028"/>
    <w:rsid w:val="007B112D"/>
    <w:rsid w:val="007C2497"/>
    <w:rsid w:val="007C337E"/>
    <w:rsid w:val="007D23F4"/>
    <w:rsid w:val="007F2316"/>
    <w:rsid w:val="007F461A"/>
    <w:rsid w:val="007F4BB7"/>
    <w:rsid w:val="007F7F98"/>
    <w:rsid w:val="0080035B"/>
    <w:rsid w:val="00826B70"/>
    <w:rsid w:val="00827557"/>
    <w:rsid w:val="008358D8"/>
    <w:rsid w:val="00855279"/>
    <w:rsid w:val="00856313"/>
    <w:rsid w:val="00866FA4"/>
    <w:rsid w:val="008708A7"/>
    <w:rsid w:val="00870C88"/>
    <w:rsid w:val="008952AF"/>
    <w:rsid w:val="008A1FC8"/>
    <w:rsid w:val="008B2572"/>
    <w:rsid w:val="008B5841"/>
    <w:rsid w:val="008C6ED3"/>
    <w:rsid w:val="008E09EF"/>
    <w:rsid w:val="008F2B9C"/>
    <w:rsid w:val="009003E7"/>
    <w:rsid w:val="009034C5"/>
    <w:rsid w:val="00911D09"/>
    <w:rsid w:val="00925970"/>
    <w:rsid w:val="009354EF"/>
    <w:rsid w:val="009365B0"/>
    <w:rsid w:val="00943BDE"/>
    <w:rsid w:val="00962592"/>
    <w:rsid w:val="00966760"/>
    <w:rsid w:val="00966F31"/>
    <w:rsid w:val="00972E57"/>
    <w:rsid w:val="00973667"/>
    <w:rsid w:val="009805D0"/>
    <w:rsid w:val="009869C3"/>
    <w:rsid w:val="0098767D"/>
    <w:rsid w:val="00995E29"/>
    <w:rsid w:val="00996994"/>
    <w:rsid w:val="009A64D1"/>
    <w:rsid w:val="009B57FD"/>
    <w:rsid w:val="009D419B"/>
    <w:rsid w:val="009D6798"/>
    <w:rsid w:val="009D7A48"/>
    <w:rsid w:val="009F0810"/>
    <w:rsid w:val="009F447D"/>
    <w:rsid w:val="009F47AF"/>
    <w:rsid w:val="00A00EB5"/>
    <w:rsid w:val="00A11219"/>
    <w:rsid w:val="00A20EAD"/>
    <w:rsid w:val="00A2327C"/>
    <w:rsid w:val="00A24981"/>
    <w:rsid w:val="00A30452"/>
    <w:rsid w:val="00A36504"/>
    <w:rsid w:val="00A37F6E"/>
    <w:rsid w:val="00A470B8"/>
    <w:rsid w:val="00A5481E"/>
    <w:rsid w:val="00A55792"/>
    <w:rsid w:val="00A651AD"/>
    <w:rsid w:val="00A70D10"/>
    <w:rsid w:val="00A925B0"/>
    <w:rsid w:val="00A97731"/>
    <w:rsid w:val="00AA00CF"/>
    <w:rsid w:val="00AB314F"/>
    <w:rsid w:val="00AB4431"/>
    <w:rsid w:val="00AD0B0C"/>
    <w:rsid w:val="00AD2AFB"/>
    <w:rsid w:val="00AE0C01"/>
    <w:rsid w:val="00AF3EFE"/>
    <w:rsid w:val="00AF4665"/>
    <w:rsid w:val="00B007F6"/>
    <w:rsid w:val="00B12E81"/>
    <w:rsid w:val="00B21578"/>
    <w:rsid w:val="00B32C27"/>
    <w:rsid w:val="00B4203D"/>
    <w:rsid w:val="00B434B6"/>
    <w:rsid w:val="00B54201"/>
    <w:rsid w:val="00B611C6"/>
    <w:rsid w:val="00B6275E"/>
    <w:rsid w:val="00B709BD"/>
    <w:rsid w:val="00B73FFF"/>
    <w:rsid w:val="00B829E1"/>
    <w:rsid w:val="00B94AAE"/>
    <w:rsid w:val="00B964EC"/>
    <w:rsid w:val="00BA0049"/>
    <w:rsid w:val="00BA5642"/>
    <w:rsid w:val="00BA5DC0"/>
    <w:rsid w:val="00BB5407"/>
    <w:rsid w:val="00BD35BC"/>
    <w:rsid w:val="00BD7679"/>
    <w:rsid w:val="00BE3474"/>
    <w:rsid w:val="00BF3462"/>
    <w:rsid w:val="00C03799"/>
    <w:rsid w:val="00C07392"/>
    <w:rsid w:val="00C137BF"/>
    <w:rsid w:val="00C20E89"/>
    <w:rsid w:val="00C36ED9"/>
    <w:rsid w:val="00C43058"/>
    <w:rsid w:val="00C471AC"/>
    <w:rsid w:val="00C643D6"/>
    <w:rsid w:val="00C655A0"/>
    <w:rsid w:val="00C72112"/>
    <w:rsid w:val="00C7575F"/>
    <w:rsid w:val="00C9183E"/>
    <w:rsid w:val="00C926F0"/>
    <w:rsid w:val="00CC1A74"/>
    <w:rsid w:val="00CC45B1"/>
    <w:rsid w:val="00CC780E"/>
    <w:rsid w:val="00CC79A7"/>
    <w:rsid w:val="00CD2350"/>
    <w:rsid w:val="00CF28AC"/>
    <w:rsid w:val="00D01C6F"/>
    <w:rsid w:val="00D03554"/>
    <w:rsid w:val="00D33DF9"/>
    <w:rsid w:val="00D361A4"/>
    <w:rsid w:val="00D56AAC"/>
    <w:rsid w:val="00D61135"/>
    <w:rsid w:val="00D62F8D"/>
    <w:rsid w:val="00D860BB"/>
    <w:rsid w:val="00D91A10"/>
    <w:rsid w:val="00DB1FC3"/>
    <w:rsid w:val="00DB5F8C"/>
    <w:rsid w:val="00DB6E73"/>
    <w:rsid w:val="00DD007F"/>
    <w:rsid w:val="00DD42A9"/>
    <w:rsid w:val="00DF0668"/>
    <w:rsid w:val="00DF2CAC"/>
    <w:rsid w:val="00E0206B"/>
    <w:rsid w:val="00E0698D"/>
    <w:rsid w:val="00E311F8"/>
    <w:rsid w:val="00E318FA"/>
    <w:rsid w:val="00E51B15"/>
    <w:rsid w:val="00E61C0B"/>
    <w:rsid w:val="00E80699"/>
    <w:rsid w:val="00E830CE"/>
    <w:rsid w:val="00E91C07"/>
    <w:rsid w:val="00EA1553"/>
    <w:rsid w:val="00EC6D9E"/>
    <w:rsid w:val="00ED08F7"/>
    <w:rsid w:val="00ED2005"/>
    <w:rsid w:val="00EF59C6"/>
    <w:rsid w:val="00EF67A3"/>
    <w:rsid w:val="00F105D6"/>
    <w:rsid w:val="00F1080F"/>
    <w:rsid w:val="00F23888"/>
    <w:rsid w:val="00F40C63"/>
    <w:rsid w:val="00F455F8"/>
    <w:rsid w:val="00F87D76"/>
    <w:rsid w:val="00F9432E"/>
    <w:rsid w:val="00FC5BF6"/>
    <w:rsid w:val="00FF3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F3EFE"/>
    <w:pPr>
      <w:spacing w:after="0" w:line="240" w:lineRule="auto"/>
    </w:pPr>
    <w:rPr>
      <w:rFonts w:ascii="Times New Roman" w:eastAsia="Times New Roman" w:hAnsi="Times New Roman" w:cs="Times New Roman"/>
      <w:sz w:val="24"/>
      <w:szCs w:val="24"/>
    </w:rPr>
  </w:style>
  <w:style w:type="paragraph" w:styleId="Virsraksts5">
    <w:name w:val="heading 5"/>
    <w:basedOn w:val="Parastais"/>
    <w:next w:val="Parastais"/>
    <w:link w:val="Virsraksts5Rakstz"/>
    <w:qFormat/>
    <w:rsid w:val="00E0698D"/>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AF3EFE"/>
    <w:pPr>
      <w:tabs>
        <w:tab w:val="center" w:pos="4320"/>
        <w:tab w:val="right" w:pos="8640"/>
      </w:tabs>
    </w:pPr>
    <w:rPr>
      <w:lang w:val="en-US"/>
    </w:rPr>
  </w:style>
  <w:style w:type="character" w:customStyle="1" w:styleId="KjeneRakstz">
    <w:name w:val="Kājene Rakstz."/>
    <w:basedOn w:val="Noklusjumarindkopasfonts"/>
    <w:link w:val="Kjene"/>
    <w:rsid w:val="00AF3EFE"/>
    <w:rPr>
      <w:rFonts w:ascii="Times New Roman" w:eastAsia="Times New Roman" w:hAnsi="Times New Roman" w:cs="Times New Roman"/>
      <w:sz w:val="24"/>
      <w:szCs w:val="24"/>
      <w:lang w:val="en-US"/>
    </w:rPr>
  </w:style>
  <w:style w:type="paragraph" w:styleId="Galvene">
    <w:name w:val="header"/>
    <w:basedOn w:val="Parastais"/>
    <w:link w:val="GalveneRakstz"/>
    <w:rsid w:val="00AF3EFE"/>
    <w:pPr>
      <w:tabs>
        <w:tab w:val="center" w:pos="4153"/>
        <w:tab w:val="right" w:pos="8306"/>
      </w:tabs>
    </w:pPr>
  </w:style>
  <w:style w:type="character" w:customStyle="1" w:styleId="GalveneRakstz">
    <w:name w:val="Galvene Rakstz."/>
    <w:basedOn w:val="Noklusjumarindkopasfonts"/>
    <w:link w:val="Galvene"/>
    <w:rsid w:val="00AF3EFE"/>
    <w:rPr>
      <w:rFonts w:ascii="Times New Roman" w:eastAsia="Times New Roman" w:hAnsi="Times New Roman" w:cs="Times New Roman"/>
      <w:sz w:val="24"/>
      <w:szCs w:val="24"/>
    </w:rPr>
  </w:style>
  <w:style w:type="paragraph" w:styleId="Pamatteksts2">
    <w:name w:val="Body Text 2"/>
    <w:basedOn w:val="Parastais"/>
    <w:link w:val="Pamatteksts2Rakstz"/>
    <w:rsid w:val="00AF3EFE"/>
    <w:pPr>
      <w:jc w:val="center"/>
    </w:pPr>
    <w:rPr>
      <w:sz w:val="32"/>
      <w:szCs w:val="32"/>
    </w:rPr>
  </w:style>
  <w:style w:type="character" w:customStyle="1" w:styleId="Pamatteksts2Rakstz">
    <w:name w:val="Pamatteksts 2 Rakstz."/>
    <w:basedOn w:val="Noklusjumarindkopasfonts"/>
    <w:link w:val="Pamatteksts2"/>
    <w:rsid w:val="00AF3EFE"/>
    <w:rPr>
      <w:rFonts w:ascii="Times New Roman" w:eastAsia="Times New Roman" w:hAnsi="Times New Roman" w:cs="Times New Roman"/>
      <w:sz w:val="32"/>
      <w:szCs w:val="32"/>
    </w:rPr>
  </w:style>
  <w:style w:type="paragraph" w:styleId="Komentrateksts">
    <w:name w:val="annotation text"/>
    <w:basedOn w:val="Parastais"/>
    <w:link w:val="KomentratekstsRakstz"/>
    <w:uiPriority w:val="99"/>
    <w:semiHidden/>
    <w:rsid w:val="00AF3EFE"/>
    <w:rPr>
      <w:sz w:val="20"/>
      <w:szCs w:val="20"/>
    </w:rPr>
  </w:style>
  <w:style w:type="character" w:customStyle="1" w:styleId="KomentratekstsRakstz">
    <w:name w:val="Komentāra teksts Rakstz."/>
    <w:basedOn w:val="Noklusjumarindkopasfonts"/>
    <w:link w:val="Komentrateksts"/>
    <w:uiPriority w:val="99"/>
    <w:semiHidden/>
    <w:rsid w:val="00AF3EFE"/>
    <w:rPr>
      <w:rFonts w:ascii="Times New Roman" w:eastAsia="Times New Roman" w:hAnsi="Times New Roman" w:cs="Times New Roman"/>
      <w:sz w:val="20"/>
      <w:szCs w:val="20"/>
    </w:rPr>
  </w:style>
  <w:style w:type="character" w:styleId="Lappusesnumurs">
    <w:name w:val="page number"/>
    <w:basedOn w:val="Noklusjumarindkopasfonts"/>
    <w:rsid w:val="00AF3EFE"/>
    <w:rPr>
      <w:rFonts w:cs="Times New Roman"/>
    </w:rPr>
  </w:style>
  <w:style w:type="paragraph" w:styleId="Pamatteksts">
    <w:name w:val="Body Text"/>
    <w:basedOn w:val="Parastais"/>
    <w:link w:val="PamattekstsRakstz"/>
    <w:rsid w:val="00AF3EFE"/>
    <w:pPr>
      <w:spacing w:after="120"/>
    </w:pPr>
  </w:style>
  <w:style w:type="character" w:customStyle="1" w:styleId="PamattekstsRakstz">
    <w:name w:val="Pamatteksts Rakstz."/>
    <w:basedOn w:val="Noklusjumarindkopasfonts"/>
    <w:link w:val="Pamatteksts"/>
    <w:rsid w:val="00AF3EFE"/>
    <w:rPr>
      <w:rFonts w:ascii="Times New Roman" w:eastAsia="Times New Roman" w:hAnsi="Times New Roman" w:cs="Times New Roman"/>
      <w:sz w:val="24"/>
      <w:szCs w:val="24"/>
    </w:rPr>
  </w:style>
  <w:style w:type="paragraph" w:styleId="Nosaukums">
    <w:name w:val="Title"/>
    <w:basedOn w:val="Parastais"/>
    <w:link w:val="NosaukumsRakstz"/>
    <w:qFormat/>
    <w:rsid w:val="00AF3EFE"/>
    <w:pPr>
      <w:jc w:val="center"/>
    </w:pPr>
    <w:rPr>
      <w:b/>
      <w:bCs/>
    </w:rPr>
  </w:style>
  <w:style w:type="character" w:customStyle="1" w:styleId="NosaukumsRakstz">
    <w:name w:val="Nosaukums Rakstz."/>
    <w:basedOn w:val="Noklusjumarindkopasfonts"/>
    <w:link w:val="Nosaukums"/>
    <w:rsid w:val="00AF3EFE"/>
    <w:rPr>
      <w:rFonts w:ascii="Times New Roman" w:eastAsia="Times New Roman" w:hAnsi="Times New Roman" w:cs="Times New Roman"/>
      <w:b/>
      <w:bCs/>
      <w:sz w:val="24"/>
      <w:szCs w:val="24"/>
    </w:rPr>
  </w:style>
  <w:style w:type="paragraph" w:customStyle="1" w:styleId="Agendapoint2text">
    <w:name w:val="Agenda point 2 text"/>
    <w:basedOn w:val="Parastais"/>
    <w:rsid w:val="00AF3EFE"/>
    <w:pPr>
      <w:autoSpaceDE w:val="0"/>
      <w:autoSpaceDN w:val="0"/>
      <w:ind w:left="1134" w:hanging="567"/>
    </w:pPr>
    <w:rPr>
      <w:rFonts w:eastAsia="Calibri"/>
      <w:lang w:eastAsia="lv-LV"/>
    </w:rPr>
  </w:style>
  <w:style w:type="paragraph" w:styleId="Sarakstarindkopa">
    <w:name w:val="List Paragraph"/>
    <w:basedOn w:val="Parastais"/>
    <w:uiPriority w:val="34"/>
    <w:qFormat/>
    <w:rsid w:val="00AF3EFE"/>
    <w:pPr>
      <w:ind w:left="720"/>
      <w:contextualSpacing/>
    </w:pPr>
  </w:style>
  <w:style w:type="paragraph" w:customStyle="1" w:styleId="Text1">
    <w:name w:val="Text 1"/>
    <w:basedOn w:val="Parastais"/>
    <w:rsid w:val="00AF3EFE"/>
    <w:pPr>
      <w:spacing w:before="120" w:after="120"/>
      <w:ind w:left="850"/>
      <w:jc w:val="both"/>
    </w:pPr>
    <w:rPr>
      <w:lang w:eastAsia="en-GB"/>
    </w:rPr>
  </w:style>
  <w:style w:type="paragraph" w:styleId="Vienkrsteksts">
    <w:name w:val="Plain Text"/>
    <w:basedOn w:val="Parastais"/>
    <w:link w:val="VienkrstekstsRakstz"/>
    <w:uiPriority w:val="99"/>
    <w:rsid w:val="00AF3EFE"/>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uiPriority w:val="99"/>
    <w:rsid w:val="00AF3EFE"/>
    <w:rPr>
      <w:rFonts w:ascii="Times New Roman" w:eastAsia="Times New Roman" w:hAnsi="Times New Roman" w:cs="Times New Roman"/>
      <w:snapToGrid w:val="0"/>
      <w:szCs w:val="20"/>
      <w:lang w:val="en-GB"/>
    </w:rPr>
  </w:style>
  <w:style w:type="character" w:customStyle="1" w:styleId="Virsraksts5Rakstz">
    <w:name w:val="Virsraksts 5 Rakstz."/>
    <w:basedOn w:val="Noklusjumarindkopasfonts"/>
    <w:link w:val="Virsraksts5"/>
    <w:rsid w:val="00E0698D"/>
    <w:rPr>
      <w:rFonts w:ascii="Times New Roman" w:eastAsia="Times New Roman" w:hAnsi="Times New Roman" w:cs="Times New Roman"/>
      <w:b/>
      <w:bCs/>
      <w:sz w:val="24"/>
      <w:szCs w:val="24"/>
      <w:u w:val="single"/>
    </w:rPr>
  </w:style>
  <w:style w:type="character" w:styleId="Hipersaite">
    <w:name w:val="Hyperlink"/>
    <w:basedOn w:val="Noklusjumarindkopasfonts"/>
    <w:uiPriority w:val="99"/>
    <w:unhideWhenUsed/>
    <w:rsid w:val="00E61C0B"/>
    <w:rPr>
      <w:color w:val="0000FF" w:themeColor="hyperlink"/>
      <w:u w:val="single"/>
    </w:rPr>
  </w:style>
  <w:style w:type="paragraph" w:customStyle="1" w:styleId="Point1">
    <w:name w:val="Point 1"/>
    <w:basedOn w:val="Parastais"/>
    <w:rsid w:val="00E61C0B"/>
    <w:pPr>
      <w:spacing w:before="120" w:after="120"/>
      <w:ind w:left="1417" w:hanging="567"/>
      <w:jc w:val="both"/>
    </w:pPr>
    <w:rPr>
      <w:lang w:eastAsia="en-GB"/>
    </w:rPr>
  </w:style>
  <w:style w:type="paragraph" w:customStyle="1" w:styleId="EntEmet">
    <w:name w:val="EntEmet"/>
    <w:basedOn w:val="Parastais"/>
    <w:rsid w:val="00DB6E73"/>
    <w:pPr>
      <w:tabs>
        <w:tab w:val="left" w:pos="284"/>
        <w:tab w:val="left" w:pos="567"/>
        <w:tab w:val="left" w:pos="851"/>
        <w:tab w:val="left" w:pos="1134"/>
        <w:tab w:val="left" w:pos="1418"/>
      </w:tabs>
      <w:spacing w:before="40"/>
    </w:pPr>
    <w:rPr>
      <w:szCs w:val="20"/>
      <w:lang w:eastAsia="fr-BE"/>
    </w:rPr>
  </w:style>
  <w:style w:type="paragraph" w:styleId="Vresteksts">
    <w:name w:val="footnote text"/>
    <w:basedOn w:val="Parastais"/>
    <w:link w:val="VrestekstsRakstz"/>
    <w:rsid w:val="007044DD"/>
    <w:pPr>
      <w:suppressAutoHyphens/>
      <w:ind w:left="720" w:hanging="720"/>
      <w:jc w:val="both"/>
    </w:pPr>
    <w:rPr>
      <w:sz w:val="20"/>
      <w:szCs w:val="20"/>
      <w:lang w:eastAsia="ar-SA"/>
    </w:rPr>
  </w:style>
  <w:style w:type="character" w:customStyle="1" w:styleId="VrestekstsRakstz">
    <w:name w:val="Vēres teksts Rakstz."/>
    <w:basedOn w:val="Noklusjumarindkopasfonts"/>
    <w:link w:val="Vresteksts"/>
    <w:rsid w:val="007044DD"/>
    <w:rPr>
      <w:rFonts w:ascii="Times New Roman" w:eastAsia="Times New Roman" w:hAnsi="Times New Roman" w:cs="Times New Roman"/>
      <w:sz w:val="20"/>
      <w:szCs w:val="20"/>
      <w:lang w:eastAsia="ar-SA"/>
    </w:rPr>
  </w:style>
  <w:style w:type="character" w:styleId="Vresatsauce">
    <w:name w:val="footnote reference"/>
    <w:basedOn w:val="Noklusjumarindkopasfonts"/>
    <w:unhideWhenUsed/>
    <w:rsid w:val="007044DD"/>
    <w:rPr>
      <w:vertAlign w:val="superscript"/>
    </w:rPr>
  </w:style>
  <w:style w:type="character" w:customStyle="1" w:styleId="longtext1">
    <w:name w:val="long_text1"/>
    <w:basedOn w:val="Noklusjumarindkopasfonts"/>
    <w:rsid w:val="004B3DE0"/>
    <w:rPr>
      <w:sz w:val="20"/>
      <w:szCs w:val="20"/>
    </w:rPr>
  </w:style>
  <w:style w:type="paragraph" w:customStyle="1" w:styleId="naiskr">
    <w:name w:val="naiskr"/>
    <w:basedOn w:val="Parastais"/>
    <w:uiPriority w:val="99"/>
    <w:rsid w:val="004B3DE0"/>
    <w:pPr>
      <w:spacing w:before="100" w:after="100"/>
    </w:pPr>
    <w:rPr>
      <w:szCs w:val="20"/>
      <w:lang w:val="en-GB" w:eastAsia="lv-LV"/>
    </w:rPr>
  </w:style>
  <w:style w:type="paragraph" w:customStyle="1" w:styleId="Emission">
    <w:name w:val="Emission"/>
    <w:basedOn w:val="Parastais"/>
    <w:next w:val="Parastais"/>
    <w:rsid w:val="008708A7"/>
    <w:pPr>
      <w:ind w:left="5103"/>
    </w:pPr>
    <w:rPr>
      <w:snapToGrid w:val="0"/>
      <w:lang w:val="en-GB" w:eastAsia="en-GB"/>
    </w:rPr>
  </w:style>
  <w:style w:type="paragraph" w:customStyle="1" w:styleId="Plain">
    <w:name w:val="Plain"/>
    <w:aliases w:val="Text4"/>
    <w:basedOn w:val="Parastais"/>
    <w:link w:val="Plain1"/>
    <w:uiPriority w:val="99"/>
    <w:rsid w:val="001B4ED9"/>
    <w:pPr>
      <w:widowControl w:val="0"/>
      <w:jc w:val="both"/>
    </w:pPr>
    <w:rPr>
      <w:sz w:val="22"/>
      <w:szCs w:val="22"/>
      <w:lang w:val="en-GB"/>
    </w:rPr>
  </w:style>
  <w:style w:type="character" w:customStyle="1" w:styleId="Plain1">
    <w:name w:val="Plain1"/>
    <w:aliases w:val="Text3,Char"/>
    <w:basedOn w:val="Noklusjumarindkopasfonts"/>
    <w:link w:val="Plain"/>
    <w:uiPriority w:val="99"/>
    <w:locked/>
    <w:rsid w:val="001B4ED9"/>
    <w:rPr>
      <w:rFonts w:ascii="Times New Roman" w:eastAsia="Times New Roman" w:hAnsi="Times New Roman" w:cs="Times New Roman"/>
      <w:lang w:val="en-GB"/>
    </w:rPr>
  </w:style>
  <w:style w:type="paragraph" w:customStyle="1" w:styleId="Sarakstarindkopa1">
    <w:name w:val="Saraksta rindkopa1"/>
    <w:basedOn w:val="Parastais"/>
    <w:uiPriority w:val="99"/>
    <w:rsid w:val="001B4ED9"/>
    <w:pPr>
      <w:suppressAutoHyphens/>
      <w:spacing w:before="75" w:after="75"/>
      <w:ind w:left="720" w:right="225"/>
    </w:pPr>
    <w:rPr>
      <w:sz w:val="22"/>
      <w:szCs w:val="22"/>
      <w:lang w:val="fr-FR" w:eastAsia="ar-SA"/>
    </w:rPr>
  </w:style>
  <w:style w:type="character" w:styleId="Komentraatsauce">
    <w:name w:val="annotation reference"/>
    <w:basedOn w:val="Noklusjumarindkopasfonts"/>
    <w:uiPriority w:val="99"/>
    <w:semiHidden/>
    <w:unhideWhenUsed/>
    <w:rsid w:val="00797603"/>
    <w:rPr>
      <w:sz w:val="16"/>
      <w:szCs w:val="16"/>
    </w:rPr>
  </w:style>
  <w:style w:type="paragraph" w:styleId="Balonteksts">
    <w:name w:val="Balloon Text"/>
    <w:basedOn w:val="Parastais"/>
    <w:link w:val="BalontekstsRakstz"/>
    <w:uiPriority w:val="99"/>
    <w:semiHidden/>
    <w:unhideWhenUsed/>
    <w:rsid w:val="0079760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7603"/>
    <w:rPr>
      <w:rFonts w:ascii="Tahoma" w:eastAsia="Times New Roman" w:hAnsi="Tahoma" w:cs="Tahoma"/>
      <w:sz w:val="16"/>
      <w:szCs w:val="16"/>
    </w:rPr>
  </w:style>
  <w:style w:type="character" w:styleId="Izteiksmgs">
    <w:name w:val="Strong"/>
    <w:basedOn w:val="Noklusjumarindkopasfonts"/>
    <w:uiPriority w:val="22"/>
    <w:qFormat/>
    <w:rsid w:val="00D61135"/>
    <w:rPr>
      <w:b/>
      <w:bCs/>
    </w:rPr>
  </w:style>
  <w:style w:type="paragraph" w:customStyle="1" w:styleId="5Normal">
    <w:name w:val="5 Normal"/>
    <w:rsid w:val="001D04E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napToGrid w:val="0"/>
      <w:spacing w:val="-2"/>
      <w:szCs w:val="20"/>
      <w:lang w:val="en-GB" w:eastAsia="en-GB"/>
    </w:rPr>
  </w:style>
  <w:style w:type="paragraph" w:customStyle="1" w:styleId="Prliminairetype">
    <w:name w:val="Préliminaire type"/>
    <w:basedOn w:val="Parastais"/>
    <w:next w:val="Parastais"/>
    <w:rsid w:val="00326609"/>
    <w:pPr>
      <w:spacing w:before="360"/>
      <w:jc w:val="center"/>
    </w:pPr>
    <w:rPr>
      <w:b/>
      <w:lang w:eastAsia="en-GB"/>
    </w:rPr>
  </w:style>
  <w:style w:type="paragraph" w:customStyle="1" w:styleId="Sarakstarindkopa2">
    <w:name w:val="Saraksta rindkopa2"/>
    <w:basedOn w:val="Parastais"/>
    <w:rsid w:val="00D56AAC"/>
    <w:pPr>
      <w:ind w:left="720"/>
    </w:pPr>
    <w:rPr>
      <w:rFonts w:ascii="Calibri" w:hAnsi="Calibri"/>
      <w:sz w:val="22"/>
      <w:szCs w:val="22"/>
      <w:lang w:eastAsia="lv-LV"/>
    </w:rPr>
  </w:style>
</w:styles>
</file>

<file path=word/webSettings.xml><?xml version="1.0" encoding="utf-8"?>
<w:webSettings xmlns:r="http://schemas.openxmlformats.org/officeDocument/2006/relationships" xmlns:w="http://schemas.openxmlformats.org/wordprocessingml/2006/main">
  <w:divs>
    <w:div w:id="603198407">
      <w:bodyDiv w:val="1"/>
      <w:marLeft w:val="0"/>
      <w:marRight w:val="0"/>
      <w:marTop w:val="0"/>
      <w:marBottom w:val="0"/>
      <w:divBdr>
        <w:top w:val="none" w:sz="0" w:space="0" w:color="auto"/>
        <w:left w:val="none" w:sz="0" w:space="0" w:color="auto"/>
        <w:bottom w:val="none" w:sz="0" w:space="0" w:color="auto"/>
        <w:right w:val="none" w:sz="0" w:space="0" w:color="auto"/>
      </w:divBdr>
    </w:div>
    <w:div w:id="753360596">
      <w:bodyDiv w:val="1"/>
      <w:marLeft w:val="0"/>
      <w:marRight w:val="0"/>
      <w:marTop w:val="0"/>
      <w:marBottom w:val="0"/>
      <w:divBdr>
        <w:top w:val="none" w:sz="0" w:space="0" w:color="auto"/>
        <w:left w:val="none" w:sz="0" w:space="0" w:color="auto"/>
        <w:bottom w:val="none" w:sz="0" w:space="0" w:color="auto"/>
        <w:right w:val="none" w:sz="0" w:space="0" w:color="auto"/>
      </w:divBdr>
    </w:div>
    <w:div w:id="912744119">
      <w:bodyDiv w:val="1"/>
      <w:marLeft w:val="0"/>
      <w:marRight w:val="0"/>
      <w:marTop w:val="0"/>
      <w:marBottom w:val="0"/>
      <w:divBdr>
        <w:top w:val="none" w:sz="0" w:space="0" w:color="auto"/>
        <w:left w:val="none" w:sz="0" w:space="0" w:color="auto"/>
        <w:bottom w:val="none" w:sz="0" w:space="0" w:color="auto"/>
        <w:right w:val="none" w:sz="0" w:space="0" w:color="auto"/>
      </w:divBdr>
    </w:div>
    <w:div w:id="994527151">
      <w:bodyDiv w:val="1"/>
      <w:marLeft w:val="0"/>
      <w:marRight w:val="0"/>
      <w:marTop w:val="0"/>
      <w:marBottom w:val="0"/>
      <w:divBdr>
        <w:top w:val="none" w:sz="0" w:space="0" w:color="auto"/>
        <w:left w:val="none" w:sz="0" w:space="0" w:color="auto"/>
        <w:bottom w:val="none" w:sz="0" w:space="0" w:color="auto"/>
        <w:right w:val="none" w:sz="0" w:space="0" w:color="auto"/>
      </w:divBdr>
    </w:div>
    <w:div w:id="1189445545">
      <w:bodyDiv w:val="1"/>
      <w:marLeft w:val="0"/>
      <w:marRight w:val="0"/>
      <w:marTop w:val="0"/>
      <w:marBottom w:val="0"/>
      <w:divBdr>
        <w:top w:val="none" w:sz="0" w:space="0" w:color="auto"/>
        <w:left w:val="none" w:sz="0" w:space="0" w:color="auto"/>
        <w:bottom w:val="none" w:sz="0" w:space="0" w:color="auto"/>
        <w:right w:val="none" w:sz="0" w:space="0" w:color="auto"/>
      </w:divBdr>
    </w:div>
    <w:div w:id="1459178826">
      <w:bodyDiv w:val="1"/>
      <w:marLeft w:val="0"/>
      <w:marRight w:val="0"/>
      <w:marTop w:val="0"/>
      <w:marBottom w:val="0"/>
      <w:divBdr>
        <w:top w:val="none" w:sz="0" w:space="0" w:color="auto"/>
        <w:left w:val="none" w:sz="0" w:space="0" w:color="auto"/>
        <w:bottom w:val="none" w:sz="0" w:space="0" w:color="auto"/>
        <w:right w:val="none" w:sz="0" w:space="0" w:color="auto"/>
      </w:divBdr>
    </w:div>
    <w:div w:id="1570192754">
      <w:bodyDiv w:val="1"/>
      <w:marLeft w:val="0"/>
      <w:marRight w:val="0"/>
      <w:marTop w:val="0"/>
      <w:marBottom w:val="0"/>
      <w:divBdr>
        <w:top w:val="none" w:sz="0" w:space="0" w:color="auto"/>
        <w:left w:val="none" w:sz="0" w:space="0" w:color="auto"/>
        <w:bottom w:val="none" w:sz="0" w:space="0" w:color="auto"/>
        <w:right w:val="none" w:sz="0" w:space="0" w:color="auto"/>
      </w:divBdr>
    </w:div>
    <w:div w:id="1594782977">
      <w:bodyDiv w:val="1"/>
      <w:marLeft w:val="0"/>
      <w:marRight w:val="0"/>
      <w:marTop w:val="0"/>
      <w:marBottom w:val="0"/>
      <w:divBdr>
        <w:top w:val="none" w:sz="0" w:space="0" w:color="auto"/>
        <w:left w:val="none" w:sz="0" w:space="0" w:color="auto"/>
        <w:bottom w:val="none" w:sz="0" w:space="0" w:color="auto"/>
        <w:right w:val="none" w:sz="0" w:space="0" w:color="auto"/>
      </w:divBdr>
    </w:div>
    <w:div w:id="1724791895">
      <w:bodyDiv w:val="1"/>
      <w:marLeft w:val="0"/>
      <w:marRight w:val="0"/>
      <w:marTop w:val="0"/>
      <w:marBottom w:val="0"/>
      <w:divBdr>
        <w:top w:val="none" w:sz="0" w:space="0" w:color="auto"/>
        <w:left w:val="none" w:sz="0" w:space="0" w:color="auto"/>
        <w:bottom w:val="none" w:sz="0" w:space="0" w:color="auto"/>
        <w:right w:val="none" w:sz="0" w:space="0" w:color="auto"/>
      </w:divBdr>
    </w:div>
    <w:div w:id="2088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Skrjabin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FDBD-4B78-4BD7-B4FE-426AE317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6</Pages>
  <Words>10967</Words>
  <Characters>6252</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
    </vt:vector>
  </TitlesOfParts>
  <Company>Tieslietu Ministrija</Company>
  <LinksUpToDate>false</LinksUpToDate>
  <CharactersWithSpaces>17185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Tieslietu un iekšlietu ministru padomes 2011. gada 11.-12. aprīļa sanāksmē izskatāmajiem jautājumiem </dc:subject>
  <dc:creator>Anna Skrjabina </dc:creator>
  <cp:keywords/>
  <dc:description>Anna.Skrjabina@tm.gov.lv; 67036915 </dc:description>
  <cp:lastModifiedBy>as1501</cp:lastModifiedBy>
  <cp:revision>138</cp:revision>
  <cp:lastPrinted>2011-02-18T13:48:00Z</cp:lastPrinted>
  <dcterms:created xsi:type="dcterms:W3CDTF">2010-05-27T12:54:00Z</dcterms:created>
  <dcterms:modified xsi:type="dcterms:W3CDTF">2011-04-01T10:39:00Z</dcterms:modified>
</cp:coreProperties>
</file>