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DB" w:rsidRPr="00E73951" w:rsidRDefault="001C09DB" w:rsidP="001C09DB">
      <w:pPr>
        <w:pStyle w:val="Nosaukums"/>
        <w:outlineLvl w:val="0"/>
      </w:pPr>
      <w:bookmarkStart w:id="0" w:name="OLE_LINK7"/>
      <w:bookmarkStart w:id="1" w:name="OLE_LINK8"/>
      <w:bookmarkStart w:id="2" w:name="OLE_LINK9"/>
      <w:bookmarkStart w:id="3" w:name="OLE_LINK10"/>
      <w:bookmarkStart w:id="4" w:name="OLE_LINK2"/>
      <w:r w:rsidRPr="00E73951">
        <w:t>Informatīvais ziņojums</w:t>
      </w:r>
    </w:p>
    <w:p w:rsidR="001C09DB" w:rsidRPr="00E73951" w:rsidRDefault="00F107E6" w:rsidP="001C09DB">
      <w:pPr>
        <w:jc w:val="center"/>
        <w:rPr>
          <w:b/>
          <w:bCs/>
        </w:rPr>
      </w:pPr>
      <w:bookmarkStart w:id="5" w:name="OLE_LINK5"/>
      <w:bookmarkStart w:id="6" w:name="OLE_LINK6"/>
      <w:bookmarkStart w:id="7" w:name="OLE_LINK1"/>
      <w:bookmarkEnd w:id="0"/>
      <w:bookmarkEnd w:id="1"/>
      <w:r w:rsidRPr="00E73951">
        <w:rPr>
          <w:b/>
          <w:bCs/>
        </w:rPr>
        <w:t xml:space="preserve">par Eiropas Savienības </w:t>
      </w:r>
      <w:r w:rsidR="001C09DB" w:rsidRPr="00E73951">
        <w:rPr>
          <w:b/>
        </w:rPr>
        <w:t xml:space="preserve">Tieslietu un iekšlietu ministru padomes </w:t>
      </w:r>
      <w:r w:rsidR="001C09DB" w:rsidRPr="00E73951">
        <w:rPr>
          <w:b/>
          <w:bCs/>
        </w:rPr>
        <w:t>201</w:t>
      </w:r>
      <w:r w:rsidR="005208EF" w:rsidRPr="00E73951">
        <w:rPr>
          <w:b/>
          <w:bCs/>
        </w:rPr>
        <w:t>2</w:t>
      </w:r>
      <w:r w:rsidR="001C09DB" w:rsidRPr="00E73951">
        <w:rPr>
          <w:b/>
          <w:bCs/>
        </w:rPr>
        <w:t xml:space="preserve">. gada </w:t>
      </w:r>
      <w:r w:rsidR="00525979" w:rsidRPr="00E73951">
        <w:rPr>
          <w:b/>
          <w:bCs/>
        </w:rPr>
        <w:t>7.-8.jūnija</w:t>
      </w:r>
      <w:r w:rsidR="001C09DB" w:rsidRPr="00E73951">
        <w:rPr>
          <w:b/>
          <w:bCs/>
        </w:rPr>
        <w:t xml:space="preserve"> </w:t>
      </w:r>
      <w:r w:rsidR="001C09DB" w:rsidRPr="00E73951">
        <w:rPr>
          <w:b/>
        </w:rPr>
        <w:t>sanāksm</w:t>
      </w:r>
      <w:r w:rsidR="001C09DB" w:rsidRPr="00E73951">
        <w:rPr>
          <w:b/>
          <w:bCs/>
        </w:rPr>
        <w:t xml:space="preserve">ē izskatāmajiem jautājumiem </w:t>
      </w:r>
    </w:p>
    <w:bookmarkEnd w:id="2"/>
    <w:bookmarkEnd w:id="3"/>
    <w:bookmarkEnd w:id="5"/>
    <w:bookmarkEnd w:id="6"/>
    <w:bookmarkEnd w:id="7"/>
    <w:bookmarkEnd w:id="4"/>
    <w:p w:rsidR="001C09DB" w:rsidRPr="00E73951" w:rsidRDefault="001C09DB" w:rsidP="001C09DB">
      <w:pPr>
        <w:jc w:val="center"/>
      </w:pPr>
    </w:p>
    <w:p w:rsidR="001C09DB" w:rsidRPr="00E73951" w:rsidRDefault="001C09DB" w:rsidP="001C09DB">
      <w:pPr>
        <w:pStyle w:val="Virsraksts5"/>
        <w:jc w:val="both"/>
      </w:pPr>
      <w:r w:rsidRPr="00E73951">
        <w:t>I Ministru padomes sanāksmes darba kārtība</w:t>
      </w:r>
    </w:p>
    <w:p w:rsidR="001C09DB" w:rsidRPr="00E73951" w:rsidRDefault="001C09DB" w:rsidP="002B7DB3">
      <w:pPr>
        <w:jc w:val="both"/>
      </w:pPr>
    </w:p>
    <w:p w:rsidR="001C09DB" w:rsidRPr="00E73951" w:rsidRDefault="005208EF" w:rsidP="002B7DB3">
      <w:pPr>
        <w:ind w:firstLine="720"/>
        <w:jc w:val="both"/>
      </w:pPr>
      <w:r w:rsidRPr="00E73951">
        <w:t>Luksemburgā,</w:t>
      </w:r>
      <w:r w:rsidR="001C09DB" w:rsidRPr="00E73951">
        <w:t xml:space="preserve"> 201</w:t>
      </w:r>
      <w:r w:rsidRPr="00E73951">
        <w:t>2</w:t>
      </w:r>
      <w:r w:rsidR="001C09DB" w:rsidRPr="00E73951">
        <w:t>.</w:t>
      </w:r>
      <w:r w:rsidRPr="00E73951">
        <w:t> </w:t>
      </w:r>
      <w:r w:rsidR="001C09DB" w:rsidRPr="00E73951">
        <w:rPr>
          <w:bCs/>
        </w:rPr>
        <w:t xml:space="preserve">gada </w:t>
      </w:r>
      <w:r w:rsidR="00525979" w:rsidRPr="00E73951">
        <w:rPr>
          <w:bCs/>
        </w:rPr>
        <w:t>7.-8.jūnijā</w:t>
      </w:r>
      <w:r w:rsidRPr="00E73951">
        <w:rPr>
          <w:bCs/>
        </w:rPr>
        <w:t xml:space="preserve">, </w:t>
      </w:r>
      <w:r w:rsidR="001C09DB" w:rsidRPr="00E73951">
        <w:t>notiks kārtējā Eiropas Savienības (turpmāk – ES) Tieslietu un iekšlietu ministru padomes sanāksme</w:t>
      </w:r>
      <w:r w:rsidR="00EB5E3D">
        <w:t xml:space="preserve"> (turpmāk – Padomes sanāksme)</w:t>
      </w:r>
      <w:r w:rsidR="001C09DB" w:rsidRPr="00E73951">
        <w:t>, kuras darba kārtībā ir ietverti šādi Tieslietu ministrijas</w:t>
      </w:r>
      <w:r w:rsidRPr="00E73951">
        <w:t xml:space="preserve"> un </w:t>
      </w:r>
      <w:r w:rsidR="00525979" w:rsidRPr="00E73951">
        <w:t>Kultūras</w:t>
      </w:r>
      <w:r w:rsidRPr="00E73951">
        <w:t xml:space="preserve"> ministrijas</w:t>
      </w:r>
      <w:r w:rsidR="001C09DB" w:rsidRPr="00E73951">
        <w:t xml:space="preserve"> kompetencē esošie jautājumi: </w:t>
      </w:r>
    </w:p>
    <w:p w:rsidR="001C09DB" w:rsidRPr="00E73951" w:rsidRDefault="001C09DB" w:rsidP="002B7DB3">
      <w:pPr>
        <w:ind w:firstLine="720"/>
        <w:jc w:val="both"/>
      </w:pPr>
    </w:p>
    <w:p w:rsidR="00525979" w:rsidRPr="008329B4" w:rsidRDefault="00575008" w:rsidP="002B7DB3">
      <w:pPr>
        <w:ind w:firstLine="720"/>
        <w:jc w:val="both"/>
      </w:pPr>
      <w:r w:rsidRPr="008329B4">
        <w:t>1. </w:t>
      </w:r>
      <w:r w:rsidR="00525979" w:rsidRPr="008329B4">
        <w:t>Priekšlikums Eiropas Parlamenta un Padomes direktīvai par tiesībām piekļūt advokātam kriminālprocesa ietvaros un tiesībām sazināties pēc aizturēšanas;</w:t>
      </w:r>
    </w:p>
    <w:p w:rsidR="00525979" w:rsidRPr="008329B4" w:rsidRDefault="00525979" w:rsidP="002B7DB3">
      <w:pPr>
        <w:ind w:firstLine="720"/>
        <w:jc w:val="both"/>
        <w:rPr>
          <w:iCs/>
        </w:rPr>
      </w:pPr>
      <w:r w:rsidRPr="008329B4">
        <w:t>2.</w:t>
      </w:r>
      <w:r w:rsidR="00425EA0">
        <w:t xml:space="preserve"> </w:t>
      </w:r>
      <w:r w:rsidRPr="008329B4">
        <w:t xml:space="preserve">Priekšlikums Eiropas Parlamenta un Padomes regulai </w:t>
      </w:r>
      <w:r w:rsidRPr="008329B4">
        <w:rPr>
          <w:iCs/>
        </w:rPr>
        <w:t>par jurisdikciju un spriedumu atzīšanu un izpildi civillietās un komerclietās;</w:t>
      </w:r>
    </w:p>
    <w:p w:rsidR="00525979" w:rsidRPr="008329B4" w:rsidRDefault="00525979" w:rsidP="002B7DB3">
      <w:pPr>
        <w:ind w:firstLine="720"/>
        <w:jc w:val="both"/>
        <w:rPr>
          <w:iCs/>
        </w:rPr>
      </w:pPr>
      <w:r w:rsidRPr="008329B4">
        <w:t>3.</w:t>
      </w:r>
      <w:r w:rsidR="00425EA0">
        <w:t xml:space="preserve"> </w:t>
      </w:r>
      <w:r w:rsidRPr="008329B4">
        <w:t>Priekšlikum</w:t>
      </w:r>
      <w:r w:rsidR="008329B4" w:rsidRPr="008329B4">
        <w:t>s</w:t>
      </w:r>
      <w:r w:rsidRPr="008329B4">
        <w:t xml:space="preserve"> Eiropas Parlamenta un Padomes regulai, </w:t>
      </w:r>
      <w:r w:rsidRPr="008329B4">
        <w:rPr>
          <w:iCs/>
        </w:rPr>
        <w:t>ar kuru tiek izveidota Tieslietu</w:t>
      </w:r>
      <w:r w:rsidR="00FE0DB2">
        <w:rPr>
          <w:iCs/>
        </w:rPr>
        <w:t xml:space="preserve"> </w:t>
      </w:r>
      <w:r w:rsidRPr="008329B4">
        <w:rPr>
          <w:iCs/>
        </w:rPr>
        <w:t>programma 2014.-2020.gadam un Eiropas Parlamenta un Padomes regulas projekts, ar kuru tiek izveidota Tiesību</w:t>
      </w:r>
      <w:r w:rsidR="00EB5E3D">
        <w:rPr>
          <w:iCs/>
        </w:rPr>
        <w:t>, vienlīdzības</w:t>
      </w:r>
      <w:r w:rsidRPr="008329B4">
        <w:rPr>
          <w:iCs/>
        </w:rPr>
        <w:t xml:space="preserve"> un pilsonības programma 2014.-2020.gadam;</w:t>
      </w:r>
    </w:p>
    <w:p w:rsidR="008329B4" w:rsidRPr="008329B4" w:rsidRDefault="00BE6F13" w:rsidP="008329B4">
      <w:pPr>
        <w:ind w:firstLine="720"/>
        <w:jc w:val="both"/>
      </w:pPr>
      <w:r w:rsidRPr="008329B4">
        <w:rPr>
          <w:iCs/>
        </w:rPr>
        <w:t>4</w:t>
      </w:r>
      <w:r w:rsidR="00525979" w:rsidRPr="008329B4">
        <w:rPr>
          <w:iCs/>
        </w:rPr>
        <w:t>.</w:t>
      </w:r>
      <w:r w:rsidR="008329B4" w:rsidRPr="008329B4">
        <w:rPr>
          <w:bCs/>
          <w:iCs/>
        </w:rPr>
        <w:t xml:space="preserve"> Priekšlikums Padomes lēmumam, </w:t>
      </w:r>
      <w:r w:rsidR="008329B4" w:rsidRPr="008329B4">
        <w:t>ar ko nosaka Eiropas Savienības Pamattiesību aģentūras daudzgadu nostādnes laikposmam no 2013. gada līdz 2017. gadam;</w:t>
      </w:r>
    </w:p>
    <w:p w:rsidR="00BE6F13" w:rsidRPr="008329B4" w:rsidRDefault="00BE6F13" w:rsidP="00BE6F13">
      <w:pPr>
        <w:ind w:firstLine="720"/>
        <w:jc w:val="both"/>
      </w:pPr>
      <w:r w:rsidRPr="008329B4">
        <w:t>5.</w:t>
      </w:r>
      <w:r w:rsidR="00425EA0">
        <w:t xml:space="preserve"> </w:t>
      </w:r>
      <w:r w:rsidRPr="008329B4">
        <w:t xml:space="preserve">Priekšlikums Eiropas Parlamenta un Padomes regulai par </w:t>
      </w:r>
      <w:r w:rsidR="00536445" w:rsidRPr="008329B4">
        <w:t>v</w:t>
      </w:r>
      <w:r w:rsidRPr="008329B4">
        <w:t xml:space="preserve">ienotajiem Eiropas tirdzniecības noteikumiem. </w:t>
      </w:r>
    </w:p>
    <w:p w:rsidR="00525979" w:rsidRPr="00E73951" w:rsidRDefault="00525979" w:rsidP="002B7DB3">
      <w:pPr>
        <w:ind w:firstLine="720"/>
        <w:jc w:val="both"/>
        <w:rPr>
          <w:iCs/>
        </w:rPr>
      </w:pPr>
    </w:p>
    <w:p w:rsidR="001C09DB" w:rsidRPr="00E73951" w:rsidRDefault="001C09DB" w:rsidP="001C09DB">
      <w:pPr>
        <w:pStyle w:val="Pamatteksts2"/>
        <w:jc w:val="both"/>
        <w:rPr>
          <w:b/>
          <w:bCs/>
          <w:sz w:val="24"/>
          <w:szCs w:val="24"/>
          <w:u w:val="single"/>
        </w:rPr>
      </w:pPr>
      <w:r w:rsidRPr="00E73951">
        <w:rPr>
          <w:b/>
          <w:bCs/>
          <w:sz w:val="24"/>
          <w:szCs w:val="24"/>
          <w:u w:val="single"/>
        </w:rPr>
        <w:t xml:space="preserve">II </w:t>
      </w:r>
      <w:r w:rsidR="00A43000" w:rsidRPr="00E73951">
        <w:rPr>
          <w:b/>
          <w:bCs/>
          <w:sz w:val="24"/>
          <w:szCs w:val="24"/>
          <w:u w:val="single"/>
        </w:rPr>
        <w:t xml:space="preserve">Latvijas nacionālās pozīcijas </w:t>
      </w:r>
      <w:r w:rsidRPr="00E73951">
        <w:rPr>
          <w:b/>
          <w:bCs/>
          <w:sz w:val="24"/>
          <w:szCs w:val="24"/>
          <w:u w:val="single"/>
        </w:rPr>
        <w:t xml:space="preserve"> </w:t>
      </w:r>
    </w:p>
    <w:p w:rsidR="00525979" w:rsidRPr="00E73951" w:rsidRDefault="00525979" w:rsidP="001C09DB">
      <w:pPr>
        <w:pStyle w:val="Pamatteksts2"/>
        <w:jc w:val="both"/>
        <w:rPr>
          <w:b/>
          <w:bCs/>
          <w:sz w:val="24"/>
          <w:szCs w:val="24"/>
          <w:u w:val="single"/>
        </w:rPr>
      </w:pPr>
    </w:p>
    <w:p w:rsidR="00525979" w:rsidRPr="00E73951" w:rsidRDefault="00525979" w:rsidP="00525979">
      <w:pPr>
        <w:ind w:firstLine="720"/>
        <w:jc w:val="both"/>
        <w:rPr>
          <w:b/>
        </w:rPr>
      </w:pPr>
      <w:r w:rsidRPr="00E73951">
        <w:rPr>
          <w:b/>
        </w:rPr>
        <w:t>1.Priekšlikums Eiropas Parlamenta un Padomes direktīvai par tiesībām piekļūt advokātam kriminālprocesa ietvaros un tiesībām sazināties pēc aizturēšanas</w:t>
      </w:r>
    </w:p>
    <w:p w:rsidR="001321AE" w:rsidRDefault="001321AE" w:rsidP="001321AE">
      <w:pPr>
        <w:ind w:firstLine="720"/>
        <w:jc w:val="both"/>
      </w:pPr>
      <w:r>
        <w:t>Direktīvas projekts ir trešais solis pasākumu kopumā, kas paredzēti ES Padomes Rezolūcijā par Procesuālo tiesību ceļvedi.</w:t>
      </w:r>
      <w:r w:rsidR="00EB5E3D">
        <w:rPr>
          <w:rStyle w:val="Vresatsauce"/>
        </w:rPr>
        <w:footnoteReference w:id="1"/>
      </w:r>
      <w:r>
        <w:t xml:space="preserve"> Direktīvas projekta mērķis ir noteikt kopējus minimālos standartus visā ES attiecībā uz aizdomās turētu un apsūdzētu personu tiesībām kriminālprocesa ietvaros piekļūt advokātam un tiesībām pēc aizturēšanas sazināties ar trešo personu. Paredzēts, ka vienotie minimālie standarti, kas attieksies uz tiesībām uz advokātu kriminālprocesā un tiesībām informēt par brīvības atņemšanu kriminālprocesā, uzlabos tiesu iestāžu savstarpējo uzticēšanos un veicinās savstarpējās atzīšanas principa piemērošanu.</w:t>
      </w:r>
    </w:p>
    <w:p w:rsidR="001321AE" w:rsidRDefault="001321AE" w:rsidP="001321AE">
      <w:pPr>
        <w:jc w:val="both"/>
      </w:pPr>
      <w:r>
        <w:t>           Padomes sanāksmē dalībvalstu ministri tiks aicināti panākt vispārējo vienošanos par direktīvas projektu. Šobrīd Latvijai problemātiskie jautājumi direktīvas projekta kontekstā ir atrisināti</w:t>
      </w:r>
      <w:r w:rsidR="00EB5E3D">
        <w:t>.</w:t>
      </w:r>
      <w:r>
        <w:t xml:space="preserve"> </w:t>
      </w:r>
      <w:r w:rsidR="00EB5E3D">
        <w:t>P</w:t>
      </w:r>
      <w:r>
        <w:t xml:space="preserve">iemēram, tika panākts elastīgāks regulējums attiecībā uz tiesiskās aizsardzības līdzekļiem un juridiskās palīdzības regulējums tika nodalīts no direktīvas tvēruma, tādējādi Latvija atbalsta direktīvas projekta tekstu šobrīd piedāvātajā redakcijā. </w:t>
      </w:r>
    </w:p>
    <w:p w:rsidR="00525979" w:rsidRPr="00E73951" w:rsidRDefault="00525979" w:rsidP="00525979">
      <w:pPr>
        <w:ind w:firstLine="720"/>
        <w:jc w:val="both"/>
        <w:rPr>
          <w:b/>
        </w:rPr>
      </w:pPr>
    </w:p>
    <w:p w:rsidR="00525979" w:rsidRPr="00E73951" w:rsidRDefault="00525979" w:rsidP="00525979">
      <w:pPr>
        <w:ind w:firstLine="720"/>
        <w:jc w:val="both"/>
        <w:rPr>
          <w:b/>
          <w:iCs/>
        </w:rPr>
      </w:pPr>
      <w:r w:rsidRPr="00E73951">
        <w:rPr>
          <w:b/>
        </w:rPr>
        <w:t xml:space="preserve">2.Priekšlikums Eiropas Parlamenta un Padomes regulai </w:t>
      </w:r>
      <w:r w:rsidRPr="00E73951">
        <w:rPr>
          <w:b/>
          <w:iCs/>
        </w:rPr>
        <w:t>par jurisdikciju un spriedumu atzīšanu un izpildi civillietās un komerclietās</w:t>
      </w:r>
    </w:p>
    <w:p w:rsidR="006B27FF" w:rsidRPr="00E73951" w:rsidRDefault="006B27FF" w:rsidP="006B27FF">
      <w:pPr>
        <w:ind w:firstLine="720"/>
        <w:jc w:val="both"/>
      </w:pPr>
      <w:r w:rsidRPr="00E73951">
        <w:t>2010. gada 14. decembrī Eiropas Komisija nāca klajā ar priekšlikumu Eiropas Parlamenta un Padomes regulai par jurisdikciju un spriedumu atzīšanu un izpildi civillietās un komerclietās (Pārstrādāta redakcija), kura mērķis ir pārskatīt spēkā esošo regulējumu ES spriedumu civillietās un komerclietās atzīšanas un izpildes jomā un jurisdikcijas jautājumos, proti, Briseles I regulu</w:t>
      </w:r>
      <w:r w:rsidRPr="00E73951">
        <w:rPr>
          <w:rStyle w:val="Vresatsauce"/>
        </w:rPr>
        <w:footnoteReference w:id="2"/>
      </w:r>
      <w:r w:rsidRPr="00E73951">
        <w:t xml:space="preserve">. </w:t>
      </w:r>
    </w:p>
    <w:p w:rsidR="006B27FF" w:rsidRPr="00E73951" w:rsidRDefault="006B27FF" w:rsidP="006B27FF">
      <w:pPr>
        <w:ind w:right="-58" w:firstLine="720"/>
        <w:jc w:val="both"/>
      </w:pPr>
      <w:r w:rsidRPr="00E73951">
        <w:rPr>
          <w:rStyle w:val="longtext1"/>
          <w:sz w:val="24"/>
          <w:szCs w:val="24"/>
          <w:shd w:val="clear" w:color="auto" w:fill="FFFFFF"/>
        </w:rPr>
        <w:lastRenderedPageBreak/>
        <w:t xml:space="preserve">Briseles I regula, kas stājās spēkā 2002. gada martā, </w:t>
      </w:r>
      <w:r w:rsidRPr="00E73951">
        <w:t>ir pamats ES tiesu iestāžu sadarbībai civillietās un komerclietās. Tā p</w:t>
      </w:r>
      <w:r w:rsidRPr="00E73951">
        <w:rPr>
          <w:rStyle w:val="longtext1"/>
          <w:sz w:val="24"/>
          <w:szCs w:val="24"/>
          <w:shd w:val="clear" w:color="auto" w:fill="FFFFFF"/>
        </w:rPr>
        <w:t xml:space="preserve">aredz ES līmeņa jurisdikcijas un spriedumu atzīšanas un izpildes noteikumus un ir piemērojama civillietās un komerclietās ar pārrobežu elementu. Briseles I regulas noteikumi ļauj identificēt, kuras dalībvalsts tiesa ir kompetenta konkrēta jautājuma izšķiršanā, kā arī paredz atvieglotu režīmu ES dalībvalstu tiesu nolēmumu izpildei citās ES dalībvalstīs. </w:t>
      </w:r>
      <w:r w:rsidRPr="00E73951">
        <w:t>Pārskatītā Briseles I regulas projekta nozīmīgākais uzlabojums ir „izpildāmības pasludināšanas procedūras” (</w:t>
      </w:r>
      <w:proofErr w:type="spellStart"/>
      <w:r w:rsidRPr="00E73951">
        <w:rPr>
          <w:i/>
        </w:rPr>
        <w:t>exequatur</w:t>
      </w:r>
      <w:proofErr w:type="spellEnd"/>
      <w:r w:rsidRPr="00E73951">
        <w:t xml:space="preserve">) atcelšana, kā rezultātā vienas dalībvalsts tiesas pieņemts spriedums kļūst automātiski izpildāms jebkurā citā dalībvalstī bez īpašām starpposma procedūrām. </w:t>
      </w:r>
    </w:p>
    <w:p w:rsidR="006B27FF" w:rsidRPr="00E73951" w:rsidRDefault="006B27FF" w:rsidP="006B27FF">
      <w:pPr>
        <w:pStyle w:val="Sarakstarindkopa"/>
        <w:ind w:left="0" w:firstLine="644"/>
        <w:jc w:val="both"/>
      </w:pPr>
      <w:r w:rsidRPr="00E73951">
        <w:t xml:space="preserve">Latvija jau sākotnēji kopumā atbalstīja Eiropas Komisijas ierosinātos priekšlikumus Briseles I regulas noteikumu modernizācijai. Diskusiju rezultātā Latvija un pārējās dalībvalstis ir vienojušās par vispārēji apmierinošu Regulas noteikumu sistēmu. Pārskatīšanas gaitā panākts Latvijas interesēm atbilstošs Regulas teksts, atsevišķās pozīcijās koriģējot viedokli vai piekāpjoties dalībvalstu vairākuma viedoklim. </w:t>
      </w:r>
    </w:p>
    <w:p w:rsidR="006B27FF" w:rsidRPr="00E73951" w:rsidRDefault="006B27FF" w:rsidP="006B27FF">
      <w:pPr>
        <w:snapToGrid w:val="0"/>
        <w:ind w:right="-1" w:firstLine="644"/>
        <w:jc w:val="both"/>
      </w:pPr>
      <w:r w:rsidRPr="00E73951">
        <w:t xml:space="preserve">Ņemot vērā, ka dalībvalstis kopumā ir vienojušās, ka Regulas projekta noteikumi ir sabalansēts kompromiss un iespēju robežās aptver dalībvalstu vēlmes, </w:t>
      </w:r>
      <w:r w:rsidRPr="00E73951">
        <w:rPr>
          <w:b/>
        </w:rPr>
        <w:t>Latvija atbalsta</w:t>
      </w:r>
      <w:r w:rsidRPr="00E73951">
        <w:t xml:space="preserve"> Prezidentūras ierosinājumu pieņemt vispārējo pieeju par panākto Regulas projekta kompromisa tekstu. Vienlaikus Latvija atbalsta Prezidentūras piedāvājumu nepieciešamības gadījumā pieļaut tehniska rakstura labojumus regulas projekta atsevišķos noteikumos. </w:t>
      </w:r>
    </w:p>
    <w:p w:rsidR="007E0518" w:rsidRPr="00E73951" w:rsidRDefault="007E0518" w:rsidP="007E0518">
      <w:pPr>
        <w:snapToGrid w:val="0"/>
        <w:ind w:right="-1" w:firstLine="720"/>
        <w:jc w:val="both"/>
      </w:pPr>
      <w:r w:rsidRPr="00E73951">
        <w:t xml:space="preserve">  </w:t>
      </w:r>
    </w:p>
    <w:p w:rsidR="00525979" w:rsidRPr="00E73951" w:rsidRDefault="00E73951" w:rsidP="00525979">
      <w:pPr>
        <w:ind w:firstLine="720"/>
        <w:jc w:val="both"/>
        <w:rPr>
          <w:b/>
          <w:iCs/>
        </w:rPr>
      </w:pPr>
      <w:r>
        <w:rPr>
          <w:b/>
        </w:rPr>
        <w:t>3.Priekšlikums</w:t>
      </w:r>
      <w:r w:rsidR="00525979" w:rsidRPr="00E73951">
        <w:rPr>
          <w:b/>
        </w:rPr>
        <w:t xml:space="preserve"> Eiropas Parlamenta un Padomes regulai, </w:t>
      </w:r>
      <w:r w:rsidR="00525979" w:rsidRPr="00E73951">
        <w:rPr>
          <w:b/>
          <w:iCs/>
        </w:rPr>
        <w:t>ar kuru tiek izveidota Tieslietu programma 2014.-2020.gadam un</w:t>
      </w:r>
      <w:r>
        <w:rPr>
          <w:b/>
          <w:iCs/>
        </w:rPr>
        <w:t xml:space="preserve"> priekšlikums</w:t>
      </w:r>
      <w:r w:rsidR="00525979" w:rsidRPr="00E73951">
        <w:rPr>
          <w:b/>
          <w:iCs/>
        </w:rPr>
        <w:t xml:space="preserve"> Eiropas Parlamenta un Padomes </w:t>
      </w:r>
      <w:r>
        <w:rPr>
          <w:b/>
          <w:iCs/>
        </w:rPr>
        <w:t>regulai</w:t>
      </w:r>
      <w:r w:rsidR="00525979" w:rsidRPr="00E73951">
        <w:rPr>
          <w:b/>
          <w:iCs/>
        </w:rPr>
        <w:t xml:space="preserve">, ar kuru tiek izveidota </w:t>
      </w:r>
      <w:r w:rsidRPr="00563B5D">
        <w:rPr>
          <w:b/>
          <w:bCs/>
        </w:rPr>
        <w:t>Tiesību</w:t>
      </w:r>
      <w:r>
        <w:rPr>
          <w:b/>
          <w:bCs/>
        </w:rPr>
        <w:t>, vienlīdzības</w:t>
      </w:r>
      <w:r w:rsidRPr="00563B5D">
        <w:rPr>
          <w:b/>
          <w:bCs/>
        </w:rPr>
        <w:t xml:space="preserve"> un</w:t>
      </w:r>
      <w:r w:rsidRPr="00D4137C">
        <w:rPr>
          <w:b/>
          <w:bCs/>
        </w:rPr>
        <w:t xml:space="preserve"> pilsonības programma </w:t>
      </w:r>
      <w:r w:rsidR="00525979" w:rsidRPr="00E73951">
        <w:rPr>
          <w:b/>
          <w:iCs/>
        </w:rPr>
        <w:t>2014.-2020.gadam</w:t>
      </w:r>
    </w:p>
    <w:p w:rsidR="00E73951" w:rsidRPr="00E73951" w:rsidRDefault="00E73951" w:rsidP="00E73951">
      <w:pPr>
        <w:ind w:firstLine="720"/>
        <w:jc w:val="both"/>
      </w:pPr>
      <w:r w:rsidRPr="00E73951">
        <w:rPr>
          <w:rStyle w:val="hps"/>
        </w:rPr>
        <w:t xml:space="preserve">Eiropas Komisija 2011.gada 21.novembrī nāca klajā ar </w:t>
      </w:r>
      <w:r w:rsidRPr="00E73951">
        <w:t>priekšlikumu Eiropas Parlamenta un Padomes regulai, ar kuru tiek izveidota Tiesību un pilsonības programma 2014.-2020.gadam (turpmāk – Tiesību, vienlīdzības</w:t>
      </w:r>
      <w:r w:rsidRPr="00E73951">
        <w:rPr>
          <w:rStyle w:val="Vresatsauce"/>
        </w:rPr>
        <w:footnoteReference w:id="3"/>
      </w:r>
      <w:r w:rsidRPr="00E73951">
        <w:t xml:space="preserve"> un pilsonības programmas regula), kā arī priekšlikumu Eiropas Parlamenta un Padomes regulai, ar kuru tiek izveidota Tieslietu programma 2014.-2020.gadam (turpmāk - Tieslietu programmas regula). Abi priekšlikumi ir sagatavoti kontekstā ar Darba programmā tieslietu un iekšlietu jomā 2010. - 2014.gadam (Stokholmas programma)</w:t>
      </w:r>
      <w:r w:rsidRPr="00E73951">
        <w:rPr>
          <w:rStyle w:val="Vresatsauce"/>
        </w:rPr>
        <w:footnoteReference w:id="4"/>
      </w:r>
      <w:r w:rsidRPr="00E73951">
        <w:t xml:space="preserve"> iezīmētajiem mērķiem un vispārējā ES budžeta sagatavošanas ietvaros. </w:t>
      </w:r>
    </w:p>
    <w:p w:rsidR="00E73951" w:rsidRPr="00E73951" w:rsidRDefault="00E73951" w:rsidP="00E73951">
      <w:pPr>
        <w:ind w:firstLine="720"/>
        <w:jc w:val="both"/>
        <w:rPr>
          <w:rStyle w:val="hps"/>
        </w:rPr>
      </w:pPr>
      <w:r w:rsidRPr="00E73951">
        <w:rPr>
          <w:bCs/>
        </w:rPr>
        <w:t>Tieslietu programmas regulas</w:t>
      </w:r>
      <w:r w:rsidRPr="00E73951">
        <w:t xml:space="preserve"> mērķis </w:t>
      </w:r>
      <w:r w:rsidRPr="00E73951">
        <w:rPr>
          <w:rStyle w:val="hps"/>
        </w:rPr>
        <w:t xml:space="preserve">ir attīstīt un atbalstīt vienotās Eiropas tiesiskās telpas izveidi, veicinot tiesisko sadarbību civiltiesību un krimināltiesību jomās. Savukārt, </w:t>
      </w:r>
      <w:r w:rsidRPr="00E73951">
        <w:rPr>
          <w:rStyle w:val="hps"/>
          <w:bCs/>
        </w:rPr>
        <w:t xml:space="preserve">Tiesību, vienlīdzības un pilsonības programmas </w:t>
      </w:r>
      <w:r w:rsidRPr="00E73951">
        <w:rPr>
          <w:rStyle w:val="hps"/>
        </w:rPr>
        <w:t>mērķis ir attīstīt Līgumā par ES darbību un Pamattiesību hartā paredzēto tiesību aizsardzību un efektīvu piemērošanu.</w:t>
      </w:r>
    </w:p>
    <w:p w:rsidR="00E73951" w:rsidRDefault="00E73951" w:rsidP="00E73951">
      <w:pPr>
        <w:ind w:firstLine="720"/>
        <w:jc w:val="both"/>
      </w:pPr>
      <w:r>
        <w:t xml:space="preserve">Ekspertu diskusijas attiecībā uz abiem regulu projektiem ES Padomē norisinājās speciāli izveidotajā </w:t>
      </w:r>
      <w:proofErr w:type="spellStart"/>
      <w:r>
        <w:rPr>
          <w:i/>
          <w:iCs/>
        </w:rPr>
        <w:t>Ad</w:t>
      </w:r>
      <w:proofErr w:type="spellEnd"/>
      <w:r>
        <w:rPr>
          <w:i/>
          <w:iCs/>
        </w:rPr>
        <w:t xml:space="preserve"> </w:t>
      </w:r>
      <w:proofErr w:type="spellStart"/>
      <w:r>
        <w:rPr>
          <w:i/>
          <w:iCs/>
        </w:rPr>
        <w:t>Hoc</w:t>
      </w:r>
      <w:proofErr w:type="spellEnd"/>
      <w:r>
        <w:t xml:space="preserve"> darba grupā. Darba grupa tikās trīs reizes – š.g. 8. februārī, 9. martā un 11. aprīlī. Vienlaikus š.g. 7.un 14. maijā ES Padomē tikās tieslietu padomnieki, lai pabeigtu darbu abu regulu izstrād</w:t>
      </w:r>
      <w:r w:rsidR="00EB5E3D">
        <w:t>ē</w:t>
      </w:r>
      <w:r>
        <w:t xml:space="preserve">. Regulas izskatītas COREPER sanāksmē š.g. 23.maijā. </w:t>
      </w:r>
    </w:p>
    <w:p w:rsidR="00E73951" w:rsidRDefault="00E73951" w:rsidP="00E73951">
      <w:pPr>
        <w:ind w:firstLine="720"/>
        <w:jc w:val="both"/>
      </w:pPr>
      <w:r>
        <w:rPr>
          <w:rStyle w:val="hps"/>
        </w:rPr>
        <w:t xml:space="preserve">2012. gada 7.- 8. jūnija Tieslietu un iekšlietu ministru padomes sanāksmē </w:t>
      </w:r>
      <w:r w:rsidRPr="00657643">
        <w:rPr>
          <w:rStyle w:val="hps"/>
          <w:b/>
          <w:bCs/>
        </w:rPr>
        <w:t>plānots panākt daļēju vispārējo vienošanos attiecībā uz abām regulām</w:t>
      </w:r>
      <w:r>
        <w:rPr>
          <w:rStyle w:val="hps"/>
        </w:rPr>
        <w:t>. Atvērti tiek atstāti jautājumi attiecībā uz finanšu aploksni katras programmas kontekstā (Tieslietu programmas regulas 8.panta pirmā daļa un Tiesību</w:t>
      </w:r>
      <w:r w:rsidR="00EB5E3D">
        <w:rPr>
          <w:rStyle w:val="hps"/>
        </w:rPr>
        <w:t>, vienlīdzības</w:t>
      </w:r>
      <w:r>
        <w:rPr>
          <w:rStyle w:val="hps"/>
        </w:rPr>
        <w:t xml:space="preserve"> un pilsonības programmas regulas 7.panta pirmā daļa), kā arī attiecībā uz ES finanšu interešu aizsardzību. Minētie aspekti tiks skatīt</w:t>
      </w:r>
      <w:r w:rsidR="00EB5E3D">
        <w:rPr>
          <w:rStyle w:val="hps"/>
        </w:rPr>
        <w:t>i</w:t>
      </w:r>
      <w:r>
        <w:rPr>
          <w:rStyle w:val="hps"/>
        </w:rPr>
        <w:t xml:space="preserve"> horizontālā līmenī, proti, </w:t>
      </w:r>
      <w:r>
        <w:t xml:space="preserve">vispārējā ES budžeta sagatavošanas ietvaros. </w:t>
      </w:r>
    </w:p>
    <w:p w:rsidR="00E73951" w:rsidRDefault="00E73951" w:rsidP="00E73951">
      <w:pPr>
        <w:jc w:val="both"/>
        <w:rPr>
          <w:rStyle w:val="hps"/>
        </w:rPr>
      </w:pPr>
      <w:r>
        <w:t xml:space="preserve"> </w:t>
      </w:r>
      <w:r>
        <w:tab/>
        <w:t xml:space="preserve">Latvija </w:t>
      </w:r>
      <w:r w:rsidRPr="00657643">
        <w:rPr>
          <w:b/>
          <w:bCs/>
        </w:rPr>
        <w:t>atbalsta daļējās vispārējās pieejas pieņemšanu</w:t>
      </w:r>
      <w:r>
        <w:t xml:space="preserve"> attiecībā uz </w:t>
      </w:r>
      <w:r w:rsidRPr="00E73951">
        <w:rPr>
          <w:bCs/>
        </w:rPr>
        <w:t>Tieslietu programmas regulas</w:t>
      </w:r>
      <w:r w:rsidRPr="00E73951">
        <w:t xml:space="preserve"> tekstu un </w:t>
      </w:r>
      <w:r w:rsidRPr="00E73951">
        <w:rPr>
          <w:bCs/>
        </w:rPr>
        <w:t>Tiesību, vienlīdzības un pilsonības programmas regulas</w:t>
      </w:r>
      <w:r>
        <w:t xml:space="preserve"> tekstu, </w:t>
      </w:r>
      <w:r>
        <w:lastRenderedPageBreak/>
        <w:t xml:space="preserve">cer, ka </w:t>
      </w:r>
      <w:r>
        <w:rPr>
          <w:rStyle w:val="hps"/>
        </w:rPr>
        <w:t xml:space="preserve">horizontālā līmenī pēc iespējas ātrāk tiks atrisināti atvērtie jautājumi attiecībā uz finanšu aploksni katras programmas kontekstā, kā arī attiecībā uz ES finanšu interešu aizsardzību. </w:t>
      </w:r>
    </w:p>
    <w:p w:rsidR="00E73951" w:rsidRDefault="00E73951" w:rsidP="00E73951">
      <w:pPr>
        <w:ind w:firstLine="720"/>
        <w:jc w:val="both"/>
      </w:pPr>
      <w:r>
        <w:rPr>
          <w:rStyle w:val="hps"/>
        </w:rPr>
        <w:t>Vairāki Latvijai svarīgie jautājumi diskusiju laikā ES Padomē ir atrisināti, jo īpaši</w:t>
      </w:r>
      <w:r w:rsidRPr="00845800">
        <w:rPr>
          <w:b/>
          <w:bCs/>
        </w:rPr>
        <w:t xml:space="preserve"> </w:t>
      </w:r>
      <w:r>
        <w:rPr>
          <w:b/>
          <w:bCs/>
        </w:rPr>
        <w:t>Latvija ir gandarīta</w:t>
      </w:r>
      <w:r w:rsidRPr="007B5A64">
        <w:t>,</w:t>
      </w:r>
      <w:r>
        <w:t xml:space="preserve"> ka abās regulās ir iekļauta</w:t>
      </w:r>
      <w:r w:rsidRPr="00845800">
        <w:t xml:space="preserve"> atsauce uz nacionā</w:t>
      </w:r>
      <w:r>
        <w:t xml:space="preserve">liem un maza apmēra projektiem, kas ļauj piesaistīt ES finansējumu arī tad, ja atsevišķa ES valsts ir ieinteresēta projekta īstenošanā, bet projekta rezultāti savukārt būtu vērsti uz Eiropas vienotās tiesiskuma telpas stiprināšanu. </w:t>
      </w:r>
      <w:bookmarkStart w:id="8" w:name="_GoBack"/>
      <w:bookmarkEnd w:id="8"/>
    </w:p>
    <w:p w:rsidR="00E73951" w:rsidRDefault="00E73951" w:rsidP="00E73951">
      <w:pPr>
        <w:tabs>
          <w:tab w:val="left" w:pos="9639"/>
        </w:tabs>
        <w:snapToGrid w:val="0"/>
        <w:jc w:val="both"/>
      </w:pPr>
    </w:p>
    <w:p w:rsidR="008329B4" w:rsidRPr="008329B4" w:rsidRDefault="00C75A34" w:rsidP="008329B4">
      <w:pPr>
        <w:ind w:firstLine="720"/>
        <w:jc w:val="both"/>
        <w:rPr>
          <w:b/>
        </w:rPr>
      </w:pPr>
      <w:r w:rsidRPr="008329B4">
        <w:rPr>
          <w:b/>
          <w:iCs/>
        </w:rPr>
        <w:t>4</w:t>
      </w:r>
      <w:r w:rsidR="00525979" w:rsidRPr="008329B4">
        <w:rPr>
          <w:b/>
          <w:iCs/>
        </w:rPr>
        <w:t>.</w:t>
      </w:r>
      <w:r w:rsidR="00525979" w:rsidRPr="008329B4">
        <w:rPr>
          <w:b/>
        </w:rPr>
        <w:t xml:space="preserve"> </w:t>
      </w:r>
      <w:r w:rsidR="008329B4" w:rsidRPr="008329B4">
        <w:rPr>
          <w:b/>
          <w:bCs/>
          <w:iCs/>
        </w:rPr>
        <w:t xml:space="preserve">Priekšlikums Padomes lēmumam, </w:t>
      </w:r>
      <w:r w:rsidR="008329B4" w:rsidRPr="008329B4">
        <w:rPr>
          <w:b/>
        </w:rPr>
        <w:t>ar ko nosaka Eiropas Savienības Pamattiesību aģentūras daudzgadu nostādnes laikposmam no 2013. gada līdz 2017.</w:t>
      </w:r>
      <w:r w:rsidR="00EB5E3D">
        <w:rPr>
          <w:b/>
        </w:rPr>
        <w:t xml:space="preserve"> </w:t>
      </w:r>
      <w:r w:rsidR="008329B4" w:rsidRPr="008329B4">
        <w:rPr>
          <w:b/>
        </w:rPr>
        <w:t>gadam</w:t>
      </w:r>
    </w:p>
    <w:p w:rsidR="00770A50" w:rsidRPr="00770A50" w:rsidRDefault="00770A50" w:rsidP="00770A50">
      <w:pPr>
        <w:ind w:firstLine="720"/>
        <w:jc w:val="both"/>
      </w:pPr>
      <w:r>
        <w:rPr>
          <w:rStyle w:val="hps"/>
        </w:rPr>
        <w:t xml:space="preserve">2012. gada 7.- 8. jūnija Tieslietu un iekšlietu ministru padomes sanāksmē </w:t>
      </w:r>
      <w:r w:rsidRPr="00770A50">
        <w:t xml:space="preserve">plānots panākt </w:t>
      </w:r>
      <w:r w:rsidRPr="00770A50">
        <w:rPr>
          <w:b/>
        </w:rPr>
        <w:t xml:space="preserve">vispārēju vienošanos </w:t>
      </w:r>
      <w:r w:rsidRPr="00770A50">
        <w:t xml:space="preserve">par Padomes lēmumu, ar ko nosaka ES Pamattiesību aģentūras daudzgadu nostādnes laikposmam no 2013.gada līdz 2017.gadam (turpmāk - priekšlikums). </w:t>
      </w:r>
    </w:p>
    <w:p w:rsidR="00770A50" w:rsidRPr="00770A50" w:rsidRDefault="00770A50" w:rsidP="00770A50">
      <w:pPr>
        <w:ind w:firstLine="720"/>
        <w:jc w:val="both"/>
        <w:rPr>
          <w:noProof/>
        </w:rPr>
      </w:pPr>
      <w:r w:rsidRPr="00770A50">
        <w:t xml:space="preserve">ES Pamattiesību aģentūra (turpmāk - Aģentūra) tika izveidota un savu darbību sāka 2007.gadā. </w:t>
      </w:r>
      <w:r w:rsidRPr="00770A50">
        <w:rPr>
          <w:noProof/>
        </w:rPr>
        <w:t xml:space="preserve">Aģentūras mērķis ir sniegt attiecīgajām ES un tās dalībvalstu iestādēm, struktūrām, birojiem un aģentūrām palīdzību un nepieciešamās zināšanas attiecībā uz pamattiesību ievērošanu. Aģentūrai uzticētie uzdevumi ir saistīti ar informācijas un datu vākšanu un analīzi, konsultācijām ziņojumu un atzinumu formā un sadarbības ar pilsonisko sabiedrību un izpratnes par pamattiesībām veicināšanu. Aģentūra nav pilnvarota nodarboties ar jautājumiem par ES aktu likumību un dalībvalstu saistību izpildi saskaņā ar </w:t>
      </w:r>
      <w:r w:rsidR="00EB5E3D">
        <w:rPr>
          <w:noProof/>
        </w:rPr>
        <w:t>E</w:t>
      </w:r>
      <w:r w:rsidRPr="00770A50">
        <w:rPr>
          <w:noProof/>
        </w:rPr>
        <w:t>S tiesību aktiem.</w:t>
      </w:r>
    </w:p>
    <w:p w:rsidR="00770A50" w:rsidRPr="00770A50" w:rsidRDefault="00770A50" w:rsidP="00770A50">
      <w:pPr>
        <w:ind w:firstLine="720"/>
        <w:jc w:val="both"/>
      </w:pPr>
      <w:r w:rsidRPr="00770A50">
        <w:t>Daudzgadu nostādnēs tiek noteikts Aģentūras darbības tematiskās jomas turpmākajiem pieciem gadiem un tās izstrādā, ievērojot Aģentūras izveidošanas pamat</w:t>
      </w:r>
      <w:r w:rsidR="00EB5E3D">
        <w:t>dokumentā</w:t>
      </w:r>
      <w:r w:rsidRPr="00770A50">
        <w:t xml:space="preserve"> (Regula Nr.168/2007) noteiktās prasības. </w:t>
      </w:r>
    </w:p>
    <w:p w:rsidR="00770A50" w:rsidRPr="00770A50" w:rsidRDefault="00770A50" w:rsidP="00770A50">
      <w:pPr>
        <w:ind w:firstLine="720"/>
        <w:jc w:val="both"/>
      </w:pPr>
      <w:r w:rsidRPr="00770A50">
        <w:t>Salīdzinājumā ar Aģentūras iepriekšējām daudzgadu nostādnēm laikposmam no 2007.</w:t>
      </w:r>
      <w:r w:rsidR="00EB5E3D">
        <w:t xml:space="preserve"> </w:t>
      </w:r>
      <w:r w:rsidRPr="00770A50">
        <w:t xml:space="preserve">līdz 2013.gadam, jaunais priekšlikums paredz paplašināt Aģentūras tematiskās jomas uz policijas sadarbību un sadarbību tieslietu jomā, uz </w:t>
      </w:r>
      <w:proofErr w:type="spellStart"/>
      <w:r w:rsidRPr="00770A50">
        <w:t>romu</w:t>
      </w:r>
      <w:proofErr w:type="spellEnd"/>
      <w:r w:rsidRPr="00770A50">
        <w:t xml:space="preserve"> integrāciju, kā arī tiek paplašināts diskriminācijas pamatu loks, ievērojot visus Pamattiesību hartas 21.pantā noteiktos diskriminācijas aizlieguma pamatus.</w:t>
      </w:r>
    </w:p>
    <w:p w:rsidR="00770A50" w:rsidRPr="00770A50" w:rsidRDefault="00770A50" w:rsidP="00770A50">
      <w:pPr>
        <w:ind w:firstLine="720"/>
        <w:jc w:val="both"/>
      </w:pPr>
      <w:r w:rsidRPr="00770A50">
        <w:t>ES dalībvalstis atbalsta Aģentūras tematisko jomu paplašināšanu uz policijas sadarbību un sadarbību tieslietu jomā, bet viedokļi atšķiras par tiesiski piemērotāko veidu kā nodrošināt jomu paplašināšanos pēc Lisabonas līguma stāšanās spēkā, kad nepastāv vairāk ES pīlāru struktūra un ES kompetence ir paplašinā</w:t>
      </w:r>
      <w:r w:rsidR="00EB5E3D">
        <w:t>ta</w:t>
      </w:r>
      <w:r w:rsidRPr="00770A50">
        <w:t xml:space="preserve"> attiecībās uz tiesiskumu, drošību un brīvības telpu.  </w:t>
      </w:r>
    </w:p>
    <w:p w:rsidR="00770A50" w:rsidRPr="00770A50" w:rsidRDefault="00770A50" w:rsidP="00770A50">
      <w:pPr>
        <w:ind w:firstLine="720"/>
        <w:jc w:val="both"/>
        <w:rPr>
          <w:noProof/>
        </w:rPr>
      </w:pPr>
      <w:r w:rsidRPr="00770A50">
        <w:rPr>
          <w:b/>
          <w:bCs/>
        </w:rPr>
        <w:t>Latvija atbalsta vispārējas vienošanās panākšanu par priekšlikumu</w:t>
      </w:r>
      <w:r w:rsidRPr="00770A50">
        <w:rPr>
          <w:bCs/>
        </w:rPr>
        <w:t xml:space="preserve"> Padomes lēmumam, ar ko nosaka ES Pamattiesību aģentūras daudzgadu nostādnes laikposmam no 2013. gada līdz 2017.gadam</w:t>
      </w:r>
      <w:r w:rsidRPr="00770A50">
        <w:t xml:space="preserve">, jo pašlaik spēkā esošo daudzgadu nostādņu termiņš beidzas </w:t>
      </w:r>
      <w:r w:rsidRPr="00770A50">
        <w:rPr>
          <w:noProof/>
        </w:rPr>
        <w:t>2012.gadā 31.decembrī.</w:t>
      </w:r>
    </w:p>
    <w:p w:rsidR="00770A50" w:rsidRPr="00770A50" w:rsidRDefault="00770A50" w:rsidP="00770A50">
      <w:pPr>
        <w:ind w:firstLine="720"/>
        <w:jc w:val="both"/>
      </w:pPr>
      <w:r w:rsidRPr="00770A50">
        <w:t>Latvijas interesēs ir paplašināt Aģentūras tematisko jomu uzskaitījumu attiecībā uz policijas sadarbību un tiesu iestāžu sadarbību krimināllietās, skatot jautājumu kontekstā ar Aģentūras darbības izvērtējumu un ierosinātajiem grozījumiem Regul</w:t>
      </w:r>
      <w:r w:rsidR="00EB5E3D">
        <w:t>ā</w:t>
      </w:r>
      <w:r w:rsidRPr="00770A50">
        <w:t xml:space="preserve"> Nr.168/2007. </w:t>
      </w:r>
    </w:p>
    <w:p w:rsidR="00770A50" w:rsidRPr="00770A50" w:rsidRDefault="00770A50" w:rsidP="00770A50">
      <w:pPr>
        <w:ind w:firstLine="720"/>
        <w:jc w:val="both"/>
        <w:rPr>
          <w:bCs/>
        </w:rPr>
      </w:pPr>
      <w:r w:rsidRPr="00770A50">
        <w:rPr>
          <w:bCs/>
        </w:rPr>
        <w:t xml:space="preserve">Latvija kopumā atbalsta paplašināt Aģentūras tematisko jomu uzskaitījumu, aptverot visus ES Pamattiesību hartas 21.pantā noteiktos diskriminācijas aizlieguma pamatus. Vienlaikus tā kā starptautiskās tiesības nesatur termina „nacionālā minoritāte” definējumu un dalībvalstu „nacionālo minoritāšu” definīcijas atšķiras vai valstis vispār to nedefinē, Latvijai ir īpaši svarīgi, lai jautājums par jēdziena „nacionālā minoritāte” saturu paliktu dalībvalstu kompetencē, </w:t>
      </w:r>
      <w:r w:rsidRPr="00770A50">
        <w:t xml:space="preserve">kā arī tiek ievērots dalībvalstu un ES kompetenču sadalījums šajā jomā. Šāda pieeja svarīga arī, lai novērstu neskaidrības jautājumā, pēc kādiem kritērijiem Aģentūra darbotos šajā jomā. </w:t>
      </w:r>
    </w:p>
    <w:p w:rsidR="00770A50" w:rsidRPr="00E73951" w:rsidRDefault="00770A50" w:rsidP="00525979">
      <w:pPr>
        <w:ind w:firstLine="720"/>
        <w:jc w:val="both"/>
        <w:rPr>
          <w:b/>
        </w:rPr>
      </w:pPr>
    </w:p>
    <w:p w:rsidR="00622283" w:rsidRDefault="00622283" w:rsidP="00C75A34">
      <w:pPr>
        <w:rPr>
          <w:b/>
          <w:u w:val="single"/>
        </w:rPr>
      </w:pPr>
    </w:p>
    <w:p w:rsidR="00622283" w:rsidRDefault="00622283" w:rsidP="00C75A34">
      <w:pPr>
        <w:rPr>
          <w:b/>
          <w:u w:val="single"/>
        </w:rPr>
      </w:pPr>
    </w:p>
    <w:p w:rsidR="00C75A34" w:rsidRPr="00E73951" w:rsidRDefault="00C75A34" w:rsidP="00C75A34">
      <w:pPr>
        <w:rPr>
          <w:b/>
          <w:u w:val="single"/>
        </w:rPr>
      </w:pPr>
      <w:r w:rsidRPr="00E73951">
        <w:rPr>
          <w:b/>
          <w:u w:val="single"/>
        </w:rPr>
        <w:t>III Citi Padomes sanāksmē izskatāmie jautājumi</w:t>
      </w:r>
    </w:p>
    <w:p w:rsidR="005859B4" w:rsidRPr="00E73951" w:rsidRDefault="005859B4" w:rsidP="005859B4">
      <w:pPr>
        <w:ind w:firstLine="720"/>
        <w:jc w:val="both"/>
        <w:rPr>
          <w:b/>
        </w:rPr>
      </w:pPr>
      <w:r w:rsidRPr="00E73951">
        <w:rPr>
          <w:b/>
        </w:rPr>
        <w:t xml:space="preserve">5. Priekšlikums Eiropas Parlamenta un Padomes regulai par </w:t>
      </w:r>
      <w:r w:rsidR="00536445" w:rsidRPr="00E73951">
        <w:rPr>
          <w:b/>
        </w:rPr>
        <w:t>v</w:t>
      </w:r>
      <w:r w:rsidRPr="00E73951">
        <w:rPr>
          <w:b/>
        </w:rPr>
        <w:t>ienotajiem Eiropas tirdzniecības noteikumiem</w:t>
      </w:r>
    </w:p>
    <w:p w:rsidR="005859B4" w:rsidRPr="00E73951" w:rsidRDefault="005859B4" w:rsidP="005859B4">
      <w:pPr>
        <w:ind w:firstLine="720"/>
        <w:jc w:val="both"/>
        <w:rPr>
          <w:b/>
        </w:rPr>
      </w:pPr>
    </w:p>
    <w:p w:rsidR="006B27FF" w:rsidRPr="00E73951" w:rsidRDefault="00EB5E3D" w:rsidP="006B27FF">
      <w:pPr>
        <w:ind w:firstLine="720"/>
        <w:jc w:val="both"/>
      </w:pPr>
      <w:r>
        <w:rPr>
          <w:rStyle w:val="hps"/>
        </w:rPr>
        <w:t>P</w:t>
      </w:r>
      <w:r w:rsidR="00770A50">
        <w:rPr>
          <w:rStyle w:val="hps"/>
        </w:rPr>
        <w:t xml:space="preserve">adomes sanāksmē </w:t>
      </w:r>
      <w:r w:rsidR="006B27FF" w:rsidRPr="00E73951">
        <w:t>ir paredzētas orientējošas debates par turpmāko nepieciešamo rīcību attiecībā uz darbu pie Eiropas Parlamenta un Padomes</w:t>
      </w:r>
      <w:r w:rsidR="006B27FF" w:rsidRPr="00E73951">
        <w:rPr>
          <w:b/>
        </w:rPr>
        <w:t xml:space="preserve"> </w:t>
      </w:r>
      <w:r w:rsidR="006B27FF" w:rsidRPr="00E73951">
        <w:t>r</w:t>
      </w:r>
      <w:r w:rsidR="006B27FF" w:rsidRPr="00E73951">
        <w:rPr>
          <w:rFonts w:eastAsia="Calibri"/>
        </w:rPr>
        <w:t>egulas par vienotajiem Eiropas tirdzniecības noteikumiem (turpmāk – Regula)</w:t>
      </w:r>
    </w:p>
    <w:p w:rsidR="006B27FF" w:rsidRPr="00E73951" w:rsidRDefault="006B27FF" w:rsidP="006B27FF">
      <w:pPr>
        <w:ind w:firstLine="720"/>
        <w:jc w:val="both"/>
        <w:rPr>
          <w:rFonts w:eastAsia="Calibri"/>
        </w:rPr>
      </w:pPr>
      <w:r w:rsidRPr="00E73951">
        <w:t xml:space="preserve">Atšķirības ES dalībvalstu līgumtiesību starpā rada tiesisko nenoteiktību un papildus izmaksas komersantiem, kā arī atstāj ietekmi uz patērētajiem. Harmonizēts ES dalībvalstu līgumtiesību normatīvais regulējums, proti, vienoti Eiropas tirdzniecības noteikumi, sekmētu komercdarbību, attīstītu pārrobežu konkurētspēju un palielinātu patērētāju tiesību aizsardzību. Ņemot vērā minēto, </w:t>
      </w:r>
      <w:r w:rsidRPr="00E73951">
        <w:rPr>
          <w:lang w:eastAsia="lv-LV"/>
        </w:rPr>
        <w:t xml:space="preserve">2011.gada oktobrī Eiropas Komisija (turpmāk – EK) </w:t>
      </w:r>
      <w:r w:rsidRPr="00E73951">
        <w:rPr>
          <w:rFonts w:eastAsia="Calibri"/>
        </w:rPr>
        <w:t>izplatīja priekšlikumu Regulai.</w:t>
      </w:r>
    </w:p>
    <w:p w:rsidR="006B27FF" w:rsidRPr="00E73951" w:rsidRDefault="006B27FF" w:rsidP="006B27FF">
      <w:pPr>
        <w:ind w:firstLine="709"/>
        <w:jc w:val="both"/>
      </w:pPr>
      <w:r w:rsidRPr="00E73951">
        <w:t xml:space="preserve">Regulas projekta mērķis ir izveidot kopējus līgumu slēgšanas noteikumus, kas aptvertu visas līguma stadijas. Regulas projekts paredzēts kā paralēls regulējums dalībvalstu tiesību aktiem, attiecībā uz pārrobežu darījumiem gan attiecībās starp komersantiem, gan attiecībās starp komersantiem un patērētājiem. Līgumslēdzējiem tiek dota iespēja izmantot nacionālo regulējumu, vai vienotos Eiropas tirdzniecības noteikumus, proti - Regulu. </w:t>
      </w:r>
    </w:p>
    <w:p w:rsidR="006B27FF" w:rsidRPr="00E73951" w:rsidRDefault="006B27FF" w:rsidP="006B27FF">
      <w:pPr>
        <w:ind w:left="34" w:right="127" w:firstLine="675"/>
        <w:jc w:val="both"/>
      </w:pPr>
      <w:r w:rsidRPr="00E73951">
        <w:t xml:space="preserve">Latvija atbalsta EK mērķi atvieglot pārrobežu darījumu slēgšanu, ciktāl Regula nesarežģīs tiesisko vidi patērētājiem vai komersantiem un vienlaikus nodrošinās patērētāju tiesību </w:t>
      </w:r>
      <w:r w:rsidRPr="00E73951">
        <w:rPr>
          <w:vanish/>
        </w:rPr>
        <w:t>slaikus nodrošinoiattiearp u nacionmenlai par Vienotajiem tirdzniec</w:t>
      </w:r>
      <w:r w:rsidRPr="00E73951">
        <w:t>aizsardzību augstā līmenī. Attiecībā uz Regulas raksturu Latvija atbalsta instrument</w:t>
      </w:r>
      <w:r w:rsidR="00EB5E3D">
        <w:t>u,</w:t>
      </w:r>
      <w:r w:rsidRPr="00E73951">
        <w:t xml:space="preserve"> kura saistošais raksturs būs atkarīgs no pušu izvēles. Vienlaicīgi Latvijai ir svarīgi nodrošināt priekšlikuma sasaisti ar jau eksistējošiem starptautisko privāto tiesību instrumentiem, piemēram, Roma I regulu</w:t>
      </w:r>
      <w:r w:rsidRPr="00E73951">
        <w:rPr>
          <w:rStyle w:val="Vresatsauce"/>
        </w:rPr>
        <w:footnoteReference w:id="5"/>
      </w:r>
      <w:r w:rsidRPr="00E73951">
        <w:t xml:space="preserve"> </w:t>
      </w:r>
      <w:r w:rsidR="00EB5E3D">
        <w:t>un</w:t>
      </w:r>
      <w:r w:rsidRPr="00E73951">
        <w:t xml:space="preserve"> Vīnes konvenciju pirkuma līguma jomā</w:t>
      </w:r>
      <w:r w:rsidR="00731828" w:rsidRPr="00E73951">
        <w:rPr>
          <w:rStyle w:val="Vresatsauce"/>
        </w:rPr>
        <w:footnoteReference w:id="6"/>
      </w:r>
      <w:r w:rsidRPr="00E73951">
        <w:t xml:space="preserve">. </w:t>
      </w:r>
    </w:p>
    <w:p w:rsidR="006B27FF" w:rsidRPr="00E73951" w:rsidRDefault="006B27FF" w:rsidP="006B27FF">
      <w:pPr>
        <w:snapToGrid w:val="0"/>
        <w:ind w:firstLine="720"/>
        <w:jc w:val="both"/>
      </w:pPr>
      <w:r w:rsidRPr="00E73951">
        <w:t xml:space="preserve">Attiecībā uz Prezidentūras izvirzītajiem jautājumiem šajā Padomes sanāksmē Latvija uzskata, ka nav nepieciešams atsākt diskusijas par Ietekmes izvērtējumu vai turpināt diskusiju par Regulas projekta formu, raksturu un tvērumu, jo Latvijas ieskatā jau ir notikusi konstruktīva viedokļu apmaiņa </w:t>
      </w:r>
      <w:r w:rsidR="00EB5E3D">
        <w:t>ES ekspertu līmenī</w:t>
      </w:r>
      <w:r w:rsidRPr="00E73951">
        <w:t xml:space="preserve">. </w:t>
      </w:r>
      <w:r w:rsidRPr="00E73951">
        <w:rPr>
          <w:bCs/>
        </w:rPr>
        <w:t>Latvija uzsver uz nepieciešamību virzīties tālāk</w:t>
      </w:r>
      <w:r w:rsidRPr="00E73951">
        <w:t xml:space="preserve">, jo pie minētajiem jautājumiem dalībvalstis atkārtoti nonāks, vērtējot Regulu pēc būtības. </w:t>
      </w:r>
    </w:p>
    <w:p w:rsidR="006B27FF" w:rsidRPr="00E73951" w:rsidRDefault="006B27FF" w:rsidP="006B27FF">
      <w:pPr>
        <w:pStyle w:val="ListParagraph1"/>
        <w:spacing w:after="0" w:line="240" w:lineRule="auto"/>
        <w:ind w:left="0" w:firstLine="720"/>
        <w:jc w:val="both"/>
        <w:rPr>
          <w:rFonts w:ascii="Times New Roman" w:hAnsi="Times New Roman" w:cs="Times New Roman"/>
          <w:sz w:val="24"/>
          <w:szCs w:val="24"/>
        </w:rPr>
      </w:pPr>
      <w:r w:rsidRPr="00E73951">
        <w:rPr>
          <w:rFonts w:ascii="Times New Roman" w:hAnsi="Times New Roman" w:cs="Times New Roman"/>
          <w:sz w:val="24"/>
          <w:szCs w:val="24"/>
        </w:rPr>
        <w:t xml:space="preserve">Latvija piekrīt Padomes Juridiskā dienesta norādītajam juridiskajam pamatam, proti, ka Līguma par </w:t>
      </w:r>
      <w:r w:rsidR="00EB5E3D">
        <w:rPr>
          <w:rFonts w:ascii="Times New Roman" w:hAnsi="Times New Roman" w:cs="Times New Roman"/>
          <w:sz w:val="24"/>
          <w:szCs w:val="24"/>
        </w:rPr>
        <w:t>ES</w:t>
      </w:r>
      <w:r w:rsidRPr="00E73951">
        <w:rPr>
          <w:rFonts w:ascii="Times New Roman" w:hAnsi="Times New Roman" w:cs="Times New Roman"/>
          <w:sz w:val="24"/>
          <w:szCs w:val="24"/>
        </w:rPr>
        <w:t xml:space="preserve"> darbību 114.pants ir uzskatāms par atbilstošu Regulas izdošanas tiesisko pamatu. Vienlaicīgi Latvija paredz, ka bez vienošanās par šo jautājumu turpmākās diskusijas pēc būtības  nevarēs tikt uzsāktas, īpaši ņemot vērā to, ka no attiecīgā juridiskā pamata ir atkarīga arī balsošanas kārtība. </w:t>
      </w:r>
    </w:p>
    <w:p w:rsidR="006B27FF" w:rsidRPr="00E73951" w:rsidRDefault="006B27FF" w:rsidP="006B27FF">
      <w:pPr>
        <w:ind w:firstLine="709"/>
        <w:jc w:val="both"/>
        <w:rPr>
          <w:noProof/>
        </w:rPr>
      </w:pPr>
      <w:r w:rsidRPr="00E73951">
        <w:t>Attiecībā uz Prezidentūras ierosinājumu uzsākt diskusijas par nesaistoša rakstura principiem un vadlīnijām Latvija norāda, ka jau sākotnēji ir atbalstījusi saistoša instrumenta formu. Tādējādi Latvija neuzskata, ka šobrīd būtu nepieciešams uzsākt diskusijas par nesaistošu instrumentu.</w:t>
      </w:r>
    </w:p>
    <w:p w:rsidR="00C75A34" w:rsidRDefault="00C75A34" w:rsidP="00C75A34">
      <w:pPr>
        <w:ind w:firstLine="709"/>
        <w:jc w:val="both"/>
        <w:rPr>
          <w:noProof/>
        </w:rPr>
      </w:pPr>
    </w:p>
    <w:p w:rsidR="00531F47" w:rsidRDefault="00531F47" w:rsidP="00C75A34">
      <w:pPr>
        <w:ind w:firstLine="709"/>
        <w:jc w:val="both"/>
        <w:rPr>
          <w:noProof/>
        </w:rPr>
      </w:pPr>
    </w:p>
    <w:p w:rsidR="00531F47" w:rsidRDefault="00531F47" w:rsidP="00C75A34">
      <w:pPr>
        <w:ind w:firstLine="709"/>
        <w:jc w:val="both"/>
        <w:rPr>
          <w:noProof/>
        </w:rPr>
      </w:pPr>
    </w:p>
    <w:p w:rsidR="00531F47" w:rsidRDefault="00531F47" w:rsidP="00C75A34">
      <w:pPr>
        <w:ind w:firstLine="709"/>
        <w:jc w:val="both"/>
        <w:rPr>
          <w:noProof/>
        </w:rPr>
      </w:pPr>
    </w:p>
    <w:p w:rsidR="00531F47" w:rsidRPr="00E73951" w:rsidRDefault="00531F47" w:rsidP="00C75A34">
      <w:pPr>
        <w:ind w:firstLine="709"/>
        <w:jc w:val="both"/>
        <w:rPr>
          <w:noProof/>
        </w:rPr>
      </w:pPr>
    </w:p>
    <w:p w:rsidR="001C09DB" w:rsidRPr="00E73951" w:rsidRDefault="001C09DB" w:rsidP="001C09DB">
      <w:pPr>
        <w:jc w:val="both"/>
      </w:pPr>
      <w:r w:rsidRPr="00E73951">
        <w:rPr>
          <w:b/>
          <w:u w:val="single"/>
        </w:rPr>
        <w:lastRenderedPageBreak/>
        <w:t>I</w:t>
      </w:r>
      <w:r w:rsidR="00C75A34" w:rsidRPr="00E73951">
        <w:rPr>
          <w:b/>
          <w:u w:val="single"/>
        </w:rPr>
        <w:t>V</w:t>
      </w:r>
      <w:r w:rsidRPr="00E73951">
        <w:rPr>
          <w:b/>
          <w:u w:val="single"/>
        </w:rPr>
        <w:t xml:space="preserve"> Latvijas delegācija</w:t>
      </w:r>
    </w:p>
    <w:p w:rsidR="001C09DB" w:rsidRPr="00E73951" w:rsidRDefault="001C09DB" w:rsidP="001C09DB">
      <w:pPr>
        <w:pStyle w:val="Pamatteksts2"/>
        <w:jc w:val="both"/>
        <w:rPr>
          <w:sz w:val="24"/>
          <w:szCs w:val="24"/>
        </w:rPr>
      </w:pPr>
    </w:p>
    <w:p w:rsidR="001C09DB" w:rsidRPr="00E73951" w:rsidRDefault="001C09DB" w:rsidP="001C09DB">
      <w:pPr>
        <w:pStyle w:val="Pamatteksts2"/>
        <w:jc w:val="both"/>
        <w:rPr>
          <w:sz w:val="24"/>
          <w:szCs w:val="24"/>
        </w:rPr>
      </w:pPr>
      <w:r w:rsidRPr="00E73951">
        <w:rPr>
          <w:sz w:val="24"/>
          <w:szCs w:val="24"/>
        </w:rPr>
        <w:t>Delegācijas vadītājs:</w:t>
      </w:r>
    </w:p>
    <w:p w:rsidR="00525979" w:rsidRPr="00E73951" w:rsidRDefault="001C09DB" w:rsidP="00525979">
      <w:pPr>
        <w:ind w:left="2977" w:hanging="2977"/>
        <w:jc w:val="both"/>
      </w:pPr>
      <w:r w:rsidRPr="00E73951">
        <w:rPr>
          <w:b/>
          <w:bCs/>
        </w:rPr>
        <w:t xml:space="preserve"> </w:t>
      </w:r>
      <w:r w:rsidR="00E75886" w:rsidRPr="00E73951">
        <w:rPr>
          <w:b/>
          <w:bCs/>
        </w:rPr>
        <w:t xml:space="preserve">  </w:t>
      </w:r>
      <w:r w:rsidR="001A5A85" w:rsidRPr="00E73951">
        <w:rPr>
          <w:b/>
          <w:bCs/>
        </w:rPr>
        <w:t xml:space="preserve">                          </w:t>
      </w:r>
      <w:r w:rsidR="00525979" w:rsidRPr="00E73951">
        <w:rPr>
          <w:b/>
          <w:bCs/>
        </w:rPr>
        <w:tab/>
        <w:t xml:space="preserve">Ilze </w:t>
      </w:r>
      <w:proofErr w:type="spellStart"/>
      <w:r w:rsidR="00525979" w:rsidRPr="00E73951">
        <w:rPr>
          <w:b/>
          <w:bCs/>
        </w:rPr>
        <w:t>Juhansone</w:t>
      </w:r>
      <w:proofErr w:type="spellEnd"/>
      <w:r w:rsidRPr="00E73951">
        <w:t>, </w:t>
      </w:r>
      <w:r w:rsidR="00525979" w:rsidRPr="00E73951">
        <w:t>ā</w:t>
      </w:r>
      <w:r w:rsidR="00525979" w:rsidRPr="00E73951">
        <w:rPr>
          <w:bCs/>
        </w:rPr>
        <w:t>rkārtējā un pilnvarotā vēstniece Latvijas Republikas Pastāvīgajā pārstāvniecībā ES</w:t>
      </w:r>
      <w:r w:rsidR="000578EC">
        <w:rPr>
          <w:bCs/>
        </w:rPr>
        <w:t>.</w:t>
      </w:r>
      <w:r w:rsidR="00525979" w:rsidRPr="00E73951">
        <w:t xml:space="preserve"> </w:t>
      </w:r>
    </w:p>
    <w:p w:rsidR="001C09DB" w:rsidRPr="00E73951" w:rsidRDefault="001C09DB" w:rsidP="001C09DB">
      <w:pPr>
        <w:pStyle w:val="Pamatteksts2"/>
        <w:ind w:left="2977" w:hanging="2171"/>
        <w:jc w:val="both"/>
        <w:rPr>
          <w:bCs/>
          <w:sz w:val="24"/>
          <w:szCs w:val="24"/>
        </w:rPr>
      </w:pPr>
    </w:p>
    <w:p w:rsidR="001C09DB" w:rsidRPr="00E73951" w:rsidRDefault="001C09DB" w:rsidP="001C09DB">
      <w:pPr>
        <w:pStyle w:val="Pamatteksts2"/>
        <w:ind w:left="2520" w:hanging="2520"/>
        <w:jc w:val="both"/>
        <w:rPr>
          <w:sz w:val="24"/>
          <w:szCs w:val="24"/>
        </w:rPr>
      </w:pPr>
    </w:p>
    <w:p w:rsidR="00525979" w:rsidRPr="00E73951" w:rsidRDefault="001C09DB" w:rsidP="00525979">
      <w:pPr>
        <w:ind w:left="2977" w:hanging="2977"/>
        <w:jc w:val="both"/>
      </w:pPr>
      <w:r w:rsidRPr="00E73951">
        <w:t>Delegācijas dalībnieki:</w:t>
      </w:r>
      <w:r w:rsidRPr="00E73951">
        <w:tab/>
      </w:r>
      <w:r w:rsidR="00525979" w:rsidRPr="00E73951">
        <w:rPr>
          <w:b/>
          <w:bCs/>
        </w:rPr>
        <w:t>Inguss Kalniņš</w:t>
      </w:r>
      <w:r w:rsidR="00525979" w:rsidRPr="00E73951">
        <w:t>, Tieslietu ministrijas valsts sekretāra vietnieks stratēģijas jautājumos;</w:t>
      </w:r>
    </w:p>
    <w:p w:rsidR="00525979" w:rsidRPr="00E73951" w:rsidRDefault="00525979" w:rsidP="00525979">
      <w:pPr>
        <w:ind w:left="2977"/>
        <w:jc w:val="both"/>
      </w:pPr>
      <w:r w:rsidRPr="00E73951">
        <w:rPr>
          <w:b/>
        </w:rPr>
        <w:t>Vita Sliede</w:t>
      </w:r>
      <w:r w:rsidRPr="00E73951">
        <w:t xml:space="preserve">, tieslietu nozares padomniece Latvijas Republikas </w:t>
      </w:r>
      <w:r w:rsidRPr="00E73951">
        <w:rPr>
          <w:rStyle w:val="Izteiksmgs"/>
          <w:b w:val="0"/>
        </w:rPr>
        <w:t>Pastāvīgajā</w:t>
      </w:r>
      <w:r w:rsidRPr="00E73951">
        <w:t xml:space="preserve"> pārstāvniecībā ES; </w:t>
      </w:r>
    </w:p>
    <w:p w:rsidR="00531F47" w:rsidRDefault="00525979" w:rsidP="00525979">
      <w:pPr>
        <w:ind w:left="2977"/>
        <w:jc w:val="both"/>
      </w:pPr>
      <w:r w:rsidRPr="00E73951">
        <w:rPr>
          <w:b/>
        </w:rPr>
        <w:t>Sandris Laganovskis</w:t>
      </w:r>
      <w:r w:rsidRPr="00E73951">
        <w:t xml:space="preserve">, tieslietu nozares padomnieks Latvijas Republikas </w:t>
      </w:r>
      <w:r w:rsidRPr="00E73951">
        <w:rPr>
          <w:rStyle w:val="Izteiksmgs"/>
          <w:b w:val="0"/>
        </w:rPr>
        <w:t>Pastāvīgajā</w:t>
      </w:r>
      <w:r w:rsidRPr="00E73951">
        <w:t xml:space="preserve"> pārstāvniecībā ES</w:t>
      </w:r>
      <w:r w:rsidR="00531F47">
        <w:t>;</w:t>
      </w:r>
    </w:p>
    <w:p w:rsidR="00531F47" w:rsidRPr="00531F47" w:rsidRDefault="00531F47" w:rsidP="00531F47">
      <w:pPr>
        <w:ind w:left="2977"/>
        <w:jc w:val="both"/>
      </w:pPr>
      <w:r w:rsidRPr="00531F47">
        <w:rPr>
          <w:b/>
          <w:bCs/>
        </w:rPr>
        <w:t>Ilona Tomsone</w:t>
      </w:r>
      <w:r w:rsidRPr="00531F47">
        <w:t xml:space="preserve">, </w:t>
      </w:r>
      <w:r>
        <w:t>k</w:t>
      </w:r>
      <w:r w:rsidRPr="00531F47">
        <w:t xml:space="preserve">ultūras nozares padomniece Latvijas Republikas Pastāvīgajā pārstāvniecībā ES. </w:t>
      </w:r>
    </w:p>
    <w:p w:rsidR="00521BF9" w:rsidRPr="00E73951" w:rsidRDefault="00521BF9" w:rsidP="00521BF9">
      <w:pPr>
        <w:ind w:left="2977" w:hanging="2977"/>
        <w:jc w:val="both"/>
      </w:pPr>
    </w:p>
    <w:p w:rsidR="00A24B59" w:rsidRPr="00E73951" w:rsidRDefault="00A24B59" w:rsidP="001C09DB">
      <w:pPr>
        <w:jc w:val="both"/>
      </w:pPr>
    </w:p>
    <w:p w:rsidR="00FE0DB2" w:rsidRPr="00FE0DB2" w:rsidRDefault="00FE0DB2" w:rsidP="00FE0DB2">
      <w:pPr>
        <w:jc w:val="both"/>
        <w:rPr>
          <w:color w:val="1F497D"/>
        </w:rPr>
      </w:pPr>
      <w:r w:rsidRPr="00FE0DB2">
        <w:t>Tieslietu ministra </w:t>
      </w:r>
      <w:proofErr w:type="spellStart"/>
      <w:r w:rsidRPr="00FE0DB2">
        <w:t>p.i</w:t>
      </w:r>
      <w:proofErr w:type="spellEnd"/>
      <w:r w:rsidRPr="00FE0DB2">
        <w:t>.</w:t>
      </w:r>
    </w:p>
    <w:p w:rsidR="00FE0DB2" w:rsidRPr="00FE0DB2" w:rsidRDefault="00FE0DB2" w:rsidP="00FE0DB2">
      <w:pPr>
        <w:jc w:val="both"/>
      </w:pPr>
      <w:r w:rsidRPr="00FE0DB2">
        <w:t>iekšlietu ministrs      </w:t>
      </w:r>
      <w:proofErr w:type="gramStart"/>
      <w:r w:rsidRPr="00FE0DB2">
        <w:t xml:space="preserve">     </w:t>
      </w:r>
      <w:proofErr w:type="gramEnd"/>
      <w:r w:rsidRPr="00FE0DB2">
        <w:t>                                                                    </w:t>
      </w:r>
      <w:r>
        <w:t xml:space="preserve">                      </w:t>
      </w:r>
      <w:r w:rsidRPr="00FE0DB2">
        <w:t> </w:t>
      </w:r>
      <w:proofErr w:type="spellStart"/>
      <w:r w:rsidRPr="00FE0DB2">
        <w:t>R.Kozlovskis</w:t>
      </w:r>
      <w:proofErr w:type="spellEnd"/>
    </w:p>
    <w:p w:rsidR="00FE0DB2" w:rsidRDefault="00FE0DB2" w:rsidP="001C09DB">
      <w:pPr>
        <w:jc w:val="both"/>
        <w:rPr>
          <w:sz w:val="20"/>
          <w:szCs w:val="20"/>
        </w:rPr>
      </w:pPr>
    </w:p>
    <w:p w:rsidR="00FE0DB2" w:rsidRDefault="00FE0DB2" w:rsidP="001C09DB">
      <w:pPr>
        <w:jc w:val="both"/>
        <w:rPr>
          <w:sz w:val="20"/>
          <w:szCs w:val="20"/>
        </w:rPr>
      </w:pPr>
    </w:p>
    <w:p w:rsidR="001C09DB" w:rsidRPr="00E50408" w:rsidRDefault="00EA6F79" w:rsidP="001C09DB">
      <w:pPr>
        <w:jc w:val="both"/>
        <w:rPr>
          <w:sz w:val="20"/>
          <w:szCs w:val="20"/>
        </w:rPr>
      </w:pPr>
      <w:r w:rsidRPr="00E50408">
        <w:rPr>
          <w:sz w:val="20"/>
          <w:szCs w:val="20"/>
        </w:rPr>
        <w:t>01</w:t>
      </w:r>
      <w:r w:rsidR="001C09DB" w:rsidRPr="00E50408">
        <w:rPr>
          <w:sz w:val="20"/>
          <w:szCs w:val="20"/>
        </w:rPr>
        <w:t>.</w:t>
      </w:r>
      <w:r w:rsidR="00525979" w:rsidRPr="00E50408">
        <w:rPr>
          <w:sz w:val="20"/>
          <w:szCs w:val="20"/>
        </w:rPr>
        <w:t>0</w:t>
      </w:r>
      <w:r w:rsidRPr="00E50408">
        <w:rPr>
          <w:sz w:val="20"/>
          <w:szCs w:val="20"/>
        </w:rPr>
        <w:t>6</w:t>
      </w:r>
      <w:r w:rsidR="001C09DB" w:rsidRPr="00E50408">
        <w:rPr>
          <w:sz w:val="20"/>
          <w:szCs w:val="20"/>
        </w:rPr>
        <w:t>.201</w:t>
      </w:r>
      <w:r w:rsidR="000A7AE4" w:rsidRPr="00E50408">
        <w:rPr>
          <w:sz w:val="20"/>
          <w:szCs w:val="20"/>
        </w:rPr>
        <w:t>2</w:t>
      </w:r>
      <w:r w:rsidR="001C09DB" w:rsidRPr="00E50408">
        <w:rPr>
          <w:sz w:val="20"/>
          <w:szCs w:val="20"/>
        </w:rPr>
        <w:t xml:space="preserve"> </w:t>
      </w:r>
      <w:r w:rsidR="00F107E6" w:rsidRPr="00E50408">
        <w:rPr>
          <w:sz w:val="20"/>
          <w:szCs w:val="20"/>
        </w:rPr>
        <w:t>10:</w:t>
      </w:r>
      <w:r w:rsidRPr="00E50408">
        <w:rPr>
          <w:sz w:val="20"/>
          <w:szCs w:val="20"/>
        </w:rPr>
        <w:t>00</w:t>
      </w:r>
    </w:p>
    <w:p w:rsidR="001C09DB" w:rsidRPr="00E50408" w:rsidRDefault="00375217" w:rsidP="001C09DB">
      <w:pPr>
        <w:jc w:val="both"/>
        <w:rPr>
          <w:sz w:val="20"/>
          <w:szCs w:val="20"/>
        </w:rPr>
      </w:pPr>
      <w:r w:rsidRPr="00531F47">
        <w:rPr>
          <w:sz w:val="20"/>
          <w:szCs w:val="20"/>
        </w:rPr>
        <w:t>1</w:t>
      </w:r>
      <w:r w:rsidR="00FE0DB2">
        <w:rPr>
          <w:sz w:val="20"/>
          <w:szCs w:val="20"/>
        </w:rPr>
        <w:t>8</w:t>
      </w:r>
      <w:r w:rsidR="00EB5E3D">
        <w:rPr>
          <w:sz w:val="20"/>
          <w:szCs w:val="20"/>
        </w:rPr>
        <w:t>0</w:t>
      </w:r>
      <w:r w:rsidR="00425EA0">
        <w:rPr>
          <w:sz w:val="20"/>
          <w:szCs w:val="20"/>
        </w:rPr>
        <w:t>7</w:t>
      </w:r>
    </w:p>
    <w:p w:rsidR="002A0044" w:rsidRPr="00E50408" w:rsidRDefault="006D68BB" w:rsidP="001C09DB">
      <w:pPr>
        <w:jc w:val="both"/>
        <w:rPr>
          <w:sz w:val="20"/>
          <w:szCs w:val="20"/>
        </w:rPr>
      </w:pPr>
      <w:bookmarkStart w:id="9" w:name="OLE_LINK3"/>
      <w:bookmarkStart w:id="10" w:name="OLE_LINK4"/>
      <w:r>
        <w:rPr>
          <w:sz w:val="20"/>
          <w:szCs w:val="20"/>
        </w:rPr>
        <w:t>Dace Vītola</w:t>
      </w:r>
    </w:p>
    <w:p w:rsidR="002A0044" w:rsidRPr="00E50408" w:rsidRDefault="006D68BB" w:rsidP="001C09DB">
      <w:pPr>
        <w:jc w:val="both"/>
        <w:rPr>
          <w:sz w:val="20"/>
          <w:szCs w:val="20"/>
        </w:rPr>
      </w:pPr>
      <w:r>
        <w:rPr>
          <w:sz w:val="20"/>
          <w:szCs w:val="20"/>
        </w:rPr>
        <w:t>67036913</w:t>
      </w:r>
      <w:r w:rsidR="002A0044" w:rsidRPr="00E50408">
        <w:rPr>
          <w:sz w:val="20"/>
          <w:szCs w:val="20"/>
        </w:rPr>
        <w:t xml:space="preserve">, </w:t>
      </w:r>
      <w:r>
        <w:rPr>
          <w:sz w:val="20"/>
          <w:szCs w:val="20"/>
        </w:rPr>
        <w:t>Dace.Vitola@tm.gov.lv</w:t>
      </w:r>
      <w:bookmarkEnd w:id="9"/>
      <w:bookmarkEnd w:id="10"/>
    </w:p>
    <w:sectPr w:rsidR="002A0044" w:rsidRPr="00E50408" w:rsidSect="00FD250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38" w:rsidRDefault="00895038" w:rsidP="001C09DB">
      <w:r>
        <w:separator/>
      </w:r>
    </w:p>
  </w:endnote>
  <w:endnote w:type="continuationSeparator" w:id="0">
    <w:p w:rsidR="00895038" w:rsidRDefault="00895038" w:rsidP="001C0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EA" w:rsidRPr="00FD28B6" w:rsidRDefault="00525979" w:rsidP="00B40EDD">
    <w:pPr>
      <w:jc w:val="both"/>
    </w:pPr>
    <w:r w:rsidRPr="00B40EDD">
      <w:rPr>
        <w:sz w:val="20"/>
        <w:szCs w:val="20"/>
      </w:rPr>
      <w:t>TMzino_</w:t>
    </w:r>
    <w:r w:rsidR="00EA6F79" w:rsidRPr="00B40EDD">
      <w:rPr>
        <w:sz w:val="20"/>
        <w:szCs w:val="20"/>
      </w:rPr>
      <w:t>01</w:t>
    </w:r>
    <w:r w:rsidR="00FD28B6" w:rsidRPr="00B40EDD">
      <w:rPr>
        <w:sz w:val="20"/>
        <w:szCs w:val="20"/>
      </w:rPr>
      <w:t>0</w:t>
    </w:r>
    <w:r w:rsidR="00EA6F79" w:rsidRPr="00B40EDD">
      <w:rPr>
        <w:sz w:val="20"/>
        <w:szCs w:val="20"/>
      </w:rPr>
      <w:t>6</w:t>
    </w:r>
    <w:r w:rsidR="00FD28B6" w:rsidRPr="00B40EDD">
      <w:rPr>
        <w:sz w:val="20"/>
        <w:szCs w:val="20"/>
      </w:rPr>
      <w:t xml:space="preserve">12_JHAC; informatīvais </w:t>
    </w:r>
    <w:smartTag w:uri="schemas-tilde-lv/tildestengine" w:element="veidnes">
      <w:smartTagPr>
        <w:attr w:name="text" w:val="ziņojums"/>
        <w:attr w:name="baseform" w:val="ziņojums"/>
        <w:attr w:name="id" w:val="-1"/>
      </w:smartTagPr>
      <w:r w:rsidR="00FD28B6" w:rsidRPr="00B40EDD">
        <w:rPr>
          <w:sz w:val="20"/>
          <w:szCs w:val="20"/>
        </w:rPr>
        <w:t>ziņojums</w:t>
      </w:r>
    </w:smartTag>
    <w:r w:rsidR="00FD28B6" w:rsidRPr="00B40EDD">
      <w:rPr>
        <w:sz w:val="20"/>
        <w:szCs w:val="20"/>
      </w:rPr>
      <w:t xml:space="preserve"> </w:t>
    </w:r>
    <w:r w:rsidR="00FD28B6" w:rsidRPr="00B40EDD">
      <w:rPr>
        <w:bCs/>
        <w:sz w:val="20"/>
        <w:szCs w:val="20"/>
      </w:rPr>
      <w:t xml:space="preserve">par </w:t>
    </w:r>
    <w:r w:rsidR="00F107E6" w:rsidRPr="00B40EDD">
      <w:rPr>
        <w:bCs/>
        <w:sz w:val="20"/>
        <w:szCs w:val="20"/>
      </w:rPr>
      <w:t xml:space="preserve">Eiropas Savienības </w:t>
    </w:r>
    <w:r w:rsidR="00FD28B6" w:rsidRPr="00B40EDD">
      <w:rPr>
        <w:sz w:val="20"/>
        <w:szCs w:val="20"/>
      </w:rPr>
      <w:t xml:space="preserve">Tieslietu un iekšlietu ministru padomes </w:t>
    </w:r>
    <w:r w:rsidR="00FD28B6" w:rsidRPr="00B40EDD">
      <w:rPr>
        <w:bCs/>
        <w:sz w:val="20"/>
        <w:szCs w:val="20"/>
      </w:rPr>
      <w:t xml:space="preserve">2012. gada </w:t>
    </w:r>
    <w:r w:rsidRPr="00B40EDD">
      <w:rPr>
        <w:sz w:val="20"/>
        <w:szCs w:val="20"/>
      </w:rPr>
      <w:t>7.-8.jūnija</w:t>
    </w:r>
    <w:r w:rsidR="00FD28B6" w:rsidRPr="00B40EDD">
      <w:rPr>
        <w:bCs/>
        <w:sz w:val="20"/>
        <w:szCs w:val="20"/>
      </w:rPr>
      <w:t xml:space="preserve"> </w:t>
    </w:r>
    <w:r w:rsidR="00FD28B6" w:rsidRPr="00B40EDD">
      <w:rPr>
        <w:sz w:val="20"/>
        <w:szCs w:val="20"/>
      </w:rPr>
      <w:t>sanāksm</w:t>
    </w:r>
    <w:r w:rsidR="00FD28B6" w:rsidRPr="00B40EDD">
      <w:rPr>
        <w:bCs/>
        <w:sz w:val="20"/>
        <w:szCs w:val="20"/>
      </w:rPr>
      <w:t xml:space="preserve">ē izskatāmajiem jautājumiem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EA" w:rsidRPr="00B40EDD" w:rsidRDefault="00525979">
    <w:pPr>
      <w:jc w:val="both"/>
    </w:pPr>
    <w:r w:rsidRPr="00B40EDD">
      <w:rPr>
        <w:sz w:val="20"/>
        <w:szCs w:val="20"/>
      </w:rPr>
      <w:t>TMzino_</w:t>
    </w:r>
    <w:r w:rsidR="00B40EDD">
      <w:rPr>
        <w:sz w:val="20"/>
        <w:szCs w:val="20"/>
      </w:rPr>
      <w:t>01</w:t>
    </w:r>
    <w:r w:rsidRPr="00B40EDD">
      <w:rPr>
        <w:sz w:val="20"/>
        <w:szCs w:val="20"/>
      </w:rPr>
      <w:t>0</w:t>
    </w:r>
    <w:r w:rsidR="00B40EDD">
      <w:rPr>
        <w:sz w:val="20"/>
        <w:szCs w:val="20"/>
      </w:rPr>
      <w:t>6</w:t>
    </w:r>
    <w:r w:rsidR="00575008" w:rsidRPr="00B40EDD">
      <w:rPr>
        <w:sz w:val="20"/>
        <w:szCs w:val="20"/>
      </w:rPr>
      <w:t>12</w:t>
    </w:r>
    <w:r w:rsidR="00453322" w:rsidRPr="00B40EDD">
      <w:rPr>
        <w:sz w:val="20"/>
        <w:szCs w:val="20"/>
      </w:rPr>
      <w:t xml:space="preserve">_JHAC; informatīvais </w:t>
    </w:r>
    <w:smartTag w:uri="schemas-tilde-lv/tildestengine" w:element="veidnes">
      <w:smartTagPr>
        <w:attr w:name="text" w:val="ziņojums"/>
        <w:attr w:name="baseform" w:val="ziņojums"/>
        <w:attr w:name="id" w:val="-1"/>
      </w:smartTagPr>
      <w:r w:rsidR="00453322" w:rsidRPr="00B40EDD">
        <w:rPr>
          <w:sz w:val="20"/>
          <w:szCs w:val="20"/>
        </w:rPr>
        <w:t>ziņojums</w:t>
      </w:r>
    </w:smartTag>
    <w:r w:rsidR="00453322" w:rsidRPr="00B40EDD">
      <w:rPr>
        <w:sz w:val="20"/>
        <w:szCs w:val="20"/>
      </w:rPr>
      <w:t xml:space="preserve"> </w:t>
    </w:r>
    <w:r w:rsidR="00453322" w:rsidRPr="00B40EDD">
      <w:rPr>
        <w:bCs/>
        <w:sz w:val="20"/>
        <w:szCs w:val="20"/>
      </w:rPr>
      <w:t xml:space="preserve">par </w:t>
    </w:r>
    <w:r w:rsidR="00F107E6" w:rsidRPr="00B40EDD">
      <w:rPr>
        <w:bCs/>
        <w:sz w:val="20"/>
        <w:szCs w:val="20"/>
      </w:rPr>
      <w:t xml:space="preserve">Eiropas Savienības </w:t>
    </w:r>
    <w:r w:rsidR="00453322" w:rsidRPr="00B40EDD">
      <w:rPr>
        <w:sz w:val="20"/>
        <w:szCs w:val="20"/>
      </w:rPr>
      <w:t xml:space="preserve">Tieslietu un iekšlietu ministru padomes </w:t>
    </w:r>
    <w:r w:rsidR="00453322" w:rsidRPr="00B40EDD">
      <w:rPr>
        <w:bCs/>
        <w:sz w:val="20"/>
        <w:szCs w:val="20"/>
      </w:rPr>
      <w:t>201</w:t>
    </w:r>
    <w:r w:rsidR="003948E1" w:rsidRPr="00B40EDD">
      <w:rPr>
        <w:bCs/>
        <w:sz w:val="20"/>
        <w:szCs w:val="20"/>
      </w:rPr>
      <w:t>2</w:t>
    </w:r>
    <w:r w:rsidR="00453322" w:rsidRPr="00B40EDD">
      <w:rPr>
        <w:bCs/>
        <w:sz w:val="20"/>
        <w:szCs w:val="20"/>
      </w:rPr>
      <w:t xml:space="preserve">. gada </w:t>
    </w:r>
    <w:r w:rsidRPr="00B40EDD">
      <w:rPr>
        <w:sz w:val="20"/>
        <w:szCs w:val="20"/>
      </w:rPr>
      <w:t>7.-8.jūnija</w:t>
    </w:r>
    <w:r w:rsidR="00453322" w:rsidRPr="00B40EDD">
      <w:rPr>
        <w:bCs/>
        <w:sz w:val="20"/>
        <w:szCs w:val="20"/>
      </w:rPr>
      <w:t xml:space="preserve"> </w:t>
    </w:r>
    <w:r w:rsidR="00453322" w:rsidRPr="00B40EDD">
      <w:rPr>
        <w:sz w:val="20"/>
        <w:szCs w:val="20"/>
      </w:rPr>
      <w:t>sanāksm</w:t>
    </w:r>
    <w:r w:rsidR="00453322" w:rsidRPr="00B40EDD">
      <w:rPr>
        <w:bCs/>
        <w:sz w:val="20"/>
        <w:szCs w:val="20"/>
      </w:rPr>
      <w:t xml:space="preserve">ē izskatāmajiem jautājumiem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38" w:rsidRDefault="00895038" w:rsidP="001C09DB">
      <w:r>
        <w:separator/>
      </w:r>
    </w:p>
  </w:footnote>
  <w:footnote w:type="continuationSeparator" w:id="0">
    <w:p w:rsidR="00895038" w:rsidRDefault="00895038" w:rsidP="001C09DB">
      <w:r>
        <w:continuationSeparator/>
      </w:r>
    </w:p>
  </w:footnote>
  <w:footnote w:id="1">
    <w:p w:rsidR="00EB5E3D" w:rsidRDefault="00EB5E3D">
      <w:pPr>
        <w:pStyle w:val="Vresteksts"/>
      </w:pPr>
      <w:r>
        <w:rPr>
          <w:rStyle w:val="Vresatsauce"/>
        </w:rPr>
        <w:footnoteRef/>
      </w:r>
      <w:r>
        <w:t xml:space="preserve"> Rezolūciju Eiropas Savienības Padome pieņēma 2009. gada 30. novembrī</w:t>
      </w:r>
    </w:p>
  </w:footnote>
  <w:footnote w:id="2">
    <w:p w:rsidR="006B27FF" w:rsidRDefault="006B27FF" w:rsidP="006B27FF">
      <w:pPr>
        <w:pStyle w:val="Vresteksts"/>
        <w:ind w:left="0" w:firstLine="0"/>
      </w:pPr>
      <w:r>
        <w:rPr>
          <w:rStyle w:val="Vresatsauce"/>
        </w:rPr>
        <w:footnoteRef/>
      </w:r>
      <w:r>
        <w:t xml:space="preserve"> Eiropas Savienības Padomes </w:t>
      </w:r>
      <w:smartTag w:uri="schemas-tilde-lv/tildestengine" w:element="date">
        <w:smartTagPr>
          <w:attr w:name="Year" w:val="2000"/>
          <w:attr w:name="Month" w:val="12"/>
          <w:attr w:name="Day" w:val="22"/>
        </w:smartTagPr>
        <w:r>
          <w:t>2000.gada 22.decembra</w:t>
        </w:r>
      </w:smartTag>
      <w:r>
        <w:t xml:space="preserve"> Regula (EK) Nr.44/2001 par jurisdikciju un spriedumu atzīšanu un izpildi civillietās un </w:t>
      </w:r>
      <w:proofErr w:type="spellStart"/>
      <w:r>
        <w:t>komerclietās</w:t>
      </w:r>
      <w:proofErr w:type="spellEnd"/>
    </w:p>
  </w:footnote>
  <w:footnote w:id="3">
    <w:p w:rsidR="00E73951" w:rsidRDefault="00E73951" w:rsidP="00E73951">
      <w:pPr>
        <w:pStyle w:val="Vresteksts"/>
        <w:ind w:left="142" w:hanging="142"/>
      </w:pPr>
      <w:r>
        <w:rPr>
          <w:rStyle w:val="Vresatsauce"/>
        </w:rPr>
        <w:footnoteRef/>
      </w:r>
      <w:r>
        <w:t xml:space="preserve"> Dalībvalstu diskusiju gaitā programmas nosaukums tika paplašināts, ietverot arī vienlīdzību, kas atbilst  programmas mērķiem.</w:t>
      </w:r>
    </w:p>
  </w:footnote>
  <w:footnote w:id="4">
    <w:p w:rsidR="00E73951" w:rsidRDefault="00E73951" w:rsidP="00E73951">
      <w:pPr>
        <w:pStyle w:val="Vresteksts"/>
      </w:pPr>
      <w:r>
        <w:rPr>
          <w:rStyle w:val="Vresatsauce"/>
        </w:rPr>
        <w:footnoteRef/>
      </w:r>
      <w:r>
        <w:t xml:space="preserve"> OV C 115, 4.5.2010, p.1. </w:t>
      </w:r>
    </w:p>
  </w:footnote>
  <w:footnote w:id="5">
    <w:p w:rsidR="006B27FF" w:rsidRDefault="006B27FF" w:rsidP="006B27FF">
      <w:pPr>
        <w:pStyle w:val="Vresteksts"/>
        <w:ind w:left="142" w:hanging="142"/>
      </w:pPr>
      <w:r>
        <w:rPr>
          <w:rStyle w:val="Vresatsauce"/>
        </w:rPr>
        <w:footnoteRef/>
      </w:r>
      <w:r>
        <w:t xml:space="preserve"> </w:t>
      </w:r>
      <w:r w:rsidRPr="00B31E3B">
        <w:t>Eiropas Parlamenta un Padomes 2008. gada 17. jūnija regula Nr.593/2008 par piemērojamo likumu</w:t>
      </w:r>
      <w:r>
        <w:t xml:space="preserve">  </w:t>
      </w:r>
      <w:r w:rsidRPr="00B31E3B">
        <w:t>līgumsaistībām (Roma I)</w:t>
      </w:r>
      <w:r>
        <w:t>;</w:t>
      </w:r>
    </w:p>
  </w:footnote>
  <w:footnote w:id="6">
    <w:p w:rsidR="00731828" w:rsidRDefault="00731828" w:rsidP="00731828">
      <w:pPr>
        <w:pStyle w:val="Vresteksts"/>
        <w:ind w:left="142" w:hanging="142"/>
      </w:pPr>
      <w:r>
        <w:rPr>
          <w:rStyle w:val="Vresatsauce"/>
        </w:rPr>
        <w:footnoteRef/>
      </w:r>
      <w:r>
        <w:t xml:space="preserve"> </w:t>
      </w:r>
      <w:r w:rsidRPr="00B31E3B">
        <w:rPr>
          <w:color w:val="000000"/>
        </w:rPr>
        <w:t>1980.gada 11.aprīļa Apvienoto Nāciju Organizācijas Konvencij</w:t>
      </w:r>
      <w:r>
        <w:rPr>
          <w:color w:val="000000"/>
        </w:rPr>
        <w:t>a</w:t>
      </w:r>
      <w:r w:rsidRPr="00B31E3B">
        <w:rPr>
          <w:color w:val="000000"/>
        </w:rPr>
        <w:t xml:space="preserve"> par starptautiskajiem preču pirkum</w:t>
      </w:r>
      <w:r>
        <w:rPr>
          <w:color w:val="000000"/>
        </w:rPr>
        <w:t>a – pārdevuma līgumiem.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22" w:rsidRDefault="000B5C0E">
    <w:pPr>
      <w:pStyle w:val="Galvene"/>
      <w:framePr w:wrap="auto" w:vAnchor="text" w:hAnchor="margin" w:xAlign="center" w:y="1"/>
      <w:rPr>
        <w:rStyle w:val="Lappusesnumurs"/>
      </w:rPr>
    </w:pPr>
    <w:r>
      <w:rPr>
        <w:rStyle w:val="Lappusesnumurs"/>
      </w:rPr>
      <w:fldChar w:fldCharType="begin"/>
    </w:r>
    <w:r w:rsidR="00453322">
      <w:rPr>
        <w:rStyle w:val="Lappusesnumurs"/>
      </w:rPr>
      <w:instrText xml:space="preserve">PAGE  </w:instrText>
    </w:r>
    <w:r>
      <w:rPr>
        <w:rStyle w:val="Lappusesnumurs"/>
      </w:rPr>
      <w:fldChar w:fldCharType="separate"/>
    </w:r>
    <w:r w:rsidR="00037170">
      <w:rPr>
        <w:rStyle w:val="Lappusesnumurs"/>
        <w:noProof/>
      </w:rPr>
      <w:t>5</w:t>
    </w:r>
    <w:r>
      <w:rPr>
        <w:rStyle w:val="Lappusesnumurs"/>
      </w:rPr>
      <w:fldChar w:fldCharType="end"/>
    </w:r>
  </w:p>
  <w:p w:rsidR="00453322" w:rsidRDefault="00453322">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F6"/>
    <w:multiLevelType w:val="hybridMultilevel"/>
    <w:tmpl w:val="F582211A"/>
    <w:lvl w:ilvl="0" w:tplc="D360BCB2">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6646C7D"/>
    <w:multiLevelType w:val="hybridMultilevel"/>
    <w:tmpl w:val="68CE06C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BFD13D4"/>
    <w:multiLevelType w:val="hybridMultilevel"/>
    <w:tmpl w:val="92AC67BA"/>
    <w:lvl w:ilvl="0" w:tplc="5FD4C0C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FA1484F"/>
    <w:multiLevelType w:val="hybridMultilevel"/>
    <w:tmpl w:val="74BA7A2C"/>
    <w:lvl w:ilvl="0" w:tplc="97B0D35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D649E4"/>
    <w:multiLevelType w:val="hybridMultilevel"/>
    <w:tmpl w:val="79FE96F6"/>
    <w:lvl w:ilvl="0" w:tplc="B120C7BE">
      <w:start w:val="1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166F4360"/>
    <w:multiLevelType w:val="hybridMultilevel"/>
    <w:tmpl w:val="15B06E8C"/>
    <w:lvl w:ilvl="0" w:tplc="5FD4C0C4">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A3F1BF4"/>
    <w:multiLevelType w:val="hybridMultilevel"/>
    <w:tmpl w:val="109474CA"/>
    <w:lvl w:ilvl="0" w:tplc="873C8EC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8">
    <w:nsid w:val="2AB766AB"/>
    <w:multiLevelType w:val="hybridMultilevel"/>
    <w:tmpl w:val="129073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0E25A4"/>
    <w:multiLevelType w:val="hybridMultilevel"/>
    <w:tmpl w:val="F06620BC"/>
    <w:lvl w:ilvl="0" w:tplc="28A0E0E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nsid w:val="3CE425B2"/>
    <w:multiLevelType w:val="hybridMultilevel"/>
    <w:tmpl w:val="2A6A96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E4103FD"/>
    <w:multiLevelType w:val="hybridMultilevel"/>
    <w:tmpl w:val="1E48F256"/>
    <w:lvl w:ilvl="0" w:tplc="752A3C28">
      <w:start w:val="4"/>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2">
    <w:nsid w:val="40315490"/>
    <w:multiLevelType w:val="singleLevel"/>
    <w:tmpl w:val="1F86C700"/>
    <w:name w:val="Tiret 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79B4197"/>
    <w:multiLevelType w:val="hybridMultilevel"/>
    <w:tmpl w:val="4DEE1E3A"/>
    <w:lvl w:ilvl="0" w:tplc="E662F90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4">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65123CA0"/>
    <w:multiLevelType w:val="hybridMultilevel"/>
    <w:tmpl w:val="0974030A"/>
    <w:lvl w:ilvl="0" w:tplc="080C000F">
      <w:start w:val="1"/>
      <w:numFmt w:val="decimal"/>
      <w:lvlText w:val="%1."/>
      <w:lvlJc w:val="left"/>
      <w:pPr>
        <w:tabs>
          <w:tab w:val="num" w:pos="720"/>
        </w:tabs>
        <w:ind w:left="720" w:hanging="360"/>
      </w:pPr>
    </w:lvl>
    <w:lvl w:ilvl="1" w:tplc="4570510E">
      <w:numFmt w:val="bullet"/>
      <w:lvlText w:val="–"/>
      <w:lvlJc w:val="left"/>
      <w:pPr>
        <w:tabs>
          <w:tab w:val="num" w:pos="1650"/>
        </w:tabs>
        <w:ind w:left="1650" w:hanging="570"/>
      </w:pPr>
      <w:rPr>
        <w:rFonts w:ascii="Times New Roman" w:eastAsia="Times New Roman" w:hAnsi="Times New Roman" w:hint="default"/>
      </w:rPr>
    </w:lvl>
    <w:lvl w:ilvl="2" w:tplc="EA3CAF66">
      <w:start w:val="1"/>
      <w:numFmt w:val="lowerLetter"/>
      <w:lvlText w:val="(%3)"/>
      <w:lvlJc w:val="left"/>
      <w:pPr>
        <w:tabs>
          <w:tab w:val="num" w:pos="2340"/>
        </w:tabs>
        <w:ind w:left="2340" w:hanging="360"/>
      </w:pPr>
      <w:rPr>
        <w:rFonts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6">
    <w:nsid w:val="73EF6D5E"/>
    <w:multiLevelType w:val="hybridMultilevel"/>
    <w:tmpl w:val="870E8C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523140"/>
    <w:multiLevelType w:val="hybridMultilevel"/>
    <w:tmpl w:val="EDAC6750"/>
    <w:lvl w:ilvl="0" w:tplc="46ACADB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7F762880"/>
    <w:multiLevelType w:val="hybridMultilevel"/>
    <w:tmpl w:val="4AB6981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17"/>
  </w:num>
  <w:num w:numId="7">
    <w:abstractNumId w:val="3"/>
  </w:num>
  <w:num w:numId="8">
    <w:abstractNumId w:val="1"/>
  </w:num>
  <w:num w:numId="9">
    <w:abstractNumId w:val="15"/>
  </w:num>
  <w:num w:numId="10">
    <w:abstractNumId w:val="11"/>
  </w:num>
  <w:num w:numId="11">
    <w:abstractNumId w:val="8"/>
  </w:num>
  <w:num w:numId="12">
    <w:abstractNumId w:val="6"/>
  </w:num>
  <w:num w:numId="13">
    <w:abstractNumId w:val="9"/>
  </w:num>
  <w:num w:numId="14">
    <w:abstractNumId w:val="12"/>
  </w:num>
  <w:num w:numId="15">
    <w:abstractNumId w:val="14"/>
  </w:num>
  <w:num w:numId="16">
    <w:abstractNumId w:val="2"/>
  </w:num>
  <w:num w:numId="17">
    <w:abstractNumId w:val="18"/>
  </w:num>
  <w:num w:numId="18">
    <w:abstractNumId w:val="5"/>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09DB"/>
    <w:rsid w:val="00026A38"/>
    <w:rsid w:val="00035797"/>
    <w:rsid w:val="00037170"/>
    <w:rsid w:val="000578EC"/>
    <w:rsid w:val="0007626D"/>
    <w:rsid w:val="00076D7E"/>
    <w:rsid w:val="00087190"/>
    <w:rsid w:val="000A7AE4"/>
    <w:rsid w:val="000B43F3"/>
    <w:rsid w:val="000B5C0E"/>
    <w:rsid w:val="000B7430"/>
    <w:rsid w:val="000B7872"/>
    <w:rsid w:val="000C2318"/>
    <w:rsid w:val="000C3BBE"/>
    <w:rsid w:val="000D7BCD"/>
    <w:rsid w:val="000E6911"/>
    <w:rsid w:val="000F6FA0"/>
    <w:rsid w:val="00104C2A"/>
    <w:rsid w:val="001310C6"/>
    <w:rsid w:val="001321AE"/>
    <w:rsid w:val="00143BD0"/>
    <w:rsid w:val="00167DDB"/>
    <w:rsid w:val="00177A0E"/>
    <w:rsid w:val="0018209C"/>
    <w:rsid w:val="00187CFD"/>
    <w:rsid w:val="001A5A85"/>
    <w:rsid w:val="001C09DB"/>
    <w:rsid w:val="001C0A1D"/>
    <w:rsid w:val="001C7665"/>
    <w:rsid w:val="001D259F"/>
    <w:rsid w:val="001D608D"/>
    <w:rsid w:val="001D70EE"/>
    <w:rsid w:val="001E761A"/>
    <w:rsid w:val="00200692"/>
    <w:rsid w:val="002033D4"/>
    <w:rsid w:val="00203860"/>
    <w:rsid w:val="002173ED"/>
    <w:rsid w:val="00217BB8"/>
    <w:rsid w:val="00237F45"/>
    <w:rsid w:val="002723B1"/>
    <w:rsid w:val="002724AB"/>
    <w:rsid w:val="0029080E"/>
    <w:rsid w:val="002A0044"/>
    <w:rsid w:val="002B7DB3"/>
    <w:rsid w:val="002C3FA3"/>
    <w:rsid w:val="002C4B85"/>
    <w:rsid w:val="002D0C6A"/>
    <w:rsid w:val="002D695B"/>
    <w:rsid w:val="002E147D"/>
    <w:rsid w:val="002F480A"/>
    <w:rsid w:val="00300718"/>
    <w:rsid w:val="003014B5"/>
    <w:rsid w:val="00311702"/>
    <w:rsid w:val="0031264A"/>
    <w:rsid w:val="003442F3"/>
    <w:rsid w:val="003525CE"/>
    <w:rsid w:val="003544B9"/>
    <w:rsid w:val="0036725D"/>
    <w:rsid w:val="00375217"/>
    <w:rsid w:val="003755BC"/>
    <w:rsid w:val="00390EA8"/>
    <w:rsid w:val="003948E1"/>
    <w:rsid w:val="003A0959"/>
    <w:rsid w:val="003C6FC3"/>
    <w:rsid w:val="003D2C23"/>
    <w:rsid w:val="003E6689"/>
    <w:rsid w:val="003F27E7"/>
    <w:rsid w:val="00406059"/>
    <w:rsid w:val="0041021C"/>
    <w:rsid w:val="004248BD"/>
    <w:rsid w:val="00425EA0"/>
    <w:rsid w:val="00442D16"/>
    <w:rsid w:val="004503D8"/>
    <w:rsid w:val="00453322"/>
    <w:rsid w:val="0046459C"/>
    <w:rsid w:val="0047133C"/>
    <w:rsid w:val="00474822"/>
    <w:rsid w:val="004917AA"/>
    <w:rsid w:val="004C6EC4"/>
    <w:rsid w:val="004E224A"/>
    <w:rsid w:val="004F0A3A"/>
    <w:rsid w:val="005208EF"/>
    <w:rsid w:val="00521BF9"/>
    <w:rsid w:val="00525979"/>
    <w:rsid w:val="00526ED1"/>
    <w:rsid w:val="00531F47"/>
    <w:rsid w:val="005358AD"/>
    <w:rsid w:val="00536445"/>
    <w:rsid w:val="005415C7"/>
    <w:rsid w:val="00541B59"/>
    <w:rsid w:val="00567CDC"/>
    <w:rsid w:val="00573E54"/>
    <w:rsid w:val="00575008"/>
    <w:rsid w:val="005859B4"/>
    <w:rsid w:val="00585B91"/>
    <w:rsid w:val="005A37A4"/>
    <w:rsid w:val="005B07CE"/>
    <w:rsid w:val="005B636B"/>
    <w:rsid w:val="005C0891"/>
    <w:rsid w:val="005E1990"/>
    <w:rsid w:val="005E4396"/>
    <w:rsid w:val="005F6EBC"/>
    <w:rsid w:val="0061600E"/>
    <w:rsid w:val="00622283"/>
    <w:rsid w:val="00641C2C"/>
    <w:rsid w:val="006533B0"/>
    <w:rsid w:val="0065623D"/>
    <w:rsid w:val="00660F1E"/>
    <w:rsid w:val="00662C4E"/>
    <w:rsid w:val="0066675D"/>
    <w:rsid w:val="006711E6"/>
    <w:rsid w:val="00675EE3"/>
    <w:rsid w:val="00682A23"/>
    <w:rsid w:val="00687F6E"/>
    <w:rsid w:val="00690348"/>
    <w:rsid w:val="006912D7"/>
    <w:rsid w:val="006A29F8"/>
    <w:rsid w:val="006A37CD"/>
    <w:rsid w:val="006B27FF"/>
    <w:rsid w:val="006D68BB"/>
    <w:rsid w:val="006D746C"/>
    <w:rsid w:val="006F52C0"/>
    <w:rsid w:val="00701BFD"/>
    <w:rsid w:val="00704EB8"/>
    <w:rsid w:val="007316C5"/>
    <w:rsid w:val="00731828"/>
    <w:rsid w:val="00744101"/>
    <w:rsid w:val="00770A50"/>
    <w:rsid w:val="007736C8"/>
    <w:rsid w:val="00780AB4"/>
    <w:rsid w:val="00795C12"/>
    <w:rsid w:val="007E0518"/>
    <w:rsid w:val="007F1F80"/>
    <w:rsid w:val="00800F2B"/>
    <w:rsid w:val="00826CF9"/>
    <w:rsid w:val="0082768C"/>
    <w:rsid w:val="008329B4"/>
    <w:rsid w:val="00836448"/>
    <w:rsid w:val="00870F3E"/>
    <w:rsid w:val="00874792"/>
    <w:rsid w:val="00875FBC"/>
    <w:rsid w:val="00881BF8"/>
    <w:rsid w:val="00895038"/>
    <w:rsid w:val="008A6FFF"/>
    <w:rsid w:val="008B4146"/>
    <w:rsid w:val="008E5E54"/>
    <w:rsid w:val="008F4244"/>
    <w:rsid w:val="008F797B"/>
    <w:rsid w:val="00917A2A"/>
    <w:rsid w:val="00923B0D"/>
    <w:rsid w:val="0094026E"/>
    <w:rsid w:val="0094252F"/>
    <w:rsid w:val="00973065"/>
    <w:rsid w:val="009B0EF1"/>
    <w:rsid w:val="009B22CD"/>
    <w:rsid w:val="009C5A1D"/>
    <w:rsid w:val="00A010DA"/>
    <w:rsid w:val="00A21B0E"/>
    <w:rsid w:val="00A24B59"/>
    <w:rsid w:val="00A43000"/>
    <w:rsid w:val="00A435EB"/>
    <w:rsid w:val="00A60FEC"/>
    <w:rsid w:val="00A62115"/>
    <w:rsid w:val="00A81D7E"/>
    <w:rsid w:val="00A90A89"/>
    <w:rsid w:val="00AA0557"/>
    <w:rsid w:val="00AA7A34"/>
    <w:rsid w:val="00AB1A95"/>
    <w:rsid w:val="00AB7017"/>
    <w:rsid w:val="00AF0689"/>
    <w:rsid w:val="00B2549C"/>
    <w:rsid w:val="00B25E71"/>
    <w:rsid w:val="00B32916"/>
    <w:rsid w:val="00B37166"/>
    <w:rsid w:val="00B40EDD"/>
    <w:rsid w:val="00B63BCC"/>
    <w:rsid w:val="00B65FAA"/>
    <w:rsid w:val="00B707D4"/>
    <w:rsid w:val="00B84F75"/>
    <w:rsid w:val="00BB5987"/>
    <w:rsid w:val="00BC61AF"/>
    <w:rsid w:val="00BD1BC9"/>
    <w:rsid w:val="00BE4119"/>
    <w:rsid w:val="00BE6F13"/>
    <w:rsid w:val="00C17362"/>
    <w:rsid w:val="00C75A34"/>
    <w:rsid w:val="00C76C4E"/>
    <w:rsid w:val="00C8666E"/>
    <w:rsid w:val="00C9329E"/>
    <w:rsid w:val="00C93320"/>
    <w:rsid w:val="00C95D33"/>
    <w:rsid w:val="00C969EA"/>
    <w:rsid w:val="00CC029A"/>
    <w:rsid w:val="00CD76F3"/>
    <w:rsid w:val="00CE6A45"/>
    <w:rsid w:val="00CF2403"/>
    <w:rsid w:val="00D20712"/>
    <w:rsid w:val="00D33816"/>
    <w:rsid w:val="00D42FAE"/>
    <w:rsid w:val="00D43D8E"/>
    <w:rsid w:val="00D923AA"/>
    <w:rsid w:val="00DC20C5"/>
    <w:rsid w:val="00DC62A4"/>
    <w:rsid w:val="00DE5920"/>
    <w:rsid w:val="00E24A10"/>
    <w:rsid w:val="00E3776B"/>
    <w:rsid w:val="00E50408"/>
    <w:rsid w:val="00E6192D"/>
    <w:rsid w:val="00E624EC"/>
    <w:rsid w:val="00E62916"/>
    <w:rsid w:val="00E65E30"/>
    <w:rsid w:val="00E73951"/>
    <w:rsid w:val="00E75886"/>
    <w:rsid w:val="00E760EB"/>
    <w:rsid w:val="00EA45C2"/>
    <w:rsid w:val="00EA4C5F"/>
    <w:rsid w:val="00EA6F79"/>
    <w:rsid w:val="00EB09AC"/>
    <w:rsid w:val="00EB5E3D"/>
    <w:rsid w:val="00ED26C0"/>
    <w:rsid w:val="00EE3A5F"/>
    <w:rsid w:val="00F02E3B"/>
    <w:rsid w:val="00F107E6"/>
    <w:rsid w:val="00F4424E"/>
    <w:rsid w:val="00F44A03"/>
    <w:rsid w:val="00F45C7A"/>
    <w:rsid w:val="00F47DEC"/>
    <w:rsid w:val="00F737E8"/>
    <w:rsid w:val="00F91274"/>
    <w:rsid w:val="00F9530B"/>
    <w:rsid w:val="00FA5156"/>
    <w:rsid w:val="00FB1168"/>
    <w:rsid w:val="00FB2A65"/>
    <w:rsid w:val="00FB66D8"/>
    <w:rsid w:val="00FC1592"/>
    <w:rsid w:val="00FD2503"/>
    <w:rsid w:val="00FD28B6"/>
    <w:rsid w:val="00FD4E85"/>
    <w:rsid w:val="00FE0DB2"/>
    <w:rsid w:val="00FE6F85"/>
    <w:rsid w:val="00FF23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C09DB"/>
    <w:pPr>
      <w:spacing w:after="0" w:line="240" w:lineRule="auto"/>
    </w:pPr>
    <w:rPr>
      <w:rFonts w:ascii="Times New Roman" w:eastAsia="Times New Roman" w:hAnsi="Times New Roman" w:cs="Times New Roman"/>
      <w:sz w:val="24"/>
      <w:szCs w:val="24"/>
    </w:rPr>
  </w:style>
  <w:style w:type="paragraph" w:styleId="Virsraksts5">
    <w:name w:val="heading 5"/>
    <w:basedOn w:val="Parastais"/>
    <w:next w:val="Parastais"/>
    <w:link w:val="Virsraksts5Rakstz"/>
    <w:qFormat/>
    <w:rsid w:val="001C09DB"/>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C09DB"/>
    <w:rPr>
      <w:rFonts w:ascii="Times New Roman" w:eastAsia="Times New Roman" w:hAnsi="Times New Roman" w:cs="Times New Roman"/>
      <w:b/>
      <w:bCs/>
      <w:sz w:val="24"/>
      <w:szCs w:val="24"/>
      <w:u w:val="single"/>
    </w:rPr>
  </w:style>
  <w:style w:type="paragraph" w:styleId="Kjene">
    <w:name w:val="footer"/>
    <w:basedOn w:val="Parastais"/>
    <w:link w:val="KjeneRakstz"/>
    <w:rsid w:val="001C09DB"/>
    <w:pPr>
      <w:tabs>
        <w:tab w:val="center" w:pos="4320"/>
        <w:tab w:val="right" w:pos="8640"/>
      </w:tabs>
    </w:pPr>
    <w:rPr>
      <w:lang w:val="en-US"/>
    </w:rPr>
  </w:style>
  <w:style w:type="character" w:customStyle="1" w:styleId="KjeneRakstz">
    <w:name w:val="Kājene Rakstz."/>
    <w:basedOn w:val="Noklusjumarindkopasfonts"/>
    <w:link w:val="Kjene"/>
    <w:rsid w:val="001C09DB"/>
    <w:rPr>
      <w:rFonts w:ascii="Times New Roman" w:eastAsia="Times New Roman" w:hAnsi="Times New Roman" w:cs="Times New Roman"/>
      <w:sz w:val="24"/>
      <w:szCs w:val="24"/>
      <w:lang w:val="en-US"/>
    </w:rPr>
  </w:style>
  <w:style w:type="paragraph" w:styleId="Galvene">
    <w:name w:val="header"/>
    <w:basedOn w:val="Parastais"/>
    <w:link w:val="GalveneRakstz"/>
    <w:rsid w:val="001C09DB"/>
    <w:pPr>
      <w:tabs>
        <w:tab w:val="center" w:pos="4153"/>
        <w:tab w:val="right" w:pos="8306"/>
      </w:tabs>
    </w:pPr>
  </w:style>
  <w:style w:type="character" w:customStyle="1" w:styleId="GalveneRakstz">
    <w:name w:val="Galvene Rakstz."/>
    <w:basedOn w:val="Noklusjumarindkopasfonts"/>
    <w:link w:val="Galvene"/>
    <w:rsid w:val="001C09DB"/>
    <w:rPr>
      <w:rFonts w:ascii="Times New Roman" w:eastAsia="Times New Roman" w:hAnsi="Times New Roman" w:cs="Times New Roman"/>
      <w:sz w:val="24"/>
      <w:szCs w:val="24"/>
    </w:rPr>
  </w:style>
  <w:style w:type="paragraph" w:styleId="Pamatteksts2">
    <w:name w:val="Body Text 2"/>
    <w:basedOn w:val="Parastais"/>
    <w:link w:val="Pamatteksts2Rakstz"/>
    <w:rsid w:val="001C09DB"/>
    <w:pPr>
      <w:jc w:val="center"/>
    </w:pPr>
    <w:rPr>
      <w:sz w:val="32"/>
      <w:szCs w:val="32"/>
    </w:rPr>
  </w:style>
  <w:style w:type="character" w:customStyle="1" w:styleId="Pamatteksts2Rakstz">
    <w:name w:val="Pamatteksts 2 Rakstz."/>
    <w:basedOn w:val="Noklusjumarindkopasfonts"/>
    <w:link w:val="Pamatteksts2"/>
    <w:rsid w:val="001C09DB"/>
    <w:rPr>
      <w:rFonts w:ascii="Times New Roman" w:eastAsia="Times New Roman" w:hAnsi="Times New Roman" w:cs="Times New Roman"/>
      <w:sz w:val="32"/>
      <w:szCs w:val="32"/>
    </w:rPr>
  </w:style>
  <w:style w:type="character" w:styleId="Lappusesnumurs">
    <w:name w:val="page number"/>
    <w:basedOn w:val="Noklusjumarindkopasfonts"/>
    <w:rsid w:val="001C09DB"/>
    <w:rPr>
      <w:rFonts w:cs="Times New Roman"/>
    </w:rPr>
  </w:style>
  <w:style w:type="paragraph" w:styleId="Nosaukums">
    <w:name w:val="Title"/>
    <w:basedOn w:val="Parastais"/>
    <w:link w:val="NosaukumsRakstz"/>
    <w:qFormat/>
    <w:rsid w:val="001C09DB"/>
    <w:pPr>
      <w:jc w:val="center"/>
    </w:pPr>
    <w:rPr>
      <w:b/>
      <w:bCs/>
    </w:rPr>
  </w:style>
  <w:style w:type="character" w:customStyle="1" w:styleId="NosaukumsRakstz">
    <w:name w:val="Nosaukums Rakstz."/>
    <w:basedOn w:val="Noklusjumarindkopasfonts"/>
    <w:link w:val="Nosaukums"/>
    <w:rsid w:val="001C09DB"/>
    <w:rPr>
      <w:rFonts w:ascii="Times New Roman" w:eastAsia="Times New Roman" w:hAnsi="Times New Roman" w:cs="Times New Roman"/>
      <w:b/>
      <w:bCs/>
      <w:sz w:val="24"/>
      <w:szCs w:val="24"/>
    </w:rPr>
  </w:style>
  <w:style w:type="paragraph" w:styleId="Sarakstarindkopa">
    <w:name w:val="List Paragraph"/>
    <w:basedOn w:val="Parastais"/>
    <w:uiPriority w:val="34"/>
    <w:qFormat/>
    <w:rsid w:val="001C09DB"/>
    <w:pPr>
      <w:ind w:left="720"/>
      <w:contextualSpacing/>
    </w:pPr>
  </w:style>
  <w:style w:type="character" w:styleId="Hipersaite">
    <w:name w:val="Hyperlink"/>
    <w:basedOn w:val="Noklusjumarindkopasfonts"/>
    <w:uiPriority w:val="99"/>
    <w:unhideWhenUsed/>
    <w:rsid w:val="001C09DB"/>
    <w:rPr>
      <w:color w:val="0000FF" w:themeColor="hyperlink"/>
      <w:u w:val="single"/>
    </w:rPr>
  </w:style>
  <w:style w:type="paragraph" w:styleId="Vresteksts">
    <w:name w:val="footnote text"/>
    <w:basedOn w:val="Parastais"/>
    <w:link w:val="VrestekstsRakstz"/>
    <w:uiPriority w:val="99"/>
    <w:rsid w:val="001C09DB"/>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uiPriority w:val="99"/>
    <w:rsid w:val="001C09DB"/>
    <w:rPr>
      <w:rFonts w:ascii="Times New Roman" w:eastAsia="Times New Roman" w:hAnsi="Times New Roman" w:cs="Times New Roman"/>
      <w:sz w:val="20"/>
      <w:szCs w:val="20"/>
      <w:lang w:eastAsia="ar-SA"/>
    </w:rPr>
  </w:style>
  <w:style w:type="character" w:styleId="Vresatsauce">
    <w:name w:val="footnote reference"/>
    <w:basedOn w:val="Noklusjumarindkopasfonts"/>
    <w:uiPriority w:val="99"/>
    <w:unhideWhenUsed/>
    <w:rsid w:val="001C09DB"/>
    <w:rPr>
      <w:vertAlign w:val="superscript"/>
    </w:rPr>
  </w:style>
  <w:style w:type="character" w:styleId="Izteiksmgs">
    <w:name w:val="Strong"/>
    <w:basedOn w:val="Noklusjumarindkopasfonts"/>
    <w:uiPriority w:val="22"/>
    <w:qFormat/>
    <w:rsid w:val="001C09DB"/>
    <w:rPr>
      <w:b/>
      <w:bCs/>
    </w:rPr>
  </w:style>
  <w:style w:type="paragraph" w:styleId="Bezatstarpm">
    <w:name w:val="No Spacing"/>
    <w:uiPriority w:val="1"/>
    <w:qFormat/>
    <w:rsid w:val="001C09DB"/>
    <w:pPr>
      <w:suppressAutoHyphens/>
      <w:spacing w:after="0" w:line="240" w:lineRule="auto"/>
    </w:pPr>
    <w:rPr>
      <w:rFonts w:ascii="Times New Roman" w:eastAsia="Times New Roman" w:hAnsi="Times New Roman" w:cs="Times New Roman"/>
      <w:sz w:val="24"/>
      <w:szCs w:val="24"/>
      <w:lang w:eastAsia="ar-SA"/>
    </w:rPr>
  </w:style>
  <w:style w:type="paragraph" w:customStyle="1" w:styleId="EntEmet">
    <w:name w:val="EntEmet"/>
    <w:basedOn w:val="Parastais"/>
    <w:rsid w:val="00E75886"/>
    <w:pPr>
      <w:tabs>
        <w:tab w:val="left" w:pos="284"/>
        <w:tab w:val="left" w:pos="567"/>
        <w:tab w:val="left" w:pos="851"/>
        <w:tab w:val="left" w:pos="1134"/>
        <w:tab w:val="left" w:pos="1418"/>
      </w:tabs>
      <w:spacing w:before="40"/>
    </w:pPr>
    <w:rPr>
      <w:szCs w:val="20"/>
      <w:lang w:eastAsia="fr-BE"/>
    </w:rPr>
  </w:style>
  <w:style w:type="character" w:customStyle="1" w:styleId="longtext1">
    <w:name w:val="long_text1"/>
    <w:basedOn w:val="Noklusjumarindkopasfonts"/>
    <w:rsid w:val="00EB09AC"/>
    <w:rPr>
      <w:sz w:val="20"/>
      <w:szCs w:val="20"/>
    </w:rPr>
  </w:style>
  <w:style w:type="paragraph" w:styleId="Balonteksts">
    <w:name w:val="Balloon Text"/>
    <w:basedOn w:val="Parastais"/>
    <w:link w:val="BalontekstsRakstz"/>
    <w:uiPriority w:val="99"/>
    <w:semiHidden/>
    <w:unhideWhenUsed/>
    <w:rsid w:val="00A24B5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4B59"/>
    <w:rPr>
      <w:rFonts w:ascii="Tahoma" w:eastAsia="Times New Roman" w:hAnsi="Tahoma" w:cs="Tahoma"/>
      <w:sz w:val="16"/>
      <w:szCs w:val="16"/>
    </w:rPr>
  </w:style>
  <w:style w:type="paragraph" w:customStyle="1" w:styleId="Text1">
    <w:name w:val="Text 1"/>
    <w:basedOn w:val="Parastais"/>
    <w:rsid w:val="008F797B"/>
    <w:pPr>
      <w:spacing w:before="120" w:after="120"/>
      <w:ind w:left="850"/>
      <w:jc w:val="both"/>
    </w:pPr>
    <w:rPr>
      <w:lang w:eastAsia="en-GB"/>
    </w:rPr>
  </w:style>
  <w:style w:type="paragraph" w:customStyle="1" w:styleId="ListDash">
    <w:name w:val="List Dash"/>
    <w:basedOn w:val="Parastais"/>
    <w:rsid w:val="00300718"/>
    <w:pPr>
      <w:numPr>
        <w:numId w:val="14"/>
      </w:numPr>
      <w:spacing w:before="120" w:after="120"/>
      <w:jc w:val="both"/>
    </w:pPr>
    <w:rPr>
      <w:lang w:eastAsia="de-DE"/>
    </w:rPr>
  </w:style>
  <w:style w:type="paragraph" w:customStyle="1" w:styleId="Bullet0">
    <w:name w:val="Bullet 0"/>
    <w:basedOn w:val="Parastais"/>
    <w:rsid w:val="00300718"/>
    <w:pPr>
      <w:numPr>
        <w:numId w:val="15"/>
      </w:numPr>
      <w:spacing w:before="120" w:after="120"/>
      <w:jc w:val="both"/>
    </w:pPr>
    <w:rPr>
      <w:snapToGrid w:val="0"/>
      <w:lang w:eastAsia="en-GB"/>
    </w:rPr>
  </w:style>
  <w:style w:type="paragraph" w:customStyle="1" w:styleId="ListParagraph1">
    <w:name w:val="List Paragraph1"/>
    <w:basedOn w:val="Parastais"/>
    <w:rsid w:val="00C75A34"/>
    <w:pPr>
      <w:spacing w:after="200" w:line="276" w:lineRule="auto"/>
      <w:ind w:left="720"/>
    </w:pPr>
    <w:rPr>
      <w:rFonts w:ascii="Calibri" w:eastAsiaTheme="minorHAnsi" w:hAnsi="Calibri" w:cs="Calibri"/>
      <w:sz w:val="22"/>
      <w:szCs w:val="22"/>
      <w:lang w:eastAsia="lv-LV"/>
    </w:rPr>
  </w:style>
  <w:style w:type="paragraph" w:customStyle="1" w:styleId="naiskr">
    <w:name w:val="naiskr"/>
    <w:basedOn w:val="Parastais"/>
    <w:uiPriority w:val="99"/>
    <w:rsid w:val="007E0518"/>
    <w:pPr>
      <w:spacing w:before="100" w:after="100"/>
    </w:pPr>
    <w:rPr>
      <w:szCs w:val="20"/>
      <w:lang w:val="en-GB" w:eastAsia="lv-LV"/>
    </w:rPr>
  </w:style>
  <w:style w:type="character" w:styleId="Komentraatsauce">
    <w:name w:val="annotation reference"/>
    <w:basedOn w:val="Noklusjumarindkopasfonts"/>
    <w:uiPriority w:val="99"/>
    <w:semiHidden/>
    <w:unhideWhenUsed/>
    <w:rsid w:val="005E4396"/>
    <w:rPr>
      <w:sz w:val="16"/>
      <w:szCs w:val="16"/>
    </w:rPr>
  </w:style>
  <w:style w:type="paragraph" w:styleId="Komentrateksts">
    <w:name w:val="annotation text"/>
    <w:basedOn w:val="Parastais"/>
    <w:link w:val="KomentratekstsRakstz"/>
    <w:semiHidden/>
    <w:unhideWhenUsed/>
    <w:rsid w:val="005E4396"/>
    <w:rPr>
      <w:sz w:val="20"/>
      <w:szCs w:val="20"/>
    </w:rPr>
  </w:style>
  <w:style w:type="character" w:customStyle="1" w:styleId="KomentratekstsRakstz">
    <w:name w:val="Komentāra teksts Rakstz."/>
    <w:basedOn w:val="Noklusjumarindkopasfonts"/>
    <w:link w:val="Komentrateksts"/>
    <w:semiHidden/>
    <w:rsid w:val="005E439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4396"/>
    <w:rPr>
      <w:b/>
      <w:bCs/>
    </w:rPr>
  </w:style>
  <w:style w:type="character" w:customStyle="1" w:styleId="KomentratmaRakstz">
    <w:name w:val="Komentāra tēma Rakstz."/>
    <w:basedOn w:val="KomentratekstsRakstz"/>
    <w:link w:val="Komentratma"/>
    <w:uiPriority w:val="99"/>
    <w:semiHidden/>
    <w:rsid w:val="005E4396"/>
    <w:rPr>
      <w:rFonts w:ascii="Times New Roman" w:eastAsia="Times New Roman" w:hAnsi="Times New Roman" w:cs="Times New Roman"/>
      <w:b/>
      <w:bCs/>
      <w:sz w:val="20"/>
      <w:szCs w:val="20"/>
    </w:rPr>
  </w:style>
  <w:style w:type="character" w:customStyle="1" w:styleId="hps">
    <w:name w:val="hps"/>
    <w:basedOn w:val="Noklusjumarindkopasfonts"/>
    <w:rsid w:val="00E73951"/>
  </w:style>
  <w:style w:type="paragraph" w:styleId="ParastaisWeb">
    <w:name w:val="Normal (Web)"/>
    <w:basedOn w:val="Parastais"/>
    <w:uiPriority w:val="99"/>
    <w:rsid w:val="00E73951"/>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33960">
      <w:bodyDiv w:val="1"/>
      <w:marLeft w:val="0"/>
      <w:marRight w:val="0"/>
      <w:marTop w:val="0"/>
      <w:marBottom w:val="0"/>
      <w:divBdr>
        <w:top w:val="none" w:sz="0" w:space="0" w:color="auto"/>
        <w:left w:val="none" w:sz="0" w:space="0" w:color="auto"/>
        <w:bottom w:val="none" w:sz="0" w:space="0" w:color="auto"/>
        <w:right w:val="none" w:sz="0" w:space="0" w:color="auto"/>
      </w:divBdr>
    </w:div>
    <w:div w:id="78254258">
      <w:bodyDiv w:val="1"/>
      <w:marLeft w:val="0"/>
      <w:marRight w:val="0"/>
      <w:marTop w:val="0"/>
      <w:marBottom w:val="0"/>
      <w:divBdr>
        <w:top w:val="none" w:sz="0" w:space="0" w:color="auto"/>
        <w:left w:val="none" w:sz="0" w:space="0" w:color="auto"/>
        <w:bottom w:val="none" w:sz="0" w:space="0" w:color="auto"/>
        <w:right w:val="none" w:sz="0" w:space="0" w:color="auto"/>
      </w:divBdr>
    </w:div>
    <w:div w:id="334499244">
      <w:bodyDiv w:val="1"/>
      <w:marLeft w:val="0"/>
      <w:marRight w:val="0"/>
      <w:marTop w:val="0"/>
      <w:marBottom w:val="0"/>
      <w:divBdr>
        <w:top w:val="none" w:sz="0" w:space="0" w:color="auto"/>
        <w:left w:val="none" w:sz="0" w:space="0" w:color="auto"/>
        <w:bottom w:val="none" w:sz="0" w:space="0" w:color="auto"/>
        <w:right w:val="none" w:sz="0" w:space="0" w:color="auto"/>
      </w:divBdr>
    </w:div>
    <w:div w:id="617444035">
      <w:bodyDiv w:val="1"/>
      <w:marLeft w:val="0"/>
      <w:marRight w:val="0"/>
      <w:marTop w:val="0"/>
      <w:marBottom w:val="0"/>
      <w:divBdr>
        <w:top w:val="none" w:sz="0" w:space="0" w:color="auto"/>
        <w:left w:val="none" w:sz="0" w:space="0" w:color="auto"/>
        <w:bottom w:val="none" w:sz="0" w:space="0" w:color="auto"/>
        <w:right w:val="none" w:sz="0" w:space="0" w:color="auto"/>
      </w:divBdr>
    </w:div>
    <w:div w:id="1444689953">
      <w:bodyDiv w:val="1"/>
      <w:marLeft w:val="0"/>
      <w:marRight w:val="0"/>
      <w:marTop w:val="0"/>
      <w:marBottom w:val="0"/>
      <w:divBdr>
        <w:top w:val="none" w:sz="0" w:space="0" w:color="auto"/>
        <w:left w:val="none" w:sz="0" w:space="0" w:color="auto"/>
        <w:bottom w:val="none" w:sz="0" w:space="0" w:color="auto"/>
        <w:right w:val="none" w:sz="0" w:space="0" w:color="auto"/>
      </w:divBdr>
    </w:div>
    <w:div w:id="20819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8AE88-C5BE-49AA-8E88-0D6D883C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9187</Words>
  <Characters>5238</Characters>
  <Application>Microsoft Office Word</Application>
  <DocSecurity>4</DocSecurity>
  <Lines>43</Lines>
  <Paragraphs>28</Paragraphs>
  <ScaleCrop>false</ScaleCrop>
  <HeadingPairs>
    <vt:vector size="2" baseType="variant">
      <vt:variant>
        <vt:lpstr>Nosaukums</vt:lpstr>
      </vt:variant>
      <vt:variant>
        <vt:i4>1</vt:i4>
      </vt:variant>
    </vt:vector>
  </HeadingPairs>
  <TitlesOfParts>
    <vt:vector size="1" baseType="lpstr">
      <vt:lpstr>Informatīvais ziņojums</vt:lpstr>
    </vt:vector>
  </TitlesOfParts>
  <Company>Tieslietu Ministrija</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ziņojumspar Eiropas Savienības Tieslietu un iekšlietu ministru padomes 2012. gada 7.-8.jūnija sanāksmē izskatāmajiem jautājumiem</dc:title>
  <dc:subject>Informatīvais ziņojums</dc:subject>
  <dc:creator>Dace.Vitola@tm.gov.lv</dc:creator>
  <dc:description>Dace Vītola
67036913, Dace.Vitola@tm.gov.lv</dc:description>
  <cp:lastModifiedBy>dv1201</cp:lastModifiedBy>
  <cp:revision>2</cp:revision>
  <cp:lastPrinted>2012-04-20T11:34:00Z</cp:lastPrinted>
  <dcterms:created xsi:type="dcterms:W3CDTF">2012-06-01T13:18:00Z</dcterms:created>
  <dcterms:modified xsi:type="dcterms:W3CDTF">2012-06-01T13:18:00Z</dcterms:modified>
</cp:coreProperties>
</file>