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EB" w:rsidRPr="00873CAA" w:rsidRDefault="00A063EB" w:rsidP="00A063EB">
      <w:pPr>
        <w:pStyle w:val="Nosaukums"/>
      </w:pPr>
      <w:bookmarkStart w:id="0" w:name="OLE_LINK11"/>
      <w:bookmarkStart w:id="1" w:name="OLE_LINK12"/>
      <w:r w:rsidRPr="00873CAA">
        <w:t xml:space="preserve">Informatīvais ziņojums </w:t>
      </w:r>
    </w:p>
    <w:p w:rsidR="00A063EB" w:rsidRPr="00873CAA" w:rsidRDefault="00A063EB" w:rsidP="00A063EB">
      <w:pPr>
        <w:jc w:val="center"/>
        <w:rPr>
          <w:b/>
          <w:bCs/>
        </w:rPr>
      </w:pPr>
    </w:p>
    <w:bookmarkEnd w:id="0"/>
    <w:bookmarkEnd w:id="1"/>
    <w:p w:rsidR="00B95BF3" w:rsidRPr="00335DE6" w:rsidRDefault="00B95BF3" w:rsidP="00B95BF3">
      <w:pPr>
        <w:pStyle w:val="naisc"/>
        <w:spacing w:before="0" w:beforeAutospacing="0" w:after="0" w:afterAutospacing="0"/>
        <w:jc w:val="center"/>
        <w:rPr>
          <w:b/>
        </w:rPr>
      </w:pPr>
      <w:r w:rsidRPr="0001298F">
        <w:rPr>
          <w:b/>
        </w:rPr>
        <w:t>par</w:t>
      </w:r>
      <w:r w:rsidR="00FC2F65">
        <w:rPr>
          <w:b/>
        </w:rPr>
        <w:t xml:space="preserve"> Latvijas nacionālo (sākotnējo) pozīciju par</w:t>
      </w:r>
      <w:r w:rsidRPr="0001298F">
        <w:rPr>
          <w:b/>
        </w:rPr>
        <w:t xml:space="preserve"> </w:t>
      </w:r>
      <w:r>
        <w:rPr>
          <w:b/>
        </w:rPr>
        <w:t>priekšlikumu Eiropas Parlamenta un Padomes direktīvai par uzbrukumiem informācijas sistēmām, ar ko atceļ Padomes Pamatlēmumu 2005/222/TI</w:t>
      </w:r>
    </w:p>
    <w:p w:rsidR="00E70440" w:rsidRPr="00873CAA" w:rsidRDefault="00E70440" w:rsidP="00A063EB">
      <w:pPr>
        <w:jc w:val="center"/>
      </w:pPr>
    </w:p>
    <w:p w:rsidR="003761C6" w:rsidRDefault="00CD30BD" w:rsidP="00A063EB">
      <w:pPr>
        <w:ind w:firstLine="720"/>
        <w:jc w:val="both"/>
      </w:pPr>
      <w:r>
        <w:t xml:space="preserve">Eiropas Komisijas priekšlikums </w:t>
      </w:r>
      <w:bookmarkStart w:id="2" w:name="OLE_LINK1"/>
      <w:bookmarkStart w:id="3" w:name="OLE_LINK2"/>
      <w:r>
        <w:t xml:space="preserve">Eiropas Parlamenta un Padomes </w:t>
      </w:r>
      <w:r w:rsidR="00823635" w:rsidRPr="00823635">
        <w:t>direktīvai par uzbrukumiem informācijas sistēmām, ar ko atceļ Padomes Pamatlēmumu 2005/222/TI</w:t>
      </w:r>
      <w:r w:rsidR="00823635">
        <w:t xml:space="preserve"> </w:t>
      </w:r>
      <w:bookmarkEnd w:id="2"/>
      <w:bookmarkEnd w:id="3"/>
      <w:r w:rsidR="00823635">
        <w:t xml:space="preserve">(turpmāk – direktīvas projekts) izstrādāts, lai </w:t>
      </w:r>
      <w:r w:rsidR="00823635" w:rsidRPr="00FC6BDD">
        <w:t>efektīvāk aizsargātu pilsoņus pret kibernoziedzību</w:t>
      </w:r>
      <w:r w:rsidR="00823635">
        <w:t xml:space="preserve"> Eiropas Savienības ietvaros,</w:t>
      </w:r>
      <w:r w:rsidR="003761C6">
        <w:t xml:space="preserve"> jo</w:t>
      </w:r>
      <w:r w:rsidR="00BC41E0">
        <w:t>,</w:t>
      </w:r>
      <w:r w:rsidR="003D6426">
        <w:t xml:space="preserve"> ņemot vērā kibernozie</w:t>
      </w:r>
      <w:r w:rsidR="00BC41E0">
        <w:t>gumu</w:t>
      </w:r>
      <w:r w:rsidR="003D6426">
        <w:t xml:space="preserve"> izteikto pārrobežu raksturu,</w:t>
      </w:r>
      <w:r w:rsidR="003761C6">
        <w:t xml:space="preserve"> dalībvalstis vienas pašas nespēj pietiekami efektīvi aizsargāt pilsoņus pret </w:t>
      </w:r>
      <w:r w:rsidR="00F36DDB">
        <w:t>tiem</w:t>
      </w:r>
      <w:r w:rsidR="003761C6" w:rsidRPr="00FC6BDD">
        <w:t>.</w:t>
      </w:r>
      <w:r w:rsidR="00823635">
        <w:t xml:space="preserve"> </w:t>
      </w:r>
      <w:r w:rsidR="0026207C">
        <w:t xml:space="preserve">Direktīvas projekts izstrādāts, </w:t>
      </w:r>
      <w:r w:rsidR="00590D94">
        <w:t>ievērojot</w:t>
      </w:r>
      <w:r w:rsidR="0026207C">
        <w:t xml:space="preserve"> Eiropas Padomes </w:t>
      </w:r>
      <w:r w:rsidR="00AC55A2">
        <w:t>2001. </w:t>
      </w:r>
      <w:r w:rsidR="005826C9">
        <w:t>gada 23. </w:t>
      </w:r>
      <w:r w:rsidR="0026207C" w:rsidRPr="00FC6BDD">
        <w:t>novembra konvenciju par kibernoziegumiem</w:t>
      </w:r>
      <w:r w:rsidR="004D271D">
        <w:t xml:space="preserve"> (turpmāk – Konvencija)</w:t>
      </w:r>
      <w:r w:rsidR="0026207C">
        <w:t xml:space="preserve">. </w:t>
      </w:r>
    </w:p>
    <w:p w:rsidR="00CD30BD" w:rsidRDefault="003761C6" w:rsidP="00683FF3">
      <w:pPr>
        <w:tabs>
          <w:tab w:val="left" w:pos="1134"/>
        </w:tabs>
        <w:ind w:firstLine="709"/>
        <w:jc w:val="both"/>
      </w:pPr>
      <w:r>
        <w:t xml:space="preserve">Direktīvas projekta pamatā ir </w:t>
      </w:r>
      <w:r w:rsidR="00590D94" w:rsidRPr="00823635">
        <w:t>Padomes Pamatlēmum</w:t>
      </w:r>
      <w:r w:rsidR="00590D94">
        <w:t>a</w:t>
      </w:r>
      <w:r w:rsidR="00590D94" w:rsidRPr="00823635">
        <w:t xml:space="preserve"> 2005/222/TI</w:t>
      </w:r>
      <w:r w:rsidR="00590D94">
        <w:t xml:space="preserve"> par uzbrukumiem informācijas sistēmām (turpmāk – pamatlēmums) </w:t>
      </w:r>
      <w:r>
        <w:t>normas</w:t>
      </w:r>
      <w:r w:rsidR="00683FF3">
        <w:t xml:space="preserve">, kas paredz definīcijas, dalībvalstu pienākumu atzīt par sodāmiem tādus noziedzīgus nodarījumus kā nelikumīga piekļuve informācijas sistēmām, nelikumīga iejaukšanās sistēmā un nelikumīga iejaukšanās datos. Tāpat kā </w:t>
      </w:r>
      <w:r w:rsidR="002D30BE">
        <w:t>pamatlēmum</w:t>
      </w:r>
      <w:r w:rsidR="003D34BE">
        <w:t>ā</w:t>
      </w:r>
      <w:r w:rsidR="002D30BE">
        <w:t>, arī direktīvas projektā ir paredzētas normas attiecībā uz līdzdalību, juridisko personu atbildību un tām piemērojamajiem sodiem, informācijas apmaiņu starp operatīv</w:t>
      </w:r>
      <w:r w:rsidR="003D34BE">
        <w:t>ajiem</w:t>
      </w:r>
      <w:r w:rsidR="002D30BE">
        <w:t xml:space="preserve"> kontaktpunkt</w:t>
      </w:r>
      <w:r w:rsidR="003D34BE">
        <w:t>iem</w:t>
      </w:r>
      <w:r w:rsidR="002D30BE">
        <w:t>, kas pieejam</w:t>
      </w:r>
      <w:r w:rsidR="003D34BE">
        <w:t>i</w:t>
      </w:r>
      <w:r w:rsidR="002D30BE">
        <w:t xml:space="preserve"> divdesmit četras stundas diennaktī, un dalībvalstu jurisdikciju, kas attiecināma uz direktīvas projektā minētajiem noziedzīgajiem nodarījumiem.</w:t>
      </w:r>
    </w:p>
    <w:p w:rsidR="009843C5" w:rsidRDefault="00DC7972" w:rsidP="00683FF3">
      <w:pPr>
        <w:tabs>
          <w:tab w:val="left" w:pos="1134"/>
        </w:tabs>
        <w:ind w:firstLine="709"/>
        <w:jc w:val="both"/>
      </w:pPr>
      <w:r>
        <w:lastRenderedPageBreak/>
        <w:t>Tomēr direktīvas projektā ir ietverti arī dažādi papildinājumi. Ar direktīvas projektu par sodām</w:t>
      </w:r>
      <w:r w:rsidR="008E4D58">
        <w:t>iem</w:t>
      </w:r>
      <w:r>
        <w:t xml:space="preserve"> ES dalībvalstīs atzīstami tādi nodarījumi kā tīša datu pārtveršana bez tiesībām, iekārtu, tostarp datorprogrammu, kuras pielāgotas noziedzīgu nodarījumu izdarīšanai, kā arī datorparoles, pieejas kodu vai līdzīgu datu</w:t>
      </w:r>
      <w:r w:rsidRPr="00DC7972">
        <w:t xml:space="preserve"> </w:t>
      </w:r>
      <w:r w:rsidRPr="00AB3EBC">
        <w:t>ražošan</w:t>
      </w:r>
      <w:r>
        <w:t>a</w:t>
      </w:r>
      <w:r w:rsidRPr="00AB3EBC">
        <w:t>, pārdošan</w:t>
      </w:r>
      <w:r>
        <w:t>a</w:t>
      </w:r>
      <w:r w:rsidRPr="00AB3EBC">
        <w:t>, iegūšan</w:t>
      </w:r>
      <w:r>
        <w:t>a</w:t>
      </w:r>
      <w:r w:rsidRPr="00AB3EBC">
        <w:t xml:space="preserve"> izmantošanai, import</w:t>
      </w:r>
      <w:r>
        <w:t>s</w:t>
      </w:r>
      <w:r w:rsidRPr="00AB3EBC">
        <w:t>, glabāšan</w:t>
      </w:r>
      <w:r>
        <w:t>a</w:t>
      </w:r>
      <w:r w:rsidRPr="00AB3EBC">
        <w:t>, izplatīšan</w:t>
      </w:r>
      <w:r>
        <w:t>a</w:t>
      </w:r>
      <w:r w:rsidRPr="00AB3EBC">
        <w:t xml:space="preserve"> vai citād</w:t>
      </w:r>
      <w:r>
        <w:t>a</w:t>
      </w:r>
      <w:r w:rsidRPr="00AB3EBC">
        <w:t xml:space="preserve"> pieejamības nodrošināšan</w:t>
      </w:r>
      <w:r>
        <w:t>a. Direktīvas projektā ietverti atbildību pastiprinošie apstākļi un tiem atbilstošie sodi, jauni nosacījumi attiecībā uz operatīvo kontaktpunktu</w:t>
      </w:r>
      <w:r w:rsidR="001E258E">
        <w:t xml:space="preserve"> tīklu</w:t>
      </w:r>
      <w:r>
        <w:t xml:space="preserve">, kas pieejams </w:t>
      </w:r>
      <w:r w:rsidR="001E258E">
        <w:t>divdesmit četras stundas diennaktī, sadarbību, kā arī tiek paredzēts ieviest sistēmu, kas uzskaitītu, iegūtu un nodrošinātu statistikas datus par direktīvas projektā minētajiem nodarījumiem.</w:t>
      </w:r>
    </w:p>
    <w:p w:rsidR="00CD30BD" w:rsidRDefault="00CD30BD" w:rsidP="00A063EB">
      <w:pPr>
        <w:ind w:firstLine="720"/>
        <w:jc w:val="both"/>
      </w:pPr>
    </w:p>
    <w:p w:rsidR="00A063EB" w:rsidRPr="00873CAA" w:rsidRDefault="00A063EB" w:rsidP="00A063EB">
      <w:pPr>
        <w:ind w:firstLine="720"/>
        <w:jc w:val="both"/>
        <w:rPr>
          <w:b/>
        </w:rPr>
      </w:pPr>
      <w:r w:rsidRPr="00873CAA">
        <w:rPr>
          <w:b/>
        </w:rPr>
        <w:t>Latvijas pozīcija:</w:t>
      </w:r>
    </w:p>
    <w:p w:rsidR="00DC2696" w:rsidRPr="00335DE6" w:rsidRDefault="00DC2696" w:rsidP="003D34BE">
      <w:pPr>
        <w:pStyle w:val="Sarakstarindkopa"/>
        <w:numPr>
          <w:ilvl w:val="0"/>
          <w:numId w:val="8"/>
        </w:numPr>
        <w:tabs>
          <w:tab w:val="left" w:pos="567"/>
        </w:tabs>
        <w:ind w:left="0" w:firstLine="284"/>
        <w:jc w:val="both"/>
      </w:pPr>
      <w:r w:rsidRPr="00C97EE6">
        <w:t xml:space="preserve">Latvija apzinās, </w:t>
      </w:r>
      <w:r w:rsidRPr="00FE5466">
        <w:t>ka kibernoziegumu, kuriem ir izteikts pārobežu raksturs, izplatība arvien vairāk apdraud sabiedrības drošību. Turklāt ņemot vērā tehnoloģiju straujo attīstību, ko var izmantot dažādu uzbrukumu informācijas tehnoloģijām</w:t>
      </w:r>
      <w:r>
        <w:t xml:space="preserve"> izdarīšanai, šādi noziegumi kļūst arvien izplatītāki un sarežģītāki. Vienlaikus Eiropas Savienības ietvaros uzbrukumi informācijas sistēmām, jo īpaši organizētās noziedzības aktivitāšu rezultātā, kļūst arvien draudīgāki, un pieaug bažas par iespējamiem teroristiskiem vai politiski motivētiem uzbrukumiem informācijas sistēmām, kas ir dalībvalstu un Eiropas Savienības kritiskās infrastruktūras sastāvdaļa.</w:t>
      </w:r>
      <w:r w:rsidR="005826C9">
        <w:t xml:space="preserve"> Tādējādi </w:t>
      </w:r>
      <w:r w:rsidRPr="00393214">
        <w:rPr>
          <w:b/>
          <w:u w:val="single"/>
        </w:rPr>
        <w:t xml:space="preserve">Latvija kopumā </w:t>
      </w:r>
      <w:r>
        <w:rPr>
          <w:b/>
          <w:u w:val="single"/>
        </w:rPr>
        <w:t>atbalsta</w:t>
      </w:r>
      <w:r>
        <w:t xml:space="preserve"> direktīvas projekta izstrādi.</w:t>
      </w:r>
    </w:p>
    <w:p w:rsidR="00DC2696" w:rsidRDefault="00DC2696" w:rsidP="003D34BE">
      <w:pPr>
        <w:numPr>
          <w:ilvl w:val="1"/>
          <w:numId w:val="7"/>
        </w:numPr>
        <w:tabs>
          <w:tab w:val="clear" w:pos="2160"/>
          <w:tab w:val="left" w:pos="567"/>
        </w:tabs>
        <w:ind w:left="0" w:firstLine="240"/>
        <w:jc w:val="both"/>
      </w:pPr>
      <w:r w:rsidRPr="00335DE6">
        <w:t xml:space="preserve">Latvija </w:t>
      </w:r>
      <w:r w:rsidR="006C27E6">
        <w:t xml:space="preserve">atbalsta </w:t>
      </w:r>
      <w:r w:rsidR="00F2044A">
        <w:t>tās direktīvas projekta normas, kas atbilst pamatlēmuma tekstam.</w:t>
      </w:r>
    </w:p>
    <w:p w:rsidR="004D271D" w:rsidRDefault="004D271D" w:rsidP="003D34BE">
      <w:pPr>
        <w:numPr>
          <w:ilvl w:val="1"/>
          <w:numId w:val="7"/>
        </w:numPr>
        <w:tabs>
          <w:tab w:val="clear" w:pos="2160"/>
          <w:tab w:val="left" w:pos="567"/>
        </w:tabs>
        <w:ind w:left="0" w:firstLine="240"/>
        <w:jc w:val="both"/>
      </w:pPr>
      <w:r>
        <w:lastRenderedPageBreak/>
        <w:t>Latvija atbalsta normas attiecībā uz jaunu nodarījumu ietveršanu direktīvas projektā. Normas atbilst Konvencijai, kā arī Krimināllikumam.</w:t>
      </w:r>
    </w:p>
    <w:p w:rsidR="00AB1A8B" w:rsidRDefault="00F2044A" w:rsidP="000C2A7A">
      <w:pPr>
        <w:numPr>
          <w:ilvl w:val="1"/>
          <w:numId w:val="7"/>
        </w:numPr>
        <w:tabs>
          <w:tab w:val="clear" w:pos="2160"/>
          <w:tab w:val="left" w:pos="567"/>
        </w:tabs>
        <w:ind w:left="0" w:firstLine="240"/>
        <w:jc w:val="both"/>
      </w:pPr>
      <w:r>
        <w:t>Latvija atbalsta direktīvas projekta mērķi un cīņu pret „</w:t>
      </w:r>
      <w:r w:rsidRPr="000C2A7A">
        <w:rPr>
          <w:i/>
        </w:rPr>
        <w:t>robottīkl</w:t>
      </w:r>
      <w:r w:rsidR="002A7D9F" w:rsidRPr="000C2A7A">
        <w:rPr>
          <w:i/>
        </w:rPr>
        <w:t>iem</w:t>
      </w:r>
      <w:r>
        <w:t>”, tomēr nevar atbalstīt</w:t>
      </w:r>
      <w:r w:rsidR="00E135B6">
        <w:t xml:space="preserve"> atsevišķu</w:t>
      </w:r>
      <w:r>
        <w:t xml:space="preserve"> direktīvas projekta norm</w:t>
      </w:r>
      <w:r w:rsidR="00142044">
        <w:t>u redakcijas</w:t>
      </w:r>
      <w:r>
        <w:t xml:space="preserve"> attiecībā </w:t>
      </w:r>
      <w:r w:rsidR="00AB1A8B">
        <w:t xml:space="preserve">uz </w:t>
      </w:r>
      <w:r w:rsidR="00142044">
        <w:t>atbildību pastiprinošiem apstākļiem un to ietekmi uz sankcijām</w:t>
      </w:r>
      <w:r w:rsidR="00AB1A8B">
        <w:t xml:space="preserve">, jo katrā valstī pastāv atšķirīga sistēma kā pastiprināt kriminālatbildību par atsevišķiem noziedzīgiem nodarījumiem. </w:t>
      </w:r>
      <w:r w:rsidR="00AB1A8B" w:rsidRPr="00AB1A8B">
        <w:t xml:space="preserve">Latvija izsaka priekšlikumu </w:t>
      </w:r>
      <w:r w:rsidR="00AB1A8B">
        <w:t>nepārprotami paredzēt</w:t>
      </w:r>
      <w:r w:rsidR="00AB1A8B" w:rsidRPr="00AB1A8B">
        <w:t xml:space="preserve"> iespēju dalībvalstīm </w:t>
      </w:r>
      <w:r w:rsidR="00AB1A8B">
        <w:t>direktīv</w:t>
      </w:r>
      <w:r w:rsidR="007B2794">
        <w:t>as projektā</w:t>
      </w:r>
      <w:r w:rsidR="00AB1A8B">
        <w:t xml:space="preserve"> minētos pastiprinošos</w:t>
      </w:r>
      <w:r w:rsidR="00AB1A8B" w:rsidRPr="00AB1A8B">
        <w:t xml:space="preserve"> apstākļus formulēt arī kā kvalificējošās pazīmes, tādējādi paredzot elastīgu regulējumu, kas būtu piemērojams visu dalībvalstu sistēmām. </w:t>
      </w:r>
    </w:p>
    <w:p w:rsidR="009F65A1" w:rsidRDefault="00142044" w:rsidP="003D34BE">
      <w:pPr>
        <w:numPr>
          <w:ilvl w:val="1"/>
          <w:numId w:val="7"/>
        </w:numPr>
        <w:tabs>
          <w:tab w:val="clear" w:pos="2160"/>
          <w:tab w:val="left" w:pos="567"/>
        </w:tabs>
        <w:ind w:left="0" w:firstLine="240"/>
        <w:jc w:val="both"/>
      </w:pPr>
      <w:r>
        <w:t xml:space="preserve"> </w:t>
      </w:r>
      <w:r w:rsidR="009F65A1">
        <w:t>Latvija saskata problēmas šādu atbildību pastiprinošo apstākļu piemērošanā:</w:t>
      </w:r>
    </w:p>
    <w:p w:rsidR="004D271D" w:rsidRDefault="009F65A1" w:rsidP="003D34BE">
      <w:pPr>
        <w:pStyle w:val="Sarakstarindkopa"/>
        <w:numPr>
          <w:ilvl w:val="3"/>
          <w:numId w:val="7"/>
        </w:numPr>
        <w:tabs>
          <w:tab w:val="left" w:pos="1276"/>
        </w:tabs>
        <w:ind w:left="0" w:firstLine="993"/>
        <w:jc w:val="both"/>
      </w:pPr>
      <w:r>
        <w:t>direktīvas projektā minētais nodarījums izdarīts, izmantojot rīku, kas domāts tādu uzbrukumu sākšanai, kas ietekmē ievērojamu skaitu informācijas sistēmu, vai rada ievērojamu kaitējumu, piemēram, sistēmas pakalpojumu pārtraukumu, finansiālas izmaksas vai personas datu zudumu</w:t>
      </w:r>
      <w:r w:rsidR="005124A5">
        <w:t>;</w:t>
      </w:r>
    </w:p>
    <w:p w:rsidR="009F65A1" w:rsidRDefault="009F65A1" w:rsidP="003D34BE">
      <w:pPr>
        <w:pStyle w:val="Sarakstarindkopa"/>
        <w:numPr>
          <w:ilvl w:val="3"/>
          <w:numId w:val="7"/>
        </w:numPr>
        <w:tabs>
          <w:tab w:val="left" w:pos="1276"/>
        </w:tabs>
        <w:ind w:left="0" w:firstLine="993"/>
        <w:jc w:val="both"/>
      </w:pPr>
      <w:r>
        <w:t xml:space="preserve">direktīvas projektā minētais noziedzīgais nodarījums izdarīts, slēpjot izdarītāja patieso identitāti </w:t>
      </w:r>
      <w:r w:rsidR="005124A5">
        <w:t>un</w:t>
      </w:r>
      <w:r>
        <w:t xml:space="preserve"> kaitējot identitātes patiesa</w:t>
      </w:r>
      <w:r w:rsidR="00964B46">
        <w:t>jam īpašniekam</w:t>
      </w:r>
      <w:r w:rsidR="005124A5">
        <w:t>.</w:t>
      </w:r>
    </w:p>
    <w:p w:rsidR="004D271D" w:rsidRDefault="00E26F16" w:rsidP="003D34BE">
      <w:pPr>
        <w:numPr>
          <w:ilvl w:val="1"/>
          <w:numId w:val="7"/>
        </w:numPr>
        <w:tabs>
          <w:tab w:val="clear" w:pos="2160"/>
          <w:tab w:val="left" w:pos="567"/>
        </w:tabs>
        <w:ind w:left="0" w:firstLine="240"/>
        <w:jc w:val="both"/>
      </w:pPr>
      <w:r>
        <w:t xml:space="preserve">Latvija uzskata, ka ir nepieciešams izvērtēt normu attiecībā uz </w:t>
      </w:r>
      <w:r w:rsidRPr="001D0711">
        <w:t>direktīvas projektā paredzēto nodarījumu ietveršanu dalībvalsts jurisdikcijā, ja nodarījuma izdarītājs ir persona, kuras pastāvīgā dzīvesvieta ir tās teritorijā</w:t>
      </w:r>
      <w:r w:rsidR="005E35ED">
        <w:t>.</w:t>
      </w:r>
    </w:p>
    <w:p w:rsidR="00F2044A" w:rsidRDefault="005E35ED" w:rsidP="003D34BE">
      <w:pPr>
        <w:numPr>
          <w:ilvl w:val="0"/>
          <w:numId w:val="7"/>
        </w:numPr>
        <w:tabs>
          <w:tab w:val="left" w:pos="567"/>
        </w:tabs>
        <w:jc w:val="both"/>
      </w:pPr>
      <w:r>
        <w:t xml:space="preserve">Latvija var atbalstīt direktīvas projekta normas attiecībā uz operatīvo kontaktpunktu tīklu, kas pieejams divdesmit četras stundas diennaktī septiņas dienas nedēļā, sadarbību, kā arī attiecībā </w:t>
      </w:r>
      <w:r>
        <w:lastRenderedPageBreak/>
        <w:t>uz statistikas par direktīvas projektā minētajiem noziedzīgajiem nodarījumiem iegūšanu.</w:t>
      </w:r>
    </w:p>
    <w:p w:rsidR="002A7D9F" w:rsidRPr="00335DE6" w:rsidRDefault="002A7D9F" w:rsidP="003D34BE">
      <w:pPr>
        <w:numPr>
          <w:ilvl w:val="0"/>
          <w:numId w:val="7"/>
        </w:numPr>
        <w:tabs>
          <w:tab w:val="left" w:pos="567"/>
        </w:tabs>
        <w:jc w:val="both"/>
      </w:pPr>
      <w:r>
        <w:t xml:space="preserve">Latvija nevar atbalstīt direktīvas projektā </w:t>
      </w:r>
      <w:r w:rsidRPr="006A6D33">
        <w:t>minēto</w:t>
      </w:r>
      <w:r>
        <w:t xml:space="preserve"> dalībvalstu pienākumu sagatavot un publicēt</w:t>
      </w:r>
      <w:r w:rsidRPr="006A6D33">
        <w:t xml:space="preserve"> korelācijas tabul</w:t>
      </w:r>
      <w:r>
        <w:t xml:space="preserve">as, pamatojoties arī uz Ministru kabineta </w:t>
      </w:r>
      <w:r w:rsidRPr="006A6D33">
        <w:t>2008. gada 22. janvāra sēdes protokola Nr. 5, 36.§, 3.1. punkt</w:t>
      </w:r>
      <w:r>
        <w:t>u.</w:t>
      </w:r>
    </w:p>
    <w:p w:rsidR="000C5B8E" w:rsidRDefault="000C5B8E" w:rsidP="00A063EB">
      <w:pPr>
        <w:jc w:val="both"/>
      </w:pPr>
    </w:p>
    <w:p w:rsidR="008D468E" w:rsidRDefault="008D468E" w:rsidP="00A063EB">
      <w:pPr>
        <w:jc w:val="both"/>
      </w:pPr>
    </w:p>
    <w:p w:rsidR="00A063EB" w:rsidRPr="00873CAA" w:rsidRDefault="00A063EB" w:rsidP="00F94564">
      <w:pPr>
        <w:jc w:val="both"/>
      </w:pPr>
      <w:r w:rsidRPr="00873CAA">
        <w:t>Tieslietu ministr</w:t>
      </w:r>
      <w:r w:rsidR="00F94564">
        <w:t>s</w:t>
      </w:r>
      <w:r w:rsidRPr="00873CAA">
        <w:tab/>
      </w:r>
      <w:r w:rsidRPr="00873CAA">
        <w:tab/>
      </w:r>
      <w:r w:rsidRPr="00873CAA">
        <w:tab/>
      </w:r>
      <w:r w:rsidRPr="00873CAA">
        <w:tab/>
      </w:r>
      <w:r w:rsidRPr="00873CAA">
        <w:tab/>
      </w:r>
      <w:r w:rsidRPr="00873CAA">
        <w:tab/>
      </w:r>
      <w:r w:rsidRPr="00873CAA">
        <w:tab/>
      </w:r>
      <w:r w:rsidRPr="00873CAA">
        <w:tab/>
      </w:r>
      <w:r w:rsidR="00F94564">
        <w:t>A. Štokenbergs</w:t>
      </w:r>
    </w:p>
    <w:p w:rsidR="0043243C" w:rsidRDefault="0043243C" w:rsidP="00A063EB">
      <w:pPr>
        <w:rPr>
          <w:sz w:val="20"/>
          <w:szCs w:val="20"/>
        </w:rPr>
      </w:pPr>
    </w:p>
    <w:p w:rsidR="00F23F94" w:rsidRDefault="00F23F94" w:rsidP="00A063EB">
      <w:pPr>
        <w:rPr>
          <w:sz w:val="20"/>
          <w:szCs w:val="20"/>
        </w:rPr>
      </w:pPr>
    </w:p>
    <w:p w:rsidR="00A063EB" w:rsidRPr="004920F2" w:rsidRDefault="005E35ED" w:rsidP="00A063EB">
      <w:pPr>
        <w:rPr>
          <w:sz w:val="20"/>
          <w:szCs w:val="20"/>
        </w:rPr>
      </w:pPr>
      <w:r>
        <w:rPr>
          <w:sz w:val="20"/>
          <w:szCs w:val="20"/>
        </w:rPr>
        <w:t>0</w:t>
      </w:r>
      <w:r w:rsidR="00730549">
        <w:rPr>
          <w:sz w:val="20"/>
          <w:szCs w:val="20"/>
        </w:rPr>
        <w:t>7</w:t>
      </w:r>
      <w:r>
        <w:rPr>
          <w:sz w:val="20"/>
          <w:szCs w:val="20"/>
        </w:rPr>
        <w:t>.01.2011</w:t>
      </w:r>
      <w:r w:rsidR="003420BE">
        <w:rPr>
          <w:sz w:val="20"/>
          <w:szCs w:val="20"/>
        </w:rPr>
        <w:t>. 1</w:t>
      </w:r>
      <w:r w:rsidR="00964B46">
        <w:rPr>
          <w:sz w:val="20"/>
          <w:szCs w:val="20"/>
        </w:rPr>
        <w:t>4:08</w:t>
      </w:r>
    </w:p>
    <w:p w:rsidR="00A063EB" w:rsidRPr="004920F2" w:rsidRDefault="00964B46" w:rsidP="00A063EB">
      <w:pPr>
        <w:rPr>
          <w:sz w:val="20"/>
          <w:szCs w:val="20"/>
        </w:rPr>
      </w:pPr>
      <w:r>
        <w:rPr>
          <w:sz w:val="20"/>
          <w:szCs w:val="20"/>
        </w:rPr>
        <w:t>598</w:t>
      </w:r>
    </w:p>
    <w:p w:rsidR="00A063EB" w:rsidRPr="005E35ED" w:rsidRDefault="005E35ED" w:rsidP="005E35ED">
      <w:pPr>
        <w:rPr>
          <w:sz w:val="20"/>
          <w:szCs w:val="20"/>
        </w:rPr>
      </w:pPr>
      <w:r w:rsidRPr="005E35ED">
        <w:rPr>
          <w:sz w:val="20"/>
          <w:szCs w:val="20"/>
        </w:rPr>
        <w:t>I.</w:t>
      </w:r>
      <w:r>
        <w:rPr>
          <w:sz w:val="20"/>
          <w:szCs w:val="20"/>
        </w:rPr>
        <w:t xml:space="preserve"> </w:t>
      </w:r>
      <w:r w:rsidRPr="005E35ED">
        <w:rPr>
          <w:sz w:val="20"/>
          <w:szCs w:val="20"/>
        </w:rPr>
        <w:t>Rudzīte</w:t>
      </w:r>
    </w:p>
    <w:p w:rsidR="00B20855" w:rsidRPr="00D32752" w:rsidRDefault="00F03A97">
      <w:pPr>
        <w:rPr>
          <w:sz w:val="20"/>
          <w:szCs w:val="20"/>
        </w:rPr>
      </w:pPr>
      <w:r>
        <w:rPr>
          <w:sz w:val="20"/>
          <w:szCs w:val="20"/>
        </w:rPr>
        <w:t>6703697</w:t>
      </w:r>
      <w:r w:rsidR="005E35ED">
        <w:rPr>
          <w:sz w:val="20"/>
          <w:szCs w:val="20"/>
        </w:rPr>
        <w:t>2</w:t>
      </w:r>
      <w:r>
        <w:rPr>
          <w:sz w:val="20"/>
          <w:szCs w:val="20"/>
        </w:rPr>
        <w:t xml:space="preserve">, </w:t>
      </w:r>
      <w:r w:rsidR="005E35ED">
        <w:rPr>
          <w:sz w:val="20"/>
          <w:szCs w:val="20"/>
        </w:rPr>
        <w:t>Inese.Rudzite</w:t>
      </w:r>
      <w:r w:rsidR="00A063EB" w:rsidRPr="004920F2">
        <w:rPr>
          <w:sz w:val="20"/>
          <w:szCs w:val="20"/>
        </w:rPr>
        <w:t>@tm.gov.lv</w:t>
      </w:r>
    </w:p>
    <w:sectPr w:rsidR="00B20855" w:rsidRPr="00D32752" w:rsidSect="0043243C">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2F" w:rsidRDefault="00BB4F2F" w:rsidP="00E70440">
      <w:r>
        <w:separator/>
      </w:r>
    </w:p>
  </w:endnote>
  <w:endnote w:type="continuationSeparator" w:id="0">
    <w:p w:rsidR="00BB4F2F" w:rsidRDefault="00BB4F2F" w:rsidP="00E70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94" w:rsidRPr="00335DE6" w:rsidRDefault="00CA7C9B" w:rsidP="00F23F94">
    <w:pPr>
      <w:pStyle w:val="naisc"/>
      <w:spacing w:before="0" w:beforeAutospacing="0" w:after="0" w:afterAutospacing="0"/>
      <w:jc w:val="both"/>
      <w:rPr>
        <w:b/>
      </w:rPr>
    </w:pPr>
    <w:r>
      <w:rPr>
        <w:sz w:val="20"/>
        <w:szCs w:val="20"/>
      </w:rPr>
      <w:t>TMzin_0</w:t>
    </w:r>
    <w:r w:rsidR="00AA1181">
      <w:rPr>
        <w:sz w:val="20"/>
        <w:szCs w:val="20"/>
      </w:rPr>
      <w:t>7</w:t>
    </w:r>
    <w:r>
      <w:rPr>
        <w:sz w:val="20"/>
        <w:szCs w:val="20"/>
      </w:rPr>
      <w:t>0111_kibernoz</w:t>
    </w:r>
    <w:r w:rsidR="00F23F94">
      <w:rPr>
        <w:sz w:val="20"/>
        <w:szCs w:val="20"/>
      </w:rPr>
      <w:t xml:space="preserve">; </w:t>
    </w:r>
    <w:r w:rsidR="00F34697">
      <w:rPr>
        <w:sz w:val="20"/>
        <w:szCs w:val="20"/>
      </w:rPr>
      <w:t xml:space="preserve">Latvijas </w:t>
    </w:r>
    <w:r w:rsidR="00F23F94">
      <w:rPr>
        <w:sz w:val="20"/>
        <w:szCs w:val="20"/>
      </w:rPr>
      <w:t xml:space="preserve">nacionālā pozīcija (sākotnējā) </w:t>
    </w:r>
    <w:r w:rsidR="00F23F94" w:rsidRPr="00CD30BD">
      <w:rPr>
        <w:sz w:val="20"/>
        <w:szCs w:val="20"/>
      </w:rPr>
      <w:t>par Eiropas Komisijas priekšlikumu Eiropas Parlamenta un Padomes direktīvai par uzbrukumiem informācijas sistēmām, ar ko atceļ Padomes Pamatlēmumu 2005/222/TI</w:t>
    </w:r>
  </w:p>
  <w:p w:rsidR="00E26F16" w:rsidRPr="00833B21" w:rsidRDefault="00E26F16" w:rsidP="00B20818">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16" w:rsidRPr="00335DE6" w:rsidRDefault="00E26F16" w:rsidP="00CD30BD">
    <w:pPr>
      <w:pStyle w:val="naisc"/>
      <w:spacing w:before="0" w:beforeAutospacing="0" w:after="0" w:afterAutospacing="0"/>
      <w:jc w:val="both"/>
      <w:rPr>
        <w:b/>
      </w:rPr>
    </w:pPr>
    <w:r>
      <w:rPr>
        <w:sz w:val="20"/>
        <w:szCs w:val="20"/>
      </w:rPr>
      <w:t>TMzin_0</w:t>
    </w:r>
    <w:r w:rsidR="00A73576">
      <w:rPr>
        <w:sz w:val="20"/>
        <w:szCs w:val="20"/>
      </w:rPr>
      <w:t>7</w:t>
    </w:r>
    <w:r>
      <w:rPr>
        <w:sz w:val="20"/>
        <w:szCs w:val="20"/>
      </w:rPr>
      <w:t>0111_kibe</w:t>
    </w:r>
    <w:r w:rsidR="00CA7C9B">
      <w:rPr>
        <w:sz w:val="20"/>
        <w:szCs w:val="20"/>
      </w:rPr>
      <w:t>rnoz</w:t>
    </w:r>
    <w:r>
      <w:rPr>
        <w:sz w:val="20"/>
        <w:szCs w:val="20"/>
      </w:rPr>
      <w:t xml:space="preserve">; </w:t>
    </w:r>
    <w:r w:rsidR="00F34697">
      <w:rPr>
        <w:sz w:val="20"/>
        <w:szCs w:val="20"/>
      </w:rPr>
      <w:t xml:space="preserve">Latvijas </w:t>
    </w:r>
    <w:r>
      <w:rPr>
        <w:sz w:val="20"/>
        <w:szCs w:val="20"/>
      </w:rPr>
      <w:t xml:space="preserve">nacionālā pozīcija (sākotnējā) </w:t>
    </w:r>
    <w:r w:rsidRPr="00CD30BD">
      <w:rPr>
        <w:sz w:val="20"/>
        <w:szCs w:val="20"/>
      </w:rPr>
      <w:t>par Eiropas Komisijas priekšlikumu Eiropas Parlamenta un Padomes direktīvai par uzbrukumiem informācijas sistēmām, ar ko atceļ Padomes Pamatlēmumu 2005/222/TI</w:t>
    </w:r>
  </w:p>
  <w:p w:rsidR="00E26F16" w:rsidRPr="00833B21" w:rsidRDefault="00E26F16" w:rsidP="00B20818">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2F" w:rsidRDefault="00BB4F2F" w:rsidP="00E70440">
      <w:r>
        <w:separator/>
      </w:r>
    </w:p>
  </w:footnote>
  <w:footnote w:type="continuationSeparator" w:id="0">
    <w:p w:rsidR="00BB4F2F" w:rsidRDefault="00BB4F2F" w:rsidP="00E70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16" w:rsidRDefault="0079436B" w:rsidP="00B20818">
    <w:pPr>
      <w:pStyle w:val="Galvene"/>
      <w:framePr w:wrap="around" w:vAnchor="text" w:hAnchor="margin" w:xAlign="center" w:y="1"/>
      <w:rPr>
        <w:rStyle w:val="Lappusesnumurs"/>
      </w:rPr>
    </w:pPr>
    <w:r>
      <w:rPr>
        <w:rStyle w:val="Lappusesnumurs"/>
      </w:rPr>
      <w:fldChar w:fldCharType="begin"/>
    </w:r>
    <w:r w:rsidR="00E26F16">
      <w:rPr>
        <w:rStyle w:val="Lappusesnumurs"/>
      </w:rPr>
      <w:instrText xml:space="preserve">PAGE  </w:instrText>
    </w:r>
    <w:r>
      <w:rPr>
        <w:rStyle w:val="Lappusesnumurs"/>
      </w:rPr>
      <w:fldChar w:fldCharType="end"/>
    </w:r>
  </w:p>
  <w:p w:rsidR="00E26F16" w:rsidRDefault="00E26F1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16" w:rsidRDefault="0079436B" w:rsidP="00B20818">
    <w:pPr>
      <w:pStyle w:val="Galvene"/>
      <w:framePr w:wrap="around" w:vAnchor="text" w:hAnchor="margin" w:xAlign="center" w:y="1"/>
      <w:rPr>
        <w:rStyle w:val="Lappusesnumurs"/>
      </w:rPr>
    </w:pPr>
    <w:r>
      <w:rPr>
        <w:rStyle w:val="Lappusesnumurs"/>
      </w:rPr>
      <w:fldChar w:fldCharType="begin"/>
    </w:r>
    <w:r w:rsidR="00E26F16">
      <w:rPr>
        <w:rStyle w:val="Lappusesnumurs"/>
      </w:rPr>
      <w:instrText xml:space="preserve">PAGE  </w:instrText>
    </w:r>
    <w:r>
      <w:rPr>
        <w:rStyle w:val="Lappusesnumurs"/>
      </w:rPr>
      <w:fldChar w:fldCharType="separate"/>
    </w:r>
    <w:r w:rsidR="00964B46">
      <w:rPr>
        <w:rStyle w:val="Lappusesnumurs"/>
        <w:noProof/>
      </w:rPr>
      <w:t>2</w:t>
    </w:r>
    <w:r>
      <w:rPr>
        <w:rStyle w:val="Lappusesnumurs"/>
      </w:rPr>
      <w:fldChar w:fldCharType="end"/>
    </w:r>
  </w:p>
  <w:p w:rsidR="00E26F16" w:rsidRDefault="00E26F16">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BA9"/>
    <w:multiLevelType w:val="hybridMultilevel"/>
    <w:tmpl w:val="51FE075C"/>
    <w:lvl w:ilvl="0" w:tplc="9F9A55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D16EB4"/>
    <w:multiLevelType w:val="hybridMultilevel"/>
    <w:tmpl w:val="274E3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CB47A2"/>
    <w:multiLevelType w:val="hybridMultilevel"/>
    <w:tmpl w:val="E328F0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2BF38BF"/>
    <w:multiLevelType w:val="multilevel"/>
    <w:tmpl w:val="B4662252"/>
    <w:lvl w:ilvl="0">
      <w:start w:val="1"/>
      <w:numFmt w:val="bullet"/>
      <w:lvlText w:val=""/>
      <w:lvlJc w:val="left"/>
      <w:pPr>
        <w:tabs>
          <w:tab w:val="num" w:pos="227"/>
        </w:tabs>
        <w:ind w:left="0" w:firstLine="227"/>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5">
    <w:nsid w:val="3F5278E6"/>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B95327"/>
    <w:multiLevelType w:val="hybridMultilevel"/>
    <w:tmpl w:val="0E148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24852FE"/>
    <w:multiLevelType w:val="hybridMultilevel"/>
    <w:tmpl w:val="3E943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A635104"/>
    <w:multiLevelType w:val="hybridMultilevel"/>
    <w:tmpl w:val="7B84FCA0"/>
    <w:lvl w:ilvl="0" w:tplc="008AFB4E">
      <w:start w:val="1"/>
      <w:numFmt w:val="bullet"/>
      <w:lvlText w:val=""/>
      <w:lvlJc w:val="left"/>
      <w:pPr>
        <w:tabs>
          <w:tab w:val="num" w:pos="227"/>
        </w:tabs>
        <w:ind w:left="0" w:firstLine="227"/>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260005">
      <w:start w:val="1"/>
      <w:numFmt w:val="bullet"/>
      <w:lvlText w:val=""/>
      <w:lvlJc w:val="left"/>
      <w:pPr>
        <w:tabs>
          <w:tab w:val="num" w:pos="2880"/>
        </w:tabs>
        <w:ind w:left="2880" w:hanging="360"/>
      </w:pPr>
      <w:rPr>
        <w:rFonts w:ascii="Wingdings" w:hAnsi="Wingdings" w:hint="default"/>
      </w:rPr>
    </w:lvl>
    <w:lvl w:ilvl="3" w:tplc="3B8E252A">
      <w:start w:val="8"/>
      <w:numFmt w:val="bullet"/>
      <w:lvlText w:val="-"/>
      <w:lvlJc w:val="left"/>
      <w:pPr>
        <w:ind w:left="3600" w:hanging="360"/>
      </w:pPr>
      <w:rPr>
        <w:rFonts w:ascii="Times New Roman" w:eastAsia="Times New Roman" w:hAnsi="Times New Roman" w:cs="Times New Roman"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9">
    <w:nsid w:val="71CC7EEA"/>
    <w:multiLevelType w:val="hybridMultilevel"/>
    <w:tmpl w:val="CACED332"/>
    <w:lvl w:ilvl="0" w:tplc="9AF04EC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25731B3"/>
    <w:multiLevelType w:val="hybridMultilevel"/>
    <w:tmpl w:val="B130F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5"/>
  </w:num>
  <w:num w:numId="6">
    <w:abstractNumId w:val="9"/>
  </w:num>
  <w:num w:numId="7">
    <w:abstractNumId w:val="8"/>
  </w:num>
  <w:num w:numId="8">
    <w:abstractNumId w:val="1"/>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063EB"/>
    <w:rsid w:val="00017FFB"/>
    <w:rsid w:val="0004349A"/>
    <w:rsid w:val="000672EC"/>
    <w:rsid w:val="000C2A7A"/>
    <w:rsid w:val="000C5B8E"/>
    <w:rsid w:val="00110C3F"/>
    <w:rsid w:val="00114BD5"/>
    <w:rsid w:val="0011715E"/>
    <w:rsid w:val="001275F8"/>
    <w:rsid w:val="00131921"/>
    <w:rsid w:val="001345D2"/>
    <w:rsid w:val="00135224"/>
    <w:rsid w:val="00142044"/>
    <w:rsid w:val="0016536C"/>
    <w:rsid w:val="001B2443"/>
    <w:rsid w:val="001D38F0"/>
    <w:rsid w:val="001E258E"/>
    <w:rsid w:val="0020688D"/>
    <w:rsid w:val="00226819"/>
    <w:rsid w:val="002274FA"/>
    <w:rsid w:val="00250A82"/>
    <w:rsid w:val="0026207C"/>
    <w:rsid w:val="00291CC1"/>
    <w:rsid w:val="00294246"/>
    <w:rsid w:val="002A336C"/>
    <w:rsid w:val="002A7D9F"/>
    <w:rsid w:val="002D30BE"/>
    <w:rsid w:val="0030724B"/>
    <w:rsid w:val="003177A6"/>
    <w:rsid w:val="00322A93"/>
    <w:rsid w:val="003420BE"/>
    <w:rsid w:val="003759EF"/>
    <w:rsid w:val="003761C6"/>
    <w:rsid w:val="003C4AA9"/>
    <w:rsid w:val="003D34BE"/>
    <w:rsid w:val="003D6426"/>
    <w:rsid w:val="004217B3"/>
    <w:rsid w:val="0043243C"/>
    <w:rsid w:val="00436836"/>
    <w:rsid w:val="00494D05"/>
    <w:rsid w:val="004C4DE0"/>
    <w:rsid w:val="004D271D"/>
    <w:rsid w:val="004F60A0"/>
    <w:rsid w:val="005124A5"/>
    <w:rsid w:val="00540222"/>
    <w:rsid w:val="005826C9"/>
    <w:rsid w:val="005849CF"/>
    <w:rsid w:val="00590D94"/>
    <w:rsid w:val="005A0D41"/>
    <w:rsid w:val="005E35ED"/>
    <w:rsid w:val="005E6213"/>
    <w:rsid w:val="005F1B2A"/>
    <w:rsid w:val="0067271D"/>
    <w:rsid w:val="00683FF3"/>
    <w:rsid w:val="006A4AD3"/>
    <w:rsid w:val="006A7A55"/>
    <w:rsid w:val="006B5EA4"/>
    <w:rsid w:val="006C27E6"/>
    <w:rsid w:val="006D44FF"/>
    <w:rsid w:val="006E706C"/>
    <w:rsid w:val="0070266D"/>
    <w:rsid w:val="007079C8"/>
    <w:rsid w:val="00716652"/>
    <w:rsid w:val="00722C6F"/>
    <w:rsid w:val="00724798"/>
    <w:rsid w:val="00730549"/>
    <w:rsid w:val="00761E1A"/>
    <w:rsid w:val="00773C36"/>
    <w:rsid w:val="0078067B"/>
    <w:rsid w:val="00794181"/>
    <w:rsid w:val="0079436B"/>
    <w:rsid w:val="007B2794"/>
    <w:rsid w:val="007E2C15"/>
    <w:rsid w:val="007F7FAD"/>
    <w:rsid w:val="008003C7"/>
    <w:rsid w:val="008067DE"/>
    <w:rsid w:val="00817D70"/>
    <w:rsid w:val="0082298B"/>
    <w:rsid w:val="00823635"/>
    <w:rsid w:val="00840EAE"/>
    <w:rsid w:val="008903BA"/>
    <w:rsid w:val="008B1A24"/>
    <w:rsid w:val="008D468E"/>
    <w:rsid w:val="008E4D58"/>
    <w:rsid w:val="008F31D6"/>
    <w:rsid w:val="00964B46"/>
    <w:rsid w:val="009843C5"/>
    <w:rsid w:val="00996AC7"/>
    <w:rsid w:val="009F65A1"/>
    <w:rsid w:val="00A063EB"/>
    <w:rsid w:val="00A41885"/>
    <w:rsid w:val="00A72677"/>
    <w:rsid w:val="00A72F5D"/>
    <w:rsid w:val="00A73576"/>
    <w:rsid w:val="00A8590B"/>
    <w:rsid w:val="00A90804"/>
    <w:rsid w:val="00AA0973"/>
    <w:rsid w:val="00AA1181"/>
    <w:rsid w:val="00AB1A8B"/>
    <w:rsid w:val="00AC55A2"/>
    <w:rsid w:val="00AC76C8"/>
    <w:rsid w:val="00B20818"/>
    <w:rsid w:val="00B20855"/>
    <w:rsid w:val="00B4234A"/>
    <w:rsid w:val="00B46F3F"/>
    <w:rsid w:val="00B95BF3"/>
    <w:rsid w:val="00B96620"/>
    <w:rsid w:val="00BB4F2F"/>
    <w:rsid w:val="00BC41E0"/>
    <w:rsid w:val="00BF624C"/>
    <w:rsid w:val="00C42A9A"/>
    <w:rsid w:val="00C54BDB"/>
    <w:rsid w:val="00C9067C"/>
    <w:rsid w:val="00CA7C9B"/>
    <w:rsid w:val="00CB1A12"/>
    <w:rsid w:val="00CB613F"/>
    <w:rsid w:val="00CD30BD"/>
    <w:rsid w:val="00CE2266"/>
    <w:rsid w:val="00CE3ED2"/>
    <w:rsid w:val="00D32752"/>
    <w:rsid w:val="00D44113"/>
    <w:rsid w:val="00D64EAD"/>
    <w:rsid w:val="00D922B8"/>
    <w:rsid w:val="00D978A0"/>
    <w:rsid w:val="00DC0F14"/>
    <w:rsid w:val="00DC2696"/>
    <w:rsid w:val="00DC4AB9"/>
    <w:rsid w:val="00DC7972"/>
    <w:rsid w:val="00DD607D"/>
    <w:rsid w:val="00DF01F0"/>
    <w:rsid w:val="00E135B6"/>
    <w:rsid w:val="00E26F16"/>
    <w:rsid w:val="00E2750E"/>
    <w:rsid w:val="00E70440"/>
    <w:rsid w:val="00EC6CE5"/>
    <w:rsid w:val="00F03A97"/>
    <w:rsid w:val="00F2044A"/>
    <w:rsid w:val="00F23F94"/>
    <w:rsid w:val="00F30A5A"/>
    <w:rsid w:val="00F34697"/>
    <w:rsid w:val="00F365E1"/>
    <w:rsid w:val="00F36DDB"/>
    <w:rsid w:val="00F94564"/>
    <w:rsid w:val="00FA4A27"/>
    <w:rsid w:val="00FC2F65"/>
    <w:rsid w:val="00FC3E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63E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A063EB"/>
    <w:pPr>
      <w:tabs>
        <w:tab w:val="center" w:pos="4153"/>
        <w:tab w:val="right" w:pos="8306"/>
      </w:tabs>
    </w:pPr>
  </w:style>
  <w:style w:type="character" w:customStyle="1" w:styleId="GalveneRakstz">
    <w:name w:val="Galvene Rakstz."/>
    <w:basedOn w:val="Noklusjumarindkopasfonts"/>
    <w:link w:val="Galvene"/>
    <w:rsid w:val="00A063EB"/>
    <w:rPr>
      <w:rFonts w:ascii="Times New Roman" w:eastAsia="Times New Roman" w:hAnsi="Times New Roman" w:cs="Times New Roman"/>
      <w:sz w:val="24"/>
      <w:szCs w:val="24"/>
    </w:rPr>
  </w:style>
  <w:style w:type="character" w:styleId="Lappusesnumurs">
    <w:name w:val="page number"/>
    <w:basedOn w:val="Noklusjumarindkopasfonts"/>
    <w:rsid w:val="00A063EB"/>
    <w:rPr>
      <w:rFonts w:cs="Times New Roman"/>
    </w:rPr>
  </w:style>
  <w:style w:type="paragraph" w:styleId="Nosaukums">
    <w:name w:val="Title"/>
    <w:basedOn w:val="Parastais"/>
    <w:link w:val="NosaukumsRakstz"/>
    <w:qFormat/>
    <w:rsid w:val="00A063EB"/>
    <w:pPr>
      <w:jc w:val="center"/>
    </w:pPr>
    <w:rPr>
      <w:b/>
      <w:bCs/>
    </w:rPr>
  </w:style>
  <w:style w:type="character" w:customStyle="1" w:styleId="NosaukumsRakstz">
    <w:name w:val="Nosaukums Rakstz."/>
    <w:basedOn w:val="Noklusjumarindkopasfonts"/>
    <w:link w:val="Nosaukums"/>
    <w:rsid w:val="00A063EB"/>
    <w:rPr>
      <w:rFonts w:ascii="Times New Roman" w:eastAsia="Times New Roman" w:hAnsi="Times New Roman" w:cs="Times New Roman"/>
      <w:b/>
      <w:bCs/>
      <w:sz w:val="24"/>
      <w:szCs w:val="24"/>
    </w:rPr>
  </w:style>
  <w:style w:type="paragraph" w:customStyle="1" w:styleId="Text1">
    <w:name w:val="Text 1"/>
    <w:basedOn w:val="Parastais"/>
    <w:rsid w:val="00A063EB"/>
    <w:pPr>
      <w:spacing w:before="120" w:after="120"/>
      <w:ind w:left="850"/>
      <w:jc w:val="both"/>
    </w:pPr>
    <w:rPr>
      <w:lang w:eastAsia="en-GB"/>
    </w:rPr>
  </w:style>
  <w:style w:type="paragraph" w:styleId="Sarakstarindkopa">
    <w:name w:val="List Paragraph"/>
    <w:basedOn w:val="Parastais"/>
    <w:uiPriority w:val="34"/>
    <w:qFormat/>
    <w:rsid w:val="00A063EB"/>
    <w:pPr>
      <w:ind w:left="720"/>
      <w:contextualSpacing/>
    </w:pPr>
  </w:style>
  <w:style w:type="paragraph" w:styleId="Kjene">
    <w:name w:val="footer"/>
    <w:basedOn w:val="Parastais"/>
    <w:link w:val="KjeneRakstz"/>
    <w:uiPriority w:val="99"/>
    <w:semiHidden/>
    <w:unhideWhenUsed/>
    <w:rsid w:val="00A063EB"/>
    <w:pPr>
      <w:tabs>
        <w:tab w:val="center" w:pos="4153"/>
        <w:tab w:val="right" w:pos="8306"/>
      </w:tabs>
    </w:pPr>
  </w:style>
  <w:style w:type="character" w:customStyle="1" w:styleId="KjeneRakstz">
    <w:name w:val="Kājene Rakstz."/>
    <w:basedOn w:val="Noklusjumarindkopasfonts"/>
    <w:link w:val="Kjene"/>
    <w:uiPriority w:val="99"/>
    <w:semiHidden/>
    <w:rsid w:val="00A063EB"/>
    <w:rPr>
      <w:rFonts w:ascii="Times New Roman" w:eastAsia="Times New Roman" w:hAnsi="Times New Roman" w:cs="Times New Roman"/>
      <w:sz w:val="24"/>
      <w:szCs w:val="24"/>
    </w:rPr>
  </w:style>
  <w:style w:type="paragraph" w:customStyle="1" w:styleId="naisf">
    <w:name w:val="naisf"/>
    <w:basedOn w:val="Parastais"/>
    <w:rsid w:val="00E70440"/>
    <w:pPr>
      <w:spacing w:before="44" w:after="44"/>
      <w:ind w:firstLine="221"/>
      <w:jc w:val="both"/>
    </w:pPr>
    <w:rPr>
      <w:lang w:eastAsia="lv-LV"/>
    </w:rPr>
  </w:style>
  <w:style w:type="paragraph" w:styleId="Vresteksts">
    <w:name w:val="footnote text"/>
    <w:basedOn w:val="Parastais"/>
    <w:link w:val="VrestekstsRakstz"/>
    <w:semiHidden/>
    <w:rsid w:val="00AA0973"/>
    <w:rPr>
      <w:sz w:val="20"/>
      <w:szCs w:val="20"/>
      <w:lang w:eastAsia="lv-LV"/>
    </w:rPr>
  </w:style>
  <w:style w:type="character" w:customStyle="1" w:styleId="VrestekstsRakstz">
    <w:name w:val="Vēres teksts Rakstz."/>
    <w:basedOn w:val="Noklusjumarindkopasfonts"/>
    <w:link w:val="Vresteksts"/>
    <w:semiHidden/>
    <w:rsid w:val="00AA0973"/>
    <w:rPr>
      <w:rFonts w:ascii="Times New Roman" w:eastAsia="Times New Roman" w:hAnsi="Times New Roman" w:cs="Times New Roman"/>
      <w:sz w:val="20"/>
      <w:szCs w:val="20"/>
      <w:lang w:eastAsia="lv-LV"/>
    </w:rPr>
  </w:style>
  <w:style w:type="paragraph" w:customStyle="1" w:styleId="Tiret1">
    <w:name w:val="Tiret 1"/>
    <w:basedOn w:val="Parastais"/>
    <w:rsid w:val="00AA0973"/>
    <w:pPr>
      <w:numPr>
        <w:numId w:val="4"/>
      </w:numPr>
      <w:spacing w:before="120" w:after="120"/>
      <w:jc w:val="both"/>
    </w:pPr>
    <w:rPr>
      <w:lang w:eastAsia="en-GB"/>
    </w:rPr>
  </w:style>
  <w:style w:type="paragraph" w:customStyle="1" w:styleId="naisc">
    <w:name w:val="naisc"/>
    <w:basedOn w:val="Parastais"/>
    <w:rsid w:val="00B95BF3"/>
    <w:pPr>
      <w:spacing w:before="100" w:beforeAutospacing="1" w:after="100" w:afterAutospacing="1"/>
    </w:pPr>
    <w:rPr>
      <w:lang w:eastAsia="lv-LV"/>
    </w:rPr>
  </w:style>
  <w:style w:type="paragraph" w:customStyle="1" w:styleId="naispant">
    <w:name w:val="naispant"/>
    <w:basedOn w:val="Parastais"/>
    <w:rsid w:val="004D271D"/>
    <w:pPr>
      <w:spacing w:before="250" w:after="125"/>
      <w:ind w:left="313" w:firstLine="313"/>
      <w:jc w:val="both"/>
    </w:pPr>
    <w:rPr>
      <w:b/>
      <w:bCs/>
      <w:lang w:eastAsia="lv-LV"/>
    </w:rPr>
  </w:style>
  <w:style w:type="paragraph" w:styleId="Balonteksts">
    <w:name w:val="Balloon Text"/>
    <w:basedOn w:val="Parastais"/>
    <w:link w:val="BalontekstsRakstz"/>
    <w:uiPriority w:val="99"/>
    <w:semiHidden/>
    <w:unhideWhenUsed/>
    <w:rsid w:val="00AB1A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B1A8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56E9-38E1-4F8E-A154-4302D6E5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3270</Words>
  <Characters>1864</Characters>
  <Application>Microsoft Office Word</Application>
  <DocSecurity>4</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priekšlikumu Eiropas Parlamenta un Padomes direktīvai par seksuālās vardarbības pret bērniem, bērnu seksuālās izmantošanas un bērnu pornogrāfijas apkarošanu, ar ko atceļ pamatlēmumu 2004/68/TI</vt:lpstr>
      <vt:lpstr/>
    </vt:vector>
  </TitlesOfParts>
  <Company>Tieslietu Ministrija</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(sākotnējo) pozīciju par priekšlikumu Eiropas Parlamenta un Padomes direktīvai par uzbrukumiem informācijas sistēmām, ar ko atceļ Padomes Pamatlēmumu 2005/222/TI</dc:title>
  <dc:subject>Informatīvais ziņojums</dc:subject>
  <dc:creator>Inese Rudzīte</dc:creator>
  <dc:description>Inese.Rudzite@tm.gov.lv; 67036972</dc:description>
  <cp:lastModifiedBy>il1501</cp:lastModifiedBy>
  <cp:revision>2</cp:revision>
  <dcterms:created xsi:type="dcterms:W3CDTF">2011-01-07T12:09:00Z</dcterms:created>
  <dcterms:modified xsi:type="dcterms:W3CDTF">2011-01-07T12:09:00Z</dcterms:modified>
</cp:coreProperties>
</file>