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1F" w:rsidRPr="00946F91" w:rsidRDefault="00CA0D1F" w:rsidP="007E3010">
      <w:pPr>
        <w:pStyle w:val="Header"/>
        <w:tabs>
          <w:tab w:val="left" w:pos="720"/>
        </w:tabs>
        <w:ind w:right="-285"/>
        <w:jc w:val="center"/>
        <w:rPr>
          <w:b/>
          <w:sz w:val="28"/>
          <w:szCs w:val="28"/>
        </w:rPr>
      </w:pPr>
      <w:bookmarkStart w:id="0" w:name="OLE_LINK11"/>
      <w:bookmarkStart w:id="1" w:name="OLE_LINK12"/>
      <w:bookmarkStart w:id="2" w:name="OLE_LINK13"/>
      <w:r>
        <w:rPr>
          <w:b/>
          <w:sz w:val="28"/>
          <w:szCs w:val="28"/>
        </w:rPr>
        <w:t>I</w:t>
      </w:r>
      <w:r w:rsidRPr="005519BE">
        <w:rPr>
          <w:b/>
          <w:sz w:val="28"/>
          <w:szCs w:val="28"/>
        </w:rPr>
        <w:t>nformatīv</w:t>
      </w:r>
      <w:r>
        <w:rPr>
          <w:b/>
          <w:sz w:val="28"/>
          <w:szCs w:val="28"/>
        </w:rPr>
        <w:t xml:space="preserve">ais </w:t>
      </w:r>
      <w:smartTag w:uri="schemas-tilde-lv/tildestengine" w:element="veidnes">
        <w:smartTagPr>
          <w:attr w:name="text" w:val="ziņojums"/>
          <w:attr w:name="id" w:val="-1"/>
          <w:attr w:name="baseform" w:val="ziņojum|s"/>
        </w:smartTagPr>
        <w:r w:rsidRPr="00946F91">
          <w:rPr>
            <w:b/>
            <w:sz w:val="28"/>
            <w:szCs w:val="28"/>
          </w:rPr>
          <w:t>ziņojums</w:t>
        </w:r>
      </w:smartTag>
    </w:p>
    <w:p w:rsidR="00CA0D1F" w:rsidRPr="00946F91" w:rsidRDefault="00CA0D1F" w:rsidP="00A170D0">
      <w:pPr>
        <w:pStyle w:val="Header"/>
        <w:tabs>
          <w:tab w:val="left" w:pos="720"/>
        </w:tabs>
        <w:ind w:right="-285"/>
        <w:jc w:val="center"/>
        <w:rPr>
          <w:b/>
          <w:sz w:val="28"/>
          <w:szCs w:val="28"/>
        </w:rPr>
      </w:pPr>
    </w:p>
    <w:p w:rsidR="00322D7F" w:rsidRPr="00322D7F" w:rsidRDefault="00CA0D1F" w:rsidP="00A170D0">
      <w:pPr>
        <w:pStyle w:val="naiskr"/>
        <w:tabs>
          <w:tab w:val="left" w:pos="4820"/>
        </w:tabs>
        <w:spacing w:before="0" w:beforeAutospacing="0" w:after="0" w:afterAutospacing="0"/>
        <w:ind w:right="-285"/>
        <w:jc w:val="center"/>
        <w:rPr>
          <w:b/>
          <w:sz w:val="28"/>
          <w:szCs w:val="28"/>
        </w:rPr>
      </w:pPr>
      <w:bookmarkStart w:id="3" w:name="OLE_LINK3"/>
      <w:bookmarkStart w:id="4" w:name="OLE_LINK4"/>
      <w:bookmarkStart w:id="5" w:name="OLE_LINK5"/>
      <w:bookmarkStart w:id="6" w:name="OLE_LINK6"/>
      <w:r w:rsidRPr="00322D7F">
        <w:rPr>
          <w:b/>
          <w:sz w:val="28"/>
          <w:szCs w:val="28"/>
        </w:rPr>
        <w:t xml:space="preserve">par Latvijas nacionālo pozīciju </w:t>
      </w:r>
      <w:bookmarkEnd w:id="0"/>
      <w:bookmarkEnd w:id="1"/>
      <w:bookmarkEnd w:id="2"/>
      <w:bookmarkEnd w:id="3"/>
      <w:bookmarkEnd w:id="4"/>
      <w:r w:rsidR="00322D7F" w:rsidRPr="00322D7F">
        <w:rPr>
          <w:b/>
          <w:sz w:val="28"/>
          <w:szCs w:val="28"/>
        </w:rPr>
        <w:t>par Padomes lēmumu par ciešāk</w:t>
      </w:r>
      <w:r w:rsidR="00271DC3">
        <w:rPr>
          <w:b/>
          <w:sz w:val="28"/>
          <w:szCs w:val="28"/>
        </w:rPr>
        <w:t>a</w:t>
      </w:r>
      <w:r w:rsidR="00322D7F" w:rsidRPr="00322D7F">
        <w:rPr>
          <w:b/>
          <w:sz w:val="28"/>
          <w:szCs w:val="28"/>
        </w:rPr>
        <w:t>s sadarbības mehānisma izveidošanu ar mērķi izveidot vienotu ES patenta sistēmu</w:t>
      </w:r>
    </w:p>
    <w:bookmarkEnd w:id="5"/>
    <w:bookmarkEnd w:id="6"/>
    <w:p w:rsidR="00CA0D1F" w:rsidRPr="00C60295" w:rsidRDefault="00CA0D1F" w:rsidP="00A170D0">
      <w:pPr>
        <w:ind w:right="-285"/>
        <w:jc w:val="center"/>
        <w:rPr>
          <w:sz w:val="28"/>
          <w:szCs w:val="28"/>
        </w:rPr>
      </w:pPr>
    </w:p>
    <w:p w:rsidR="00CA0D1F" w:rsidRPr="007E3010" w:rsidRDefault="00322D7F" w:rsidP="00A170D0">
      <w:pPr>
        <w:tabs>
          <w:tab w:val="left" w:pos="4820"/>
        </w:tabs>
        <w:ind w:right="-285"/>
        <w:jc w:val="both"/>
        <w:rPr>
          <w:b/>
          <w:sz w:val="28"/>
          <w:szCs w:val="28"/>
          <w:u w:val="single"/>
        </w:rPr>
      </w:pPr>
      <w:r w:rsidRPr="007E3010">
        <w:rPr>
          <w:b/>
          <w:sz w:val="28"/>
          <w:szCs w:val="28"/>
          <w:u w:val="single"/>
        </w:rPr>
        <w:t>I Latvijas nacionālās pozīcijas izstrādes nepieciešamības pamatojums</w:t>
      </w:r>
    </w:p>
    <w:p w:rsidR="00322D7F" w:rsidRPr="00322D7F" w:rsidRDefault="00B53E9C" w:rsidP="00A170D0">
      <w:pPr>
        <w:tabs>
          <w:tab w:val="left" w:pos="4820"/>
        </w:tabs>
        <w:ind w:right="-285"/>
        <w:jc w:val="both"/>
        <w:rPr>
          <w:sz w:val="28"/>
          <w:szCs w:val="28"/>
        </w:rPr>
      </w:pPr>
      <w:r>
        <w:rPr>
          <w:sz w:val="28"/>
          <w:szCs w:val="28"/>
        </w:rPr>
        <w:t xml:space="preserve">       </w:t>
      </w:r>
      <w:r w:rsidR="00C1491D">
        <w:rPr>
          <w:sz w:val="28"/>
          <w:szCs w:val="28"/>
        </w:rPr>
        <w:t xml:space="preserve">   </w:t>
      </w:r>
      <w:r w:rsidR="00322D7F" w:rsidRPr="00322D7F">
        <w:rPr>
          <w:sz w:val="28"/>
          <w:szCs w:val="28"/>
        </w:rPr>
        <w:t xml:space="preserve">Jautājums par Eiropas Savienības (turpmāk – ES) patenta sistēmas izveidi ES Padomē aktīvi tiek skatīts jau vairāku gadu garumā. ES patenta sistēmas ietvaros ir paredzēta: </w:t>
      </w:r>
    </w:p>
    <w:p w:rsidR="00322D7F" w:rsidRPr="00322D7F" w:rsidRDefault="00322D7F" w:rsidP="00A170D0">
      <w:pPr>
        <w:pStyle w:val="ListParagraph"/>
        <w:numPr>
          <w:ilvl w:val="0"/>
          <w:numId w:val="3"/>
        </w:numPr>
        <w:tabs>
          <w:tab w:val="left" w:pos="4820"/>
        </w:tabs>
        <w:ind w:right="-285"/>
        <w:jc w:val="both"/>
        <w:rPr>
          <w:sz w:val="28"/>
          <w:szCs w:val="28"/>
        </w:rPr>
      </w:pPr>
      <w:r w:rsidRPr="00322D7F">
        <w:rPr>
          <w:sz w:val="28"/>
          <w:szCs w:val="28"/>
        </w:rPr>
        <w:t xml:space="preserve">ES patenta izveide; </w:t>
      </w:r>
    </w:p>
    <w:p w:rsidR="00322D7F" w:rsidRPr="00322D7F" w:rsidRDefault="00322D7F" w:rsidP="00A170D0">
      <w:pPr>
        <w:pStyle w:val="ListParagraph"/>
        <w:numPr>
          <w:ilvl w:val="0"/>
          <w:numId w:val="3"/>
        </w:numPr>
        <w:tabs>
          <w:tab w:val="left" w:pos="4820"/>
        </w:tabs>
        <w:ind w:right="-285"/>
        <w:jc w:val="both"/>
        <w:rPr>
          <w:sz w:val="28"/>
          <w:szCs w:val="28"/>
        </w:rPr>
      </w:pPr>
      <w:r w:rsidRPr="00322D7F">
        <w:rPr>
          <w:sz w:val="28"/>
          <w:szCs w:val="28"/>
        </w:rPr>
        <w:t xml:space="preserve">sadarbības attīstība Eiropas Patentu iestādes un dalībvalstu nacionālo patentu iestāžu starpā; </w:t>
      </w:r>
    </w:p>
    <w:p w:rsidR="00322D7F" w:rsidRPr="00322D7F" w:rsidRDefault="00322D7F" w:rsidP="00A170D0">
      <w:pPr>
        <w:pStyle w:val="ListParagraph"/>
        <w:numPr>
          <w:ilvl w:val="0"/>
          <w:numId w:val="3"/>
        </w:numPr>
        <w:tabs>
          <w:tab w:val="left" w:pos="4820"/>
        </w:tabs>
        <w:ind w:right="-285"/>
        <w:jc w:val="both"/>
        <w:rPr>
          <w:sz w:val="28"/>
          <w:szCs w:val="28"/>
        </w:rPr>
      </w:pPr>
      <w:r w:rsidRPr="00322D7F">
        <w:rPr>
          <w:sz w:val="28"/>
          <w:szCs w:val="28"/>
        </w:rPr>
        <w:t xml:space="preserve">ES patenta tulkošanas kārtība. </w:t>
      </w:r>
    </w:p>
    <w:p w:rsidR="00322D7F" w:rsidRPr="00322D7F" w:rsidRDefault="00B53E9C" w:rsidP="00A170D0">
      <w:pPr>
        <w:tabs>
          <w:tab w:val="left" w:pos="4820"/>
        </w:tabs>
        <w:ind w:right="-285"/>
        <w:jc w:val="both"/>
        <w:rPr>
          <w:sz w:val="28"/>
          <w:szCs w:val="28"/>
        </w:rPr>
      </w:pPr>
      <w:r>
        <w:rPr>
          <w:sz w:val="28"/>
          <w:szCs w:val="28"/>
        </w:rPr>
        <w:t xml:space="preserve">          </w:t>
      </w:r>
      <w:r w:rsidR="00322D7F" w:rsidRPr="00322D7F">
        <w:rPr>
          <w:sz w:val="28"/>
          <w:szCs w:val="28"/>
        </w:rPr>
        <w:t>ES Konkurētspējas ministru p</w:t>
      </w:r>
      <w:r w:rsidR="00150D8D">
        <w:rPr>
          <w:sz w:val="28"/>
          <w:szCs w:val="28"/>
        </w:rPr>
        <w:t>adomes sanāksmē 2009. gada 3.</w:t>
      </w:r>
      <w:r w:rsidR="002478DD">
        <w:rPr>
          <w:sz w:val="28"/>
          <w:szCs w:val="28"/>
        </w:rPr>
        <w:t> - </w:t>
      </w:r>
      <w:r w:rsidR="00150D8D">
        <w:rPr>
          <w:sz w:val="28"/>
          <w:szCs w:val="28"/>
        </w:rPr>
        <w:t>4. </w:t>
      </w:r>
      <w:r w:rsidR="00322D7F" w:rsidRPr="00322D7F">
        <w:rPr>
          <w:sz w:val="28"/>
          <w:szCs w:val="28"/>
        </w:rPr>
        <w:t xml:space="preserve">decembrī tika pieņemti ES Padomes secinājumi par Eiropas patentu sistēmas stiprināšanu (turpmāk – Padomes secinājumi) un atbalstīta vispārēja pieeja attiecībā uz Regulas projektu par Kopienas patentu (tagad ES patentu), kas ir uzskatāmi par pamata politisko dokumentu ES patenta un tiesu sistēmas izveidē, kas atspoguļo dalībvalstu starpā līdz šim panāktās vienošanās sistēmas kontekstā kopumā un sniedz ievirzi turpmākajam darbam. Padomes secinājumi noteic, ka ES patentu regula jāpapildina ar atsevišķu regulu, atrunājot ES patenta tulkošanas kārtību. </w:t>
      </w:r>
    </w:p>
    <w:p w:rsidR="00322D7F" w:rsidRPr="00322D7F" w:rsidRDefault="00322D7F" w:rsidP="00A170D0">
      <w:pPr>
        <w:ind w:right="-285" w:firstLine="720"/>
        <w:jc w:val="both"/>
        <w:rPr>
          <w:sz w:val="28"/>
          <w:szCs w:val="28"/>
        </w:rPr>
      </w:pPr>
      <w:r w:rsidRPr="00322D7F">
        <w:rPr>
          <w:sz w:val="28"/>
          <w:szCs w:val="28"/>
        </w:rPr>
        <w:t xml:space="preserve">Lai uzsāktu darbu pie ES patenta tulkošanas kārtības izstrādes, Eiropas Komisija 2010. gada 2. jūlijā ir nākusi klajā ar Regulas projektu par ES patenta tulkošanas kārtību. Regulas mērķis ir visā Eiropas Savienībā izveidot vienotus, vienkāršākus, lētākus un efektīvākus patentu tulkošanas nosacījumus. </w:t>
      </w:r>
    </w:p>
    <w:p w:rsidR="00322D7F" w:rsidRPr="00322D7F" w:rsidRDefault="00B53E9C" w:rsidP="00A170D0">
      <w:pPr>
        <w:tabs>
          <w:tab w:val="left" w:pos="4820"/>
        </w:tabs>
        <w:ind w:right="-285"/>
        <w:jc w:val="both"/>
        <w:rPr>
          <w:sz w:val="28"/>
          <w:szCs w:val="28"/>
        </w:rPr>
      </w:pPr>
      <w:r>
        <w:rPr>
          <w:sz w:val="28"/>
          <w:szCs w:val="28"/>
        </w:rPr>
        <w:t xml:space="preserve">          </w:t>
      </w:r>
      <w:r w:rsidR="00322D7F" w:rsidRPr="00322D7F">
        <w:rPr>
          <w:sz w:val="28"/>
          <w:szCs w:val="28"/>
        </w:rPr>
        <w:t xml:space="preserve">Regulas projekta mērķis ir samazināt ES reģistrējamo patentu izmaksas. Pēc Eiropas Komisijas veiktā ietekmes izvērtējuma, pašlaik patenta apstiprināšana 13 ES dalībvalstīs izmaksā aptuveni 20 000 eiro, no kuriem 14 000 eiro sastāda tulkošanas izmaksas. Ar Regulas projektu ES patenta izmaksas visās 27 ES dalībvalstīs būtu mazākas par 6 200 </w:t>
      </w:r>
      <w:r w:rsidR="00271DC3">
        <w:rPr>
          <w:sz w:val="28"/>
          <w:szCs w:val="28"/>
        </w:rPr>
        <w:t>eiro</w:t>
      </w:r>
      <w:r w:rsidR="00322D7F" w:rsidRPr="00322D7F">
        <w:rPr>
          <w:sz w:val="28"/>
          <w:szCs w:val="28"/>
        </w:rPr>
        <w:t xml:space="preserve">, no kuriem aptuveni 10% izmaksu būtu saistītas ar tulkošanu. </w:t>
      </w:r>
    </w:p>
    <w:p w:rsidR="00322D7F" w:rsidRPr="00322D7F" w:rsidRDefault="00322D7F" w:rsidP="00A170D0">
      <w:pPr>
        <w:ind w:right="-285" w:firstLine="720"/>
        <w:jc w:val="both"/>
        <w:rPr>
          <w:sz w:val="28"/>
          <w:szCs w:val="28"/>
        </w:rPr>
      </w:pPr>
      <w:r w:rsidRPr="00322D7F">
        <w:rPr>
          <w:sz w:val="28"/>
          <w:szCs w:val="28"/>
        </w:rPr>
        <w:t>Neskatoties uz Beļģijas prezidentūras centieniem panākt vienošanos ES patenta tulkošanas kārtības kontekstā, panākt kompromisu dalībvalstu starpā attiecībā uz tulkošanas kārtību nebija iespējams. Tādējādi divpadsmit ES dalībvalstis</w:t>
      </w:r>
      <w:r w:rsidRPr="00322D7F">
        <w:rPr>
          <w:rStyle w:val="FootnoteReference"/>
          <w:sz w:val="28"/>
          <w:szCs w:val="28"/>
        </w:rPr>
        <w:footnoteReference w:id="1"/>
      </w:r>
      <w:r w:rsidRPr="00322D7F">
        <w:rPr>
          <w:sz w:val="28"/>
          <w:szCs w:val="28"/>
        </w:rPr>
        <w:t xml:space="preserve"> 2010.</w:t>
      </w:r>
      <w:r w:rsidR="00150D8D">
        <w:rPr>
          <w:sz w:val="28"/>
          <w:szCs w:val="28"/>
        </w:rPr>
        <w:t> </w:t>
      </w:r>
      <w:r w:rsidRPr="00322D7F">
        <w:rPr>
          <w:sz w:val="28"/>
          <w:szCs w:val="28"/>
        </w:rPr>
        <w:t>gada 7., 8. un 13.</w:t>
      </w:r>
      <w:r w:rsidR="00150D8D">
        <w:rPr>
          <w:sz w:val="28"/>
          <w:szCs w:val="28"/>
        </w:rPr>
        <w:t> </w:t>
      </w:r>
      <w:r w:rsidRPr="00322D7F">
        <w:rPr>
          <w:sz w:val="28"/>
          <w:szCs w:val="28"/>
        </w:rPr>
        <w:t>decembrī nosūtīja oficiālu vēstuli Eiropas Komisijai, norādot vēlmi izveidot ciešākas sadarbības mehānismu savā starpā ar mērķi izveidot vienotu ES patentu sistēmu. Eiropas Komisija 2010.</w:t>
      </w:r>
      <w:r w:rsidR="00C55775">
        <w:rPr>
          <w:sz w:val="28"/>
          <w:szCs w:val="28"/>
        </w:rPr>
        <w:t> </w:t>
      </w:r>
      <w:r w:rsidRPr="00322D7F">
        <w:rPr>
          <w:sz w:val="28"/>
          <w:szCs w:val="28"/>
        </w:rPr>
        <w:t>gada 16.</w:t>
      </w:r>
      <w:r w:rsidR="00A9031A">
        <w:rPr>
          <w:sz w:val="28"/>
          <w:szCs w:val="28"/>
        </w:rPr>
        <w:t> </w:t>
      </w:r>
      <w:r w:rsidRPr="00322D7F">
        <w:rPr>
          <w:sz w:val="28"/>
          <w:szCs w:val="28"/>
        </w:rPr>
        <w:t>decembrī, izvērtējot dalībvalstu lūgumus, nāca klajā ar priekšlikumu Padomes lēmumam par ciešākas sadarbības mehānisma izveidošanu, kuras ietvaros varētu tikt izveidota vienota ES patentu sistēma.</w:t>
      </w:r>
    </w:p>
    <w:p w:rsidR="00322D7F" w:rsidRPr="003F6FA8" w:rsidRDefault="003F6FA8" w:rsidP="00A170D0">
      <w:pPr>
        <w:ind w:right="-285" w:firstLine="720"/>
        <w:jc w:val="both"/>
        <w:rPr>
          <w:sz w:val="28"/>
          <w:szCs w:val="28"/>
        </w:rPr>
      </w:pPr>
      <w:r w:rsidRPr="003F6FA8">
        <w:rPr>
          <w:sz w:val="28"/>
          <w:szCs w:val="28"/>
        </w:rPr>
        <w:lastRenderedPageBreak/>
        <w:t>Š</w:t>
      </w:r>
      <w:r w:rsidR="00322D7F" w:rsidRPr="003F6FA8">
        <w:rPr>
          <w:sz w:val="28"/>
          <w:szCs w:val="28"/>
        </w:rPr>
        <w:t xml:space="preserve">obrīd </w:t>
      </w:r>
      <w:r w:rsidRPr="003F6FA8">
        <w:rPr>
          <w:sz w:val="28"/>
          <w:szCs w:val="28"/>
        </w:rPr>
        <w:t xml:space="preserve">jau </w:t>
      </w:r>
      <w:r>
        <w:rPr>
          <w:sz w:val="28"/>
          <w:szCs w:val="28"/>
        </w:rPr>
        <w:t xml:space="preserve">gandrīz visas </w:t>
      </w:r>
      <w:r w:rsidRPr="003F6FA8">
        <w:rPr>
          <w:sz w:val="28"/>
          <w:szCs w:val="28"/>
        </w:rPr>
        <w:t>ES dalībvalstis</w:t>
      </w:r>
      <w:r>
        <w:rPr>
          <w:sz w:val="28"/>
          <w:szCs w:val="28"/>
        </w:rPr>
        <w:t>, izņemot Spāniju un Itāliju</w:t>
      </w:r>
      <w:r w:rsidRPr="003F6FA8">
        <w:rPr>
          <w:sz w:val="28"/>
          <w:szCs w:val="28"/>
        </w:rPr>
        <w:t xml:space="preserve"> </w:t>
      </w:r>
      <w:r>
        <w:rPr>
          <w:sz w:val="28"/>
          <w:szCs w:val="28"/>
        </w:rPr>
        <w:t>ir paudušas oficiālu paziņojumu Eiropas Komisijai par vēlmi</w:t>
      </w:r>
      <w:r w:rsidR="00322D7F" w:rsidRPr="003F6FA8">
        <w:rPr>
          <w:sz w:val="28"/>
          <w:szCs w:val="28"/>
        </w:rPr>
        <w:t xml:space="preserve"> iesaistīties ciešākās sadarbības mehānismā.</w:t>
      </w:r>
    </w:p>
    <w:p w:rsidR="00322D7F" w:rsidRPr="00322D7F" w:rsidRDefault="00322D7F" w:rsidP="00A170D0">
      <w:pPr>
        <w:ind w:right="-285" w:firstLine="720"/>
        <w:jc w:val="both"/>
        <w:rPr>
          <w:sz w:val="28"/>
          <w:szCs w:val="28"/>
        </w:rPr>
      </w:pPr>
      <w:r w:rsidRPr="00322D7F">
        <w:rPr>
          <w:sz w:val="28"/>
          <w:szCs w:val="28"/>
        </w:rPr>
        <w:t>Ar lēmumu par ciešāko sadarbību plānots apvienot divus elementus, kas veidos vienotu ES patentu sistēmu:</w:t>
      </w:r>
    </w:p>
    <w:p w:rsidR="00322D7F" w:rsidRPr="00322D7F" w:rsidRDefault="00322D7F" w:rsidP="00A170D0">
      <w:pPr>
        <w:numPr>
          <w:ilvl w:val="0"/>
          <w:numId w:val="2"/>
        </w:numPr>
        <w:ind w:right="-285"/>
        <w:jc w:val="both"/>
        <w:rPr>
          <w:sz w:val="28"/>
          <w:szCs w:val="28"/>
        </w:rPr>
      </w:pPr>
      <w:r w:rsidRPr="00322D7F">
        <w:rPr>
          <w:sz w:val="28"/>
          <w:szCs w:val="28"/>
        </w:rPr>
        <w:t>Regulas projekts par ES patenta izveidi. Vispārējā pieeja apstiprināta</w:t>
      </w:r>
      <w:r w:rsidR="00271DC3">
        <w:rPr>
          <w:sz w:val="28"/>
          <w:szCs w:val="28"/>
        </w:rPr>
        <w:t xml:space="preserve"> Zviedrijas prezidentūras laikā</w:t>
      </w:r>
      <w:r w:rsidRPr="00322D7F">
        <w:rPr>
          <w:sz w:val="28"/>
          <w:szCs w:val="28"/>
        </w:rPr>
        <w:t xml:space="preserve"> ES Konkurētspējas ministru padomes sanāksmē 2009. gada 4. decembrī. </w:t>
      </w:r>
    </w:p>
    <w:p w:rsidR="00322D7F" w:rsidRPr="00322D7F" w:rsidRDefault="00322D7F" w:rsidP="00A170D0">
      <w:pPr>
        <w:numPr>
          <w:ilvl w:val="0"/>
          <w:numId w:val="2"/>
        </w:numPr>
        <w:ind w:right="-285"/>
        <w:jc w:val="both"/>
        <w:rPr>
          <w:sz w:val="28"/>
          <w:szCs w:val="28"/>
        </w:rPr>
      </w:pPr>
      <w:r w:rsidRPr="00322D7F">
        <w:rPr>
          <w:sz w:val="28"/>
          <w:szCs w:val="28"/>
        </w:rPr>
        <w:t>Regulas projekts par ES patenta tulkošanas kārtību.</w:t>
      </w:r>
    </w:p>
    <w:p w:rsidR="00322D7F" w:rsidRPr="00322D7F" w:rsidRDefault="00322D7F" w:rsidP="00A170D0">
      <w:pPr>
        <w:tabs>
          <w:tab w:val="left" w:pos="4820"/>
        </w:tabs>
        <w:ind w:right="-285"/>
        <w:jc w:val="both"/>
        <w:rPr>
          <w:b/>
          <w:sz w:val="28"/>
          <w:szCs w:val="28"/>
        </w:rPr>
      </w:pPr>
    </w:p>
    <w:p w:rsidR="00CA0D1F" w:rsidRPr="001C6159" w:rsidRDefault="00CA0D1F" w:rsidP="00A170D0">
      <w:pPr>
        <w:pStyle w:val="BodyText2"/>
        <w:ind w:right="-285"/>
        <w:jc w:val="both"/>
        <w:rPr>
          <w:b/>
          <w:bCs/>
          <w:sz w:val="28"/>
          <w:szCs w:val="28"/>
          <w:u w:val="single"/>
        </w:rPr>
      </w:pPr>
      <w:r w:rsidRPr="001C6159">
        <w:rPr>
          <w:b/>
          <w:bCs/>
          <w:sz w:val="28"/>
          <w:szCs w:val="28"/>
          <w:u w:val="single"/>
        </w:rPr>
        <w:t>II Latvijas nacionālā pozīcija</w:t>
      </w:r>
    </w:p>
    <w:p w:rsidR="00CA0D1F" w:rsidRPr="001331A6" w:rsidRDefault="00CA0D1F" w:rsidP="00A170D0">
      <w:pPr>
        <w:pStyle w:val="BodyText2"/>
        <w:ind w:right="-285"/>
        <w:jc w:val="both"/>
        <w:rPr>
          <w:b/>
          <w:bCs/>
          <w:sz w:val="26"/>
          <w:szCs w:val="26"/>
          <w:highlight w:val="yellow"/>
          <w:u w:val="single"/>
        </w:rPr>
      </w:pPr>
    </w:p>
    <w:p w:rsidR="001C6159" w:rsidRPr="00874280" w:rsidRDefault="001C6159" w:rsidP="00A170D0">
      <w:pPr>
        <w:pStyle w:val="CommentText"/>
        <w:ind w:right="-285" w:firstLine="720"/>
        <w:jc w:val="both"/>
        <w:rPr>
          <w:sz w:val="28"/>
          <w:szCs w:val="28"/>
          <w:lang w:val="lv-LV"/>
        </w:rPr>
      </w:pPr>
      <w:bookmarkStart w:id="7" w:name="OLE_LINK1"/>
      <w:bookmarkStart w:id="8" w:name="OLE_LINK2"/>
      <w:r w:rsidRPr="00874280">
        <w:rPr>
          <w:sz w:val="28"/>
          <w:szCs w:val="28"/>
          <w:lang w:val="lv-LV"/>
        </w:rPr>
        <w:t>Latvija pozitīvi vērtē vienotas ES patentu sistēmas izstrādi un uzskata, ka patentu sistēmas pilnveidošana ES līmenī ir nepieciešama un nepārprotami veicinās uzņēmumu konkurētspēju. ES patents ievērojami samazinās ES reģistrējamo patentu izmaksas, tādējādi būs pieejams arī maziem un vidējiem uzņēmējiem, kas veicinās mazo un vidējo uzņēmēju investīcijas inovācijās un palīdzēs sasniegt ES</w:t>
      </w:r>
      <w:r w:rsidR="00E04C2C">
        <w:rPr>
          <w:sz w:val="28"/>
          <w:szCs w:val="28"/>
          <w:lang w:val="lv-LV"/>
        </w:rPr>
        <w:t xml:space="preserve"> -</w:t>
      </w:r>
      <w:r w:rsidRPr="00874280">
        <w:rPr>
          <w:sz w:val="28"/>
          <w:szCs w:val="28"/>
          <w:lang w:val="lv-LV"/>
        </w:rPr>
        <w:t xml:space="preserve"> 2020 stratēģijā izvirzītos mērķus, proti,  efektīvās patentu sistēmas izveide. </w:t>
      </w:r>
    </w:p>
    <w:p w:rsidR="001C6159" w:rsidRPr="00874280" w:rsidRDefault="001C6159" w:rsidP="00A170D0">
      <w:pPr>
        <w:ind w:right="-285" w:firstLine="720"/>
        <w:jc w:val="both"/>
        <w:rPr>
          <w:sz w:val="28"/>
          <w:szCs w:val="28"/>
        </w:rPr>
      </w:pPr>
      <w:r w:rsidRPr="00874280">
        <w:rPr>
          <w:sz w:val="28"/>
          <w:szCs w:val="28"/>
        </w:rPr>
        <w:t>Latvija uzskata, ka ir nepieciešams visām ES dalībvalstīm vienoties par kopīgu risinājumu vienotam ES patentam. Tādējādi Latvija viennozīmīgi izvēlētos regulējumu, kas darbotos visās 27 ES dalībvalstīs. Tikai tad, varētu tikt efektīvi un pilnvērtīgi sasniegts sākotnēji izvirzīt</w:t>
      </w:r>
      <w:r w:rsidR="00271DC3">
        <w:rPr>
          <w:sz w:val="28"/>
          <w:szCs w:val="28"/>
        </w:rPr>
        <w:t>ai</w:t>
      </w:r>
      <w:r w:rsidRPr="00874280">
        <w:rPr>
          <w:sz w:val="28"/>
          <w:szCs w:val="28"/>
        </w:rPr>
        <w:t xml:space="preserve">s regulējuma mērķis. Taču ir būtiski virzīties tālāk un ciešākās sadarbības mehānisms varētu būt risinājums, lai turpinātu attīstīt vienotas ES patenta sistēmas izveidi. Līdz ar to Latvija kā kompromisu var atbalstīt šī mehānisma izmantošanu. </w:t>
      </w:r>
    </w:p>
    <w:p w:rsidR="001C6159" w:rsidRPr="00874280" w:rsidRDefault="001C6159" w:rsidP="00A170D0">
      <w:pPr>
        <w:tabs>
          <w:tab w:val="left" w:pos="4820"/>
          <w:tab w:val="left" w:pos="9214"/>
        </w:tabs>
        <w:ind w:right="-285"/>
        <w:jc w:val="both"/>
        <w:rPr>
          <w:sz w:val="28"/>
          <w:szCs w:val="28"/>
        </w:rPr>
      </w:pPr>
      <w:r w:rsidRPr="00874280">
        <w:rPr>
          <w:sz w:val="28"/>
          <w:szCs w:val="28"/>
        </w:rPr>
        <w:t xml:space="preserve">          Latvija uzskata, ka ir būtiski iesaistīties ciešākajā sadarbībā jau sākuma stadijā, tādējādi</w:t>
      </w:r>
      <w:r w:rsidR="00A170D0">
        <w:rPr>
          <w:sz w:val="28"/>
          <w:szCs w:val="28"/>
        </w:rPr>
        <w:t>,</w:t>
      </w:r>
      <w:r w:rsidRPr="00874280">
        <w:rPr>
          <w:sz w:val="28"/>
          <w:szCs w:val="28"/>
        </w:rPr>
        <w:t xml:space="preserve"> ietekmējot ES patentu sistēmas izveidi, panākot Latvijas ekonomikas attīstībai labvēlīgāku regulējumu. </w:t>
      </w:r>
    </w:p>
    <w:p w:rsidR="001C6159" w:rsidRPr="00874280" w:rsidRDefault="001C6159" w:rsidP="00A170D0">
      <w:pPr>
        <w:tabs>
          <w:tab w:val="left" w:pos="4820"/>
          <w:tab w:val="left" w:pos="9214"/>
        </w:tabs>
        <w:ind w:right="-285"/>
        <w:jc w:val="both"/>
        <w:rPr>
          <w:sz w:val="28"/>
          <w:szCs w:val="28"/>
        </w:rPr>
      </w:pPr>
      <w:r w:rsidRPr="00874280">
        <w:rPr>
          <w:sz w:val="28"/>
          <w:szCs w:val="28"/>
        </w:rPr>
        <w:t xml:space="preserve">     </w:t>
      </w:r>
      <w:r w:rsidR="00271DC3">
        <w:rPr>
          <w:sz w:val="28"/>
          <w:szCs w:val="28"/>
        </w:rPr>
        <w:t xml:space="preserve">     Latvija uzskata, ka ciešāka</w:t>
      </w:r>
      <w:r w:rsidRPr="00874280">
        <w:rPr>
          <w:sz w:val="28"/>
          <w:szCs w:val="28"/>
        </w:rPr>
        <w:t xml:space="preserve">s sadarbības risinājums būs veiksmīgs tikai tad, ja par to spēs vienoties </w:t>
      </w:r>
      <w:r w:rsidR="00271DC3">
        <w:rPr>
          <w:sz w:val="28"/>
          <w:szCs w:val="28"/>
        </w:rPr>
        <w:t xml:space="preserve">pēc iespējas lielāks </w:t>
      </w:r>
      <w:r w:rsidRPr="00874280">
        <w:rPr>
          <w:sz w:val="28"/>
          <w:szCs w:val="28"/>
        </w:rPr>
        <w:t>dalībvalstu</w:t>
      </w:r>
      <w:r w:rsidR="00271DC3">
        <w:rPr>
          <w:sz w:val="28"/>
          <w:szCs w:val="28"/>
        </w:rPr>
        <w:t xml:space="preserve"> sskaits</w:t>
      </w:r>
      <w:r w:rsidRPr="00874280">
        <w:rPr>
          <w:sz w:val="28"/>
          <w:szCs w:val="28"/>
        </w:rPr>
        <w:t xml:space="preserve">. Latvija uzsver, ka par pamatu ES patenta sistēmas elementu izstrādē ir jāizmanto: </w:t>
      </w:r>
    </w:p>
    <w:p w:rsidR="001C6159" w:rsidRPr="00874280" w:rsidRDefault="001C6159" w:rsidP="00A170D0">
      <w:pPr>
        <w:pStyle w:val="ListParagraph"/>
        <w:numPr>
          <w:ilvl w:val="0"/>
          <w:numId w:val="1"/>
        </w:numPr>
        <w:tabs>
          <w:tab w:val="left" w:pos="4820"/>
          <w:tab w:val="left" w:pos="9214"/>
        </w:tabs>
        <w:ind w:right="-285"/>
        <w:jc w:val="both"/>
        <w:rPr>
          <w:sz w:val="28"/>
          <w:szCs w:val="28"/>
        </w:rPr>
      </w:pPr>
      <w:r w:rsidRPr="00874280">
        <w:rPr>
          <w:sz w:val="28"/>
          <w:szCs w:val="28"/>
        </w:rPr>
        <w:t>Regulas projekts par ES patentu tādā redakcijā, par ko tika panākta vienošanās Padomē 2009.</w:t>
      </w:r>
      <w:r w:rsidR="00755096">
        <w:rPr>
          <w:sz w:val="28"/>
          <w:szCs w:val="28"/>
        </w:rPr>
        <w:t> </w:t>
      </w:r>
      <w:r w:rsidRPr="00874280">
        <w:rPr>
          <w:sz w:val="28"/>
          <w:szCs w:val="28"/>
        </w:rPr>
        <w:t xml:space="preserve">gada decembrī; </w:t>
      </w:r>
    </w:p>
    <w:p w:rsidR="001C6159" w:rsidRPr="00874280" w:rsidRDefault="001C6159" w:rsidP="00A170D0">
      <w:pPr>
        <w:pStyle w:val="ListParagraph"/>
        <w:numPr>
          <w:ilvl w:val="0"/>
          <w:numId w:val="1"/>
        </w:numPr>
        <w:tabs>
          <w:tab w:val="left" w:pos="4820"/>
          <w:tab w:val="left" w:pos="9214"/>
        </w:tabs>
        <w:ind w:right="-285"/>
        <w:jc w:val="both"/>
        <w:rPr>
          <w:sz w:val="28"/>
          <w:szCs w:val="28"/>
        </w:rPr>
      </w:pPr>
      <w:r w:rsidRPr="00874280">
        <w:rPr>
          <w:sz w:val="28"/>
          <w:szCs w:val="28"/>
        </w:rPr>
        <w:t>Regulas projekts par ES patenta tulkošanas kārtību ar Beļģijas prezidentūras izvirzītajiem priekšlikumiem uz 2010.</w:t>
      </w:r>
      <w:r w:rsidR="005D0E37">
        <w:rPr>
          <w:sz w:val="28"/>
          <w:szCs w:val="28"/>
        </w:rPr>
        <w:t> </w:t>
      </w:r>
      <w:r w:rsidRPr="00874280">
        <w:rPr>
          <w:sz w:val="28"/>
          <w:szCs w:val="28"/>
        </w:rPr>
        <w:t xml:space="preserve">gada beigām.  </w:t>
      </w:r>
    </w:p>
    <w:bookmarkEnd w:id="7"/>
    <w:bookmarkEnd w:id="8"/>
    <w:p w:rsidR="001331A6" w:rsidRDefault="001331A6" w:rsidP="00A170D0">
      <w:pPr>
        <w:ind w:right="-285"/>
        <w:jc w:val="both"/>
        <w:rPr>
          <w:sz w:val="26"/>
          <w:szCs w:val="26"/>
        </w:rPr>
      </w:pPr>
    </w:p>
    <w:p w:rsidR="00CA0D1F" w:rsidRPr="00C60295" w:rsidRDefault="00CA0D1F" w:rsidP="00A170D0">
      <w:pPr>
        <w:ind w:right="-285"/>
        <w:jc w:val="both"/>
        <w:rPr>
          <w:sz w:val="28"/>
          <w:szCs w:val="28"/>
        </w:rPr>
      </w:pPr>
      <w:r>
        <w:rPr>
          <w:sz w:val="28"/>
          <w:szCs w:val="28"/>
        </w:rPr>
        <w:t>t</w:t>
      </w:r>
      <w:r w:rsidRPr="00D61595">
        <w:rPr>
          <w:sz w:val="28"/>
          <w:szCs w:val="28"/>
        </w:rPr>
        <w:t>ieslietu ministrs</w:t>
      </w:r>
      <w:r w:rsidRPr="00D61595">
        <w:rPr>
          <w:sz w:val="28"/>
          <w:szCs w:val="28"/>
        </w:rPr>
        <w:tab/>
      </w:r>
      <w:r w:rsidRPr="00D61595">
        <w:rPr>
          <w:sz w:val="28"/>
          <w:szCs w:val="28"/>
        </w:rPr>
        <w:tab/>
      </w:r>
      <w:r w:rsidRPr="00D61595">
        <w:rPr>
          <w:sz w:val="28"/>
          <w:szCs w:val="28"/>
        </w:rPr>
        <w:tab/>
      </w:r>
      <w:r w:rsidRPr="00D61595">
        <w:rPr>
          <w:sz w:val="28"/>
          <w:szCs w:val="28"/>
        </w:rPr>
        <w:tab/>
      </w:r>
      <w:r w:rsidRPr="00D61595">
        <w:rPr>
          <w:sz w:val="28"/>
          <w:szCs w:val="28"/>
        </w:rPr>
        <w:tab/>
      </w:r>
      <w:r w:rsidRPr="00D61595">
        <w:rPr>
          <w:sz w:val="28"/>
          <w:szCs w:val="28"/>
        </w:rPr>
        <w:tab/>
      </w:r>
      <w:r w:rsidRPr="00D61595">
        <w:rPr>
          <w:sz w:val="28"/>
          <w:szCs w:val="28"/>
        </w:rPr>
        <w:tab/>
        <w:t xml:space="preserve">        A. Štokenbergs</w:t>
      </w:r>
    </w:p>
    <w:p w:rsidR="00CA0D1F" w:rsidRDefault="00CA0D1F" w:rsidP="00A170D0">
      <w:pPr>
        <w:ind w:right="-285"/>
        <w:rPr>
          <w:sz w:val="20"/>
          <w:szCs w:val="20"/>
        </w:rPr>
      </w:pPr>
    </w:p>
    <w:p w:rsidR="00A170D0" w:rsidRPr="004920F2" w:rsidRDefault="00271DC3" w:rsidP="00A170D0">
      <w:pPr>
        <w:ind w:right="-285"/>
        <w:rPr>
          <w:sz w:val="20"/>
          <w:szCs w:val="20"/>
        </w:rPr>
      </w:pPr>
      <w:r>
        <w:rPr>
          <w:sz w:val="20"/>
          <w:szCs w:val="20"/>
        </w:rPr>
        <w:t>07.02.2011. 15:48</w:t>
      </w:r>
    </w:p>
    <w:p w:rsidR="00A170D0" w:rsidRPr="004920F2" w:rsidRDefault="00271DC3" w:rsidP="00A170D0">
      <w:pPr>
        <w:ind w:right="-285"/>
        <w:rPr>
          <w:sz w:val="20"/>
          <w:szCs w:val="20"/>
        </w:rPr>
      </w:pPr>
      <w:r>
        <w:rPr>
          <w:sz w:val="20"/>
          <w:szCs w:val="20"/>
        </w:rPr>
        <w:t>654</w:t>
      </w:r>
    </w:p>
    <w:p w:rsidR="00A170D0" w:rsidRPr="004920F2" w:rsidRDefault="00A170D0" w:rsidP="00A170D0">
      <w:pPr>
        <w:ind w:right="-285"/>
        <w:rPr>
          <w:sz w:val="20"/>
          <w:szCs w:val="20"/>
        </w:rPr>
      </w:pPr>
      <w:r>
        <w:rPr>
          <w:sz w:val="20"/>
          <w:szCs w:val="20"/>
        </w:rPr>
        <w:t>T. Krūmiņa</w:t>
      </w:r>
    </w:p>
    <w:p w:rsidR="00A170D0" w:rsidRPr="00D32752" w:rsidRDefault="00A170D0" w:rsidP="00A170D0">
      <w:pPr>
        <w:ind w:right="-285"/>
        <w:rPr>
          <w:sz w:val="20"/>
          <w:szCs w:val="20"/>
        </w:rPr>
      </w:pPr>
      <w:r>
        <w:rPr>
          <w:sz w:val="20"/>
          <w:szCs w:val="20"/>
        </w:rPr>
        <w:t>67046131, Tatjana.Krumina</w:t>
      </w:r>
      <w:r w:rsidRPr="004920F2">
        <w:rPr>
          <w:sz w:val="20"/>
          <w:szCs w:val="20"/>
        </w:rPr>
        <w:t>@tm.gov.lv</w:t>
      </w:r>
    </w:p>
    <w:p w:rsidR="00CA0D1F" w:rsidRDefault="00CA0D1F" w:rsidP="00A170D0">
      <w:pPr>
        <w:ind w:right="-285"/>
        <w:rPr>
          <w:sz w:val="20"/>
          <w:szCs w:val="20"/>
        </w:rPr>
      </w:pPr>
    </w:p>
    <w:p w:rsidR="00195009" w:rsidRDefault="00195009" w:rsidP="00A170D0">
      <w:pPr>
        <w:ind w:right="-285"/>
        <w:rPr>
          <w:sz w:val="20"/>
          <w:szCs w:val="20"/>
        </w:rPr>
      </w:pPr>
    </w:p>
    <w:p w:rsidR="00F73F8E" w:rsidRDefault="00F73F8E" w:rsidP="00A170D0">
      <w:pPr>
        <w:ind w:right="-285"/>
      </w:pPr>
    </w:p>
    <w:p w:rsidR="00F73F8E" w:rsidRPr="00F73F8E" w:rsidRDefault="00F73F8E" w:rsidP="00A170D0">
      <w:pPr>
        <w:ind w:right="-285"/>
      </w:pPr>
    </w:p>
    <w:sectPr w:rsidR="00F73F8E" w:rsidRPr="00F73F8E" w:rsidSect="00A170D0">
      <w:headerReference w:type="even" r:id="rId7"/>
      <w:headerReference w:type="default" r:id="rId8"/>
      <w:footerReference w:type="default" r:id="rId9"/>
      <w:footerReference w:type="first" r:id="rId10"/>
      <w:pgSz w:w="11906" w:h="16838"/>
      <w:pgMar w:top="1134" w:right="1418" w:bottom="1134" w:left="1701" w:header="709" w:footer="2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0B" w:rsidRDefault="00AB370B" w:rsidP="00D41DE0">
      <w:r>
        <w:separator/>
      </w:r>
    </w:p>
  </w:endnote>
  <w:endnote w:type="continuationSeparator" w:id="0">
    <w:p w:rsidR="00AB370B" w:rsidRDefault="00AB370B" w:rsidP="00D41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42" w:rsidRPr="001B0FF3" w:rsidRDefault="009D4D42" w:rsidP="00F73F8E">
    <w:pPr>
      <w:pStyle w:val="naiskr"/>
      <w:tabs>
        <w:tab w:val="left" w:pos="4820"/>
      </w:tabs>
      <w:spacing w:before="0" w:beforeAutospacing="0" w:after="0" w:afterAutospacing="0"/>
      <w:jc w:val="both"/>
      <w:rPr>
        <w:sz w:val="20"/>
        <w:szCs w:val="20"/>
      </w:rPr>
    </w:pPr>
    <w:r>
      <w:rPr>
        <w:sz w:val="20"/>
        <w:szCs w:val="20"/>
      </w:rPr>
      <w:t>TMzin_070211</w:t>
    </w:r>
    <w:r w:rsidRPr="006D60A9">
      <w:rPr>
        <w:sz w:val="20"/>
        <w:szCs w:val="20"/>
      </w:rPr>
      <w:t>_</w:t>
    </w:r>
    <w:r>
      <w:rPr>
        <w:sz w:val="20"/>
        <w:szCs w:val="20"/>
      </w:rPr>
      <w:t>CiesSadarb</w:t>
    </w:r>
    <w:r w:rsidRPr="006D60A9">
      <w:rPr>
        <w:sz w:val="20"/>
        <w:szCs w:val="20"/>
      </w:rPr>
      <w:t xml:space="preserve">; </w:t>
    </w:r>
    <w:r w:rsidRPr="001B0FF3">
      <w:rPr>
        <w:sz w:val="20"/>
        <w:szCs w:val="20"/>
      </w:rPr>
      <w:t xml:space="preserve">Par Latvijas nacionālo pozīciju Nr. 1 un informatīvo ziņojumu par Padomes lēmumu </w:t>
    </w:r>
    <w:r w:rsidR="00271DC3">
      <w:rPr>
        <w:sz w:val="20"/>
        <w:szCs w:val="20"/>
      </w:rPr>
      <w:t>par ciešāka</w:t>
    </w:r>
    <w:r w:rsidRPr="001B0FF3">
      <w:rPr>
        <w:sz w:val="20"/>
        <w:szCs w:val="20"/>
      </w:rPr>
      <w:t>s sadarbības mehānisma izveidošanu ar mērķi izveidot vienotu ES patenta sistēmu</w:t>
    </w:r>
  </w:p>
  <w:p w:rsidR="009D4D42" w:rsidRPr="00F73F8E" w:rsidRDefault="009D4D42" w:rsidP="00F73F8E">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42" w:rsidRPr="001B0FF3" w:rsidRDefault="009D4D42" w:rsidP="00F73F8E">
    <w:pPr>
      <w:pStyle w:val="naiskr"/>
      <w:tabs>
        <w:tab w:val="left" w:pos="4820"/>
      </w:tabs>
      <w:spacing w:before="0" w:beforeAutospacing="0" w:after="0" w:afterAutospacing="0"/>
      <w:jc w:val="both"/>
      <w:rPr>
        <w:sz w:val="20"/>
        <w:szCs w:val="20"/>
      </w:rPr>
    </w:pPr>
    <w:r>
      <w:rPr>
        <w:sz w:val="20"/>
        <w:szCs w:val="20"/>
      </w:rPr>
      <w:t>TMzin_070211</w:t>
    </w:r>
    <w:r w:rsidRPr="006D60A9">
      <w:rPr>
        <w:sz w:val="20"/>
        <w:szCs w:val="20"/>
      </w:rPr>
      <w:t>_</w:t>
    </w:r>
    <w:r>
      <w:rPr>
        <w:sz w:val="20"/>
        <w:szCs w:val="20"/>
      </w:rPr>
      <w:t>CiesSadarb</w:t>
    </w:r>
    <w:r w:rsidRPr="006D60A9">
      <w:rPr>
        <w:sz w:val="20"/>
        <w:szCs w:val="20"/>
      </w:rPr>
      <w:t xml:space="preserve">; </w:t>
    </w:r>
    <w:r w:rsidRPr="001B0FF3">
      <w:rPr>
        <w:sz w:val="20"/>
        <w:szCs w:val="20"/>
      </w:rPr>
      <w:t>Par Latvijas nacionālo pozīciju Nr. 1 un informatīvo ziņojum</w:t>
    </w:r>
    <w:r w:rsidR="00271DC3">
      <w:rPr>
        <w:sz w:val="20"/>
        <w:szCs w:val="20"/>
      </w:rPr>
      <w:t>u par Padomes lēmumu par ciešāka</w:t>
    </w:r>
    <w:r w:rsidRPr="001B0FF3">
      <w:rPr>
        <w:sz w:val="20"/>
        <w:szCs w:val="20"/>
      </w:rPr>
      <w:t>s sadarbības mehānisma izveidošanu ar mērķi izveidot vienotu ES patenta sistēmu</w:t>
    </w:r>
  </w:p>
  <w:p w:rsidR="009D4D42" w:rsidRPr="00833B21" w:rsidRDefault="009D4D42" w:rsidP="009D4D42">
    <w:pPr>
      <w:pStyle w:val="naiskr"/>
      <w:spacing w:before="0" w:beforeAutospacing="0" w:after="0" w:afterAutospacing="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0B" w:rsidRDefault="00AB370B" w:rsidP="00D41DE0">
      <w:r>
        <w:separator/>
      </w:r>
    </w:p>
  </w:footnote>
  <w:footnote w:type="continuationSeparator" w:id="0">
    <w:p w:rsidR="00AB370B" w:rsidRDefault="00AB370B" w:rsidP="00D41DE0">
      <w:r>
        <w:continuationSeparator/>
      </w:r>
    </w:p>
  </w:footnote>
  <w:footnote w:id="1">
    <w:p w:rsidR="009D4D42" w:rsidRDefault="009D4D42" w:rsidP="00322D7F">
      <w:pPr>
        <w:pStyle w:val="FootnoteText"/>
        <w:jc w:val="both"/>
      </w:pPr>
      <w:r w:rsidRPr="00101F59">
        <w:rPr>
          <w:vertAlign w:val="superscript"/>
        </w:rPr>
        <w:t>[</w:t>
      </w:r>
      <w:r w:rsidRPr="00101F59">
        <w:rPr>
          <w:rStyle w:val="FootnoteReference"/>
        </w:rPr>
        <w:footnoteRef/>
      </w:r>
      <w:r w:rsidRPr="00101F59">
        <w:rPr>
          <w:vertAlign w:val="superscript"/>
        </w:rPr>
        <w:t>]</w:t>
      </w:r>
      <w:r w:rsidRPr="00101F59">
        <w:t>Dānija, Igaunija, Somija, Francija, Vācija, Lietuva, Luksemburga, Nīderlande, Polija, Slov</w:t>
      </w:r>
      <w:r>
        <w:t xml:space="preserve">ēnija, Zviedrija un </w:t>
      </w:r>
      <w:r w:rsidRPr="00101F59">
        <w:t>Apvienotā Karaliste</w:t>
      </w:r>
    </w:p>
    <w:p w:rsidR="009D4D42" w:rsidRDefault="009D4D42" w:rsidP="00322D7F">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42" w:rsidRDefault="007C3C77" w:rsidP="009D4D42">
    <w:pPr>
      <w:pStyle w:val="Header"/>
      <w:framePr w:wrap="around" w:vAnchor="text" w:hAnchor="margin" w:xAlign="center" w:y="1"/>
      <w:rPr>
        <w:rStyle w:val="PageNumber"/>
      </w:rPr>
    </w:pPr>
    <w:r>
      <w:rPr>
        <w:rStyle w:val="PageNumber"/>
      </w:rPr>
      <w:fldChar w:fldCharType="begin"/>
    </w:r>
    <w:r w:rsidR="009D4D42">
      <w:rPr>
        <w:rStyle w:val="PageNumber"/>
      </w:rPr>
      <w:instrText xml:space="preserve">PAGE  </w:instrText>
    </w:r>
    <w:r>
      <w:rPr>
        <w:rStyle w:val="PageNumber"/>
      </w:rPr>
      <w:fldChar w:fldCharType="end"/>
    </w:r>
  </w:p>
  <w:p w:rsidR="009D4D42" w:rsidRDefault="009D4D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42" w:rsidRDefault="007C3C77" w:rsidP="009D4D42">
    <w:pPr>
      <w:pStyle w:val="Header"/>
      <w:framePr w:wrap="around" w:vAnchor="text" w:hAnchor="margin" w:xAlign="center" w:y="1"/>
      <w:rPr>
        <w:rStyle w:val="PageNumber"/>
      </w:rPr>
    </w:pPr>
    <w:r>
      <w:rPr>
        <w:rStyle w:val="PageNumber"/>
      </w:rPr>
      <w:fldChar w:fldCharType="begin"/>
    </w:r>
    <w:r w:rsidR="009D4D42">
      <w:rPr>
        <w:rStyle w:val="PageNumber"/>
      </w:rPr>
      <w:instrText xml:space="preserve">PAGE  </w:instrText>
    </w:r>
    <w:r>
      <w:rPr>
        <w:rStyle w:val="PageNumber"/>
      </w:rPr>
      <w:fldChar w:fldCharType="separate"/>
    </w:r>
    <w:r w:rsidR="009A2B32">
      <w:rPr>
        <w:rStyle w:val="PageNumber"/>
        <w:noProof/>
      </w:rPr>
      <w:t>2</w:t>
    </w:r>
    <w:r>
      <w:rPr>
        <w:rStyle w:val="PageNumber"/>
      </w:rPr>
      <w:fldChar w:fldCharType="end"/>
    </w:r>
  </w:p>
  <w:p w:rsidR="009D4D42" w:rsidRDefault="009D4D4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1D6"/>
    <w:multiLevelType w:val="hybridMultilevel"/>
    <w:tmpl w:val="48E26E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9FE237B"/>
    <w:multiLevelType w:val="hybridMultilevel"/>
    <w:tmpl w:val="57A85230"/>
    <w:lvl w:ilvl="0" w:tplc="A364ACA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F8E09D0"/>
    <w:multiLevelType w:val="hybridMultilevel"/>
    <w:tmpl w:val="11A66E28"/>
    <w:lvl w:ilvl="0" w:tplc="80CA5DC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0D1F"/>
    <w:rsid w:val="00020484"/>
    <w:rsid w:val="001331A6"/>
    <w:rsid w:val="00150D8D"/>
    <w:rsid w:val="00157721"/>
    <w:rsid w:val="00195009"/>
    <w:rsid w:val="001C6159"/>
    <w:rsid w:val="001D2CD3"/>
    <w:rsid w:val="001F41A0"/>
    <w:rsid w:val="002409ED"/>
    <w:rsid w:val="002478DD"/>
    <w:rsid w:val="00271DC3"/>
    <w:rsid w:val="002F0DDB"/>
    <w:rsid w:val="00322D7F"/>
    <w:rsid w:val="003B75E4"/>
    <w:rsid w:val="003D406F"/>
    <w:rsid w:val="003F4721"/>
    <w:rsid w:val="003F6FA8"/>
    <w:rsid w:val="004B2B84"/>
    <w:rsid w:val="004F098E"/>
    <w:rsid w:val="005A575D"/>
    <w:rsid w:val="005D0E37"/>
    <w:rsid w:val="006366D0"/>
    <w:rsid w:val="0065532A"/>
    <w:rsid w:val="00667E8F"/>
    <w:rsid w:val="0068315D"/>
    <w:rsid w:val="00710014"/>
    <w:rsid w:val="00726655"/>
    <w:rsid w:val="00755096"/>
    <w:rsid w:val="007C3C77"/>
    <w:rsid w:val="007E3010"/>
    <w:rsid w:val="00874280"/>
    <w:rsid w:val="008A214F"/>
    <w:rsid w:val="008D32FC"/>
    <w:rsid w:val="00942242"/>
    <w:rsid w:val="009A2B32"/>
    <w:rsid w:val="009D344E"/>
    <w:rsid w:val="009D4D42"/>
    <w:rsid w:val="00A111B1"/>
    <w:rsid w:val="00A170D0"/>
    <w:rsid w:val="00A55D34"/>
    <w:rsid w:val="00A9031A"/>
    <w:rsid w:val="00AB370B"/>
    <w:rsid w:val="00AD372F"/>
    <w:rsid w:val="00B01C10"/>
    <w:rsid w:val="00B148C4"/>
    <w:rsid w:val="00B53E9C"/>
    <w:rsid w:val="00C1491D"/>
    <w:rsid w:val="00C55775"/>
    <w:rsid w:val="00CA0D1F"/>
    <w:rsid w:val="00D12474"/>
    <w:rsid w:val="00D41DE0"/>
    <w:rsid w:val="00E04C2C"/>
    <w:rsid w:val="00E918B6"/>
    <w:rsid w:val="00E9653B"/>
    <w:rsid w:val="00EA0599"/>
    <w:rsid w:val="00F73F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1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CA0D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0D1F"/>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rsid w:val="00CA0D1F"/>
    <w:pPr>
      <w:tabs>
        <w:tab w:val="center" w:pos="4153"/>
        <w:tab w:val="right" w:pos="8306"/>
      </w:tabs>
    </w:pPr>
  </w:style>
  <w:style w:type="character" w:customStyle="1" w:styleId="HeaderChar">
    <w:name w:val="Header Char"/>
    <w:basedOn w:val="DefaultParagraphFont"/>
    <w:link w:val="Header"/>
    <w:rsid w:val="00CA0D1F"/>
    <w:rPr>
      <w:rFonts w:ascii="Times New Roman" w:eastAsia="Times New Roman" w:hAnsi="Times New Roman" w:cs="Times New Roman"/>
      <w:sz w:val="24"/>
      <w:szCs w:val="24"/>
    </w:rPr>
  </w:style>
  <w:style w:type="character" w:styleId="PageNumber">
    <w:name w:val="page number"/>
    <w:basedOn w:val="DefaultParagraphFont"/>
    <w:rsid w:val="00CA0D1F"/>
    <w:rPr>
      <w:rFonts w:cs="Times New Roman"/>
    </w:rPr>
  </w:style>
  <w:style w:type="paragraph" w:styleId="ListParagraph">
    <w:name w:val="List Paragraph"/>
    <w:basedOn w:val="Normal"/>
    <w:uiPriority w:val="34"/>
    <w:qFormat/>
    <w:rsid w:val="00CA0D1F"/>
    <w:pPr>
      <w:ind w:left="720"/>
      <w:contextualSpacing/>
    </w:pPr>
  </w:style>
  <w:style w:type="paragraph" w:customStyle="1" w:styleId="Point">
    <w:name w:val="Point"/>
    <w:aliases w:val="0"/>
    <w:basedOn w:val="Normal"/>
    <w:rsid w:val="00CA0D1F"/>
    <w:pPr>
      <w:spacing w:before="120" w:after="120"/>
      <w:ind w:left="851" w:hanging="851"/>
      <w:jc w:val="both"/>
    </w:pPr>
    <w:rPr>
      <w:lang w:val="en-GB" w:eastAsia="fr-BE"/>
    </w:rPr>
  </w:style>
  <w:style w:type="paragraph" w:customStyle="1" w:styleId="naiskr">
    <w:name w:val="naiskr"/>
    <w:basedOn w:val="Normal"/>
    <w:uiPriority w:val="99"/>
    <w:rsid w:val="00CA0D1F"/>
    <w:pPr>
      <w:spacing w:before="100" w:beforeAutospacing="1" w:after="100" w:afterAutospacing="1"/>
    </w:pPr>
  </w:style>
  <w:style w:type="paragraph" w:styleId="BodyText2">
    <w:name w:val="Body Text 2"/>
    <w:basedOn w:val="Normal"/>
    <w:link w:val="BodyText2Char"/>
    <w:rsid w:val="00CA0D1F"/>
    <w:pPr>
      <w:jc w:val="center"/>
    </w:pPr>
    <w:rPr>
      <w:sz w:val="32"/>
      <w:szCs w:val="32"/>
    </w:rPr>
  </w:style>
  <w:style w:type="character" w:customStyle="1" w:styleId="BodyText2Char">
    <w:name w:val="Body Text 2 Char"/>
    <w:basedOn w:val="DefaultParagraphFont"/>
    <w:link w:val="BodyText2"/>
    <w:rsid w:val="00CA0D1F"/>
    <w:rPr>
      <w:rFonts w:ascii="Times New Roman" w:eastAsia="Times New Roman" w:hAnsi="Times New Roman" w:cs="Times New Roman"/>
      <w:sz w:val="32"/>
      <w:szCs w:val="32"/>
    </w:rPr>
  </w:style>
  <w:style w:type="paragraph" w:styleId="Footer">
    <w:name w:val="footer"/>
    <w:basedOn w:val="Normal"/>
    <w:link w:val="FooterChar"/>
    <w:uiPriority w:val="99"/>
    <w:semiHidden/>
    <w:unhideWhenUsed/>
    <w:rsid w:val="00D41DE0"/>
    <w:pPr>
      <w:tabs>
        <w:tab w:val="center" w:pos="4153"/>
        <w:tab w:val="right" w:pos="8306"/>
      </w:tabs>
    </w:pPr>
  </w:style>
  <w:style w:type="character" w:customStyle="1" w:styleId="FooterChar">
    <w:name w:val="Footer Char"/>
    <w:basedOn w:val="DefaultParagraphFont"/>
    <w:link w:val="Footer"/>
    <w:uiPriority w:val="99"/>
    <w:semiHidden/>
    <w:rsid w:val="00D41DE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322D7F"/>
    <w:rPr>
      <w:rFonts w:cs="Times New Roman"/>
      <w:vertAlign w:val="superscript"/>
    </w:rPr>
  </w:style>
  <w:style w:type="paragraph" w:styleId="FootnoteText">
    <w:name w:val="footnote text"/>
    <w:basedOn w:val="Normal"/>
    <w:link w:val="FootnoteTextChar"/>
    <w:uiPriority w:val="99"/>
    <w:semiHidden/>
    <w:rsid w:val="00322D7F"/>
    <w:rPr>
      <w:sz w:val="20"/>
      <w:szCs w:val="20"/>
      <w:lang w:eastAsia="lv-LV"/>
    </w:rPr>
  </w:style>
  <w:style w:type="character" w:customStyle="1" w:styleId="FootnoteTextChar">
    <w:name w:val="Footnote Text Char"/>
    <w:basedOn w:val="DefaultParagraphFont"/>
    <w:link w:val="FootnoteText"/>
    <w:uiPriority w:val="99"/>
    <w:semiHidden/>
    <w:rsid w:val="00322D7F"/>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rsid w:val="001C6159"/>
    <w:rPr>
      <w:sz w:val="20"/>
      <w:szCs w:val="20"/>
      <w:lang w:val="en-GB"/>
    </w:rPr>
  </w:style>
  <w:style w:type="character" w:customStyle="1" w:styleId="CommentTextChar">
    <w:name w:val="Comment Text Char"/>
    <w:basedOn w:val="DefaultParagraphFont"/>
    <w:link w:val="CommentText"/>
    <w:uiPriority w:val="99"/>
    <w:semiHidden/>
    <w:rsid w:val="001C6159"/>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3122</Words>
  <Characters>1781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Latvijas nacionālo pozīciju par Padomes lēmumu par ciešākās sadarbības mehānisma izveidošanu ar mērķi izveidot vienotu ES patenta sistēmu</dc:subject>
  <dc:creator>Tatjana Krūmiņa</dc:creator>
  <cp:keywords/>
  <dc:description>tatjana.krumina@inbox.lv
tālr. 67046131</dc:description>
  <cp:lastModifiedBy>tk1601</cp:lastModifiedBy>
  <cp:revision>3</cp:revision>
  <dcterms:created xsi:type="dcterms:W3CDTF">2011-02-07T14:58:00Z</dcterms:created>
  <dcterms:modified xsi:type="dcterms:W3CDTF">2011-02-07T15:04:00Z</dcterms:modified>
  <cp:contentStatus>Projekts</cp:contentStatus>
</cp:coreProperties>
</file>