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DB" w:rsidRPr="00EF59C6" w:rsidRDefault="001C09DB" w:rsidP="001C09DB">
      <w:pPr>
        <w:pStyle w:val="Nosaukums"/>
        <w:outlineLvl w:val="0"/>
      </w:pPr>
      <w:bookmarkStart w:id="0" w:name="OLE_LINK7"/>
      <w:bookmarkStart w:id="1" w:name="OLE_LINK8"/>
      <w:bookmarkStart w:id="2" w:name="OLE_LINK9"/>
      <w:bookmarkStart w:id="3" w:name="OLE_LINK10"/>
      <w:r w:rsidRPr="00EF59C6">
        <w:t>Informatīvais ziņojums</w:t>
      </w:r>
    </w:p>
    <w:p w:rsidR="001C09DB" w:rsidRPr="00EF59C6" w:rsidRDefault="001C09DB" w:rsidP="001C09DB">
      <w:pPr>
        <w:jc w:val="center"/>
        <w:rPr>
          <w:b/>
          <w:bCs/>
        </w:rPr>
      </w:pPr>
      <w:bookmarkStart w:id="4" w:name="OLE_LINK5"/>
      <w:bookmarkStart w:id="5" w:name="OLE_LINK6"/>
      <w:bookmarkStart w:id="6" w:name="OLE_LINK1"/>
      <w:bookmarkEnd w:id="0"/>
      <w:bookmarkEnd w:id="1"/>
      <w:r w:rsidRPr="00EF59C6">
        <w:rPr>
          <w:b/>
          <w:bCs/>
        </w:rPr>
        <w:t xml:space="preserve">par </w:t>
      </w:r>
      <w:r w:rsidRPr="00EF59C6">
        <w:rPr>
          <w:b/>
        </w:rPr>
        <w:t xml:space="preserve">Tieslietu un iekšlietu ministru padomes </w:t>
      </w:r>
      <w:r w:rsidRPr="00EF59C6">
        <w:rPr>
          <w:b/>
          <w:bCs/>
        </w:rPr>
        <w:t xml:space="preserve">2011. gada </w:t>
      </w:r>
      <w:r>
        <w:rPr>
          <w:b/>
          <w:bCs/>
        </w:rPr>
        <w:t>13</w:t>
      </w:r>
      <w:r w:rsidRPr="00EF59C6">
        <w:rPr>
          <w:b/>
          <w:bCs/>
        </w:rPr>
        <w:t>.-</w:t>
      </w:r>
      <w:r>
        <w:rPr>
          <w:b/>
          <w:bCs/>
        </w:rPr>
        <w:t>14</w:t>
      </w:r>
      <w:r w:rsidRPr="00EF59C6">
        <w:rPr>
          <w:b/>
          <w:bCs/>
        </w:rPr>
        <w:t>. </w:t>
      </w:r>
      <w:r>
        <w:rPr>
          <w:b/>
          <w:bCs/>
        </w:rPr>
        <w:t>decembra</w:t>
      </w:r>
      <w:r w:rsidRPr="00EF59C6">
        <w:rPr>
          <w:b/>
          <w:bCs/>
        </w:rPr>
        <w:t xml:space="preserve"> </w:t>
      </w:r>
      <w:r w:rsidRPr="00EF59C6">
        <w:rPr>
          <w:b/>
        </w:rPr>
        <w:t>sanāksm</w:t>
      </w:r>
      <w:r w:rsidRPr="00EF59C6">
        <w:rPr>
          <w:b/>
          <w:bCs/>
        </w:rPr>
        <w:t xml:space="preserve">ē izskatāmajiem jautājumiem </w:t>
      </w:r>
    </w:p>
    <w:bookmarkEnd w:id="2"/>
    <w:bookmarkEnd w:id="3"/>
    <w:bookmarkEnd w:id="4"/>
    <w:bookmarkEnd w:id="5"/>
    <w:bookmarkEnd w:id="6"/>
    <w:p w:rsidR="001C09DB" w:rsidRDefault="001C09DB" w:rsidP="001C09DB">
      <w:pPr>
        <w:jc w:val="center"/>
        <w:rPr>
          <w:sz w:val="16"/>
          <w:szCs w:val="16"/>
        </w:rPr>
      </w:pPr>
    </w:p>
    <w:p w:rsidR="001C09DB" w:rsidRPr="00EF59C6" w:rsidRDefault="001C09DB" w:rsidP="001C09DB">
      <w:pPr>
        <w:pStyle w:val="Virsraksts5"/>
        <w:jc w:val="both"/>
      </w:pPr>
      <w:r w:rsidRPr="00EF59C6">
        <w:t>I Ministru padomes sanāksmes darba kārtība</w:t>
      </w:r>
    </w:p>
    <w:p w:rsidR="001C09DB" w:rsidRPr="002173ED" w:rsidRDefault="001C09DB" w:rsidP="001C09DB">
      <w:pPr>
        <w:jc w:val="center"/>
        <w:rPr>
          <w:sz w:val="16"/>
          <w:szCs w:val="16"/>
        </w:rPr>
      </w:pPr>
    </w:p>
    <w:p w:rsidR="001C09DB" w:rsidRPr="00EF59C6" w:rsidRDefault="001C09DB" w:rsidP="001C09DB">
      <w:pPr>
        <w:ind w:firstLine="720"/>
        <w:jc w:val="both"/>
      </w:pPr>
      <w:r>
        <w:t xml:space="preserve">Briselē, Beļģijā </w:t>
      </w:r>
      <w:r w:rsidRPr="00EF59C6">
        <w:t>2011. </w:t>
      </w:r>
      <w:r w:rsidRPr="00EF59C6">
        <w:rPr>
          <w:bCs/>
        </w:rPr>
        <w:t xml:space="preserve">gada </w:t>
      </w:r>
      <w:r>
        <w:rPr>
          <w:bCs/>
        </w:rPr>
        <w:t>13</w:t>
      </w:r>
      <w:r w:rsidRPr="00EF59C6">
        <w:rPr>
          <w:bCs/>
        </w:rPr>
        <w:t>.-</w:t>
      </w:r>
      <w:r>
        <w:rPr>
          <w:bCs/>
        </w:rPr>
        <w:t>14</w:t>
      </w:r>
      <w:r w:rsidRPr="00EF59C6">
        <w:rPr>
          <w:bCs/>
        </w:rPr>
        <w:t>. </w:t>
      </w:r>
      <w:r>
        <w:rPr>
          <w:bCs/>
        </w:rPr>
        <w:t>decembrī</w:t>
      </w:r>
      <w:r w:rsidRPr="00EF59C6">
        <w:rPr>
          <w:bCs/>
        </w:rPr>
        <w:t xml:space="preserve"> </w:t>
      </w:r>
      <w:r w:rsidRPr="00EF59C6">
        <w:t xml:space="preserve">notiks kārtējā Eiropas Savienības (turpmāk – ES) Tieslietu un iekšlietu ministru padomes </w:t>
      </w:r>
      <w:r w:rsidRPr="00EF59C6">
        <w:rPr>
          <w:iCs/>
        </w:rPr>
        <w:t>(turpmāk – Padome)</w:t>
      </w:r>
      <w:r w:rsidRPr="00EF59C6">
        <w:t xml:space="preserve"> sanāksme, kuras darba kārtībā ir ietverti šādi Tieslietu</w:t>
      </w:r>
      <w:r>
        <w:t xml:space="preserve"> </w:t>
      </w:r>
      <w:r w:rsidRPr="00EF59C6">
        <w:t xml:space="preserve">ministrijas kompetencē esošie jautājumi: </w:t>
      </w:r>
    </w:p>
    <w:p w:rsidR="001C09DB" w:rsidRPr="002173ED" w:rsidRDefault="001C09DB" w:rsidP="001C09DB">
      <w:pPr>
        <w:ind w:firstLine="720"/>
        <w:jc w:val="both"/>
        <w:rPr>
          <w:sz w:val="16"/>
          <w:szCs w:val="16"/>
        </w:rPr>
      </w:pPr>
    </w:p>
    <w:p w:rsidR="00A70AED" w:rsidRDefault="00A24B59">
      <w:pPr>
        <w:ind w:firstLine="720"/>
        <w:jc w:val="both"/>
      </w:pPr>
      <w:r>
        <w:t xml:space="preserve">1. </w:t>
      </w:r>
      <w:r w:rsidR="001C09DB" w:rsidRPr="001C09DB">
        <w:t>Priekšlikums Eiropas Parlamenta un Padomes Regulai par jurisdikciju, piemērojamiem tiesību aktiem, nolēmumu un publisku aktu atzīšanu un izpildi mantošanas jomā un par Eirop</w:t>
      </w:r>
      <w:r w:rsidR="00D43D8E">
        <w:t>as mantojuma apliecības izveidi</w:t>
      </w:r>
      <w:r w:rsidR="00B32916">
        <w:t>;</w:t>
      </w:r>
    </w:p>
    <w:p w:rsidR="00A70AED" w:rsidRDefault="00A24B59">
      <w:pPr>
        <w:ind w:firstLine="720"/>
        <w:jc w:val="both"/>
      </w:pPr>
      <w:r>
        <w:rPr>
          <w:bCs/>
        </w:rPr>
        <w:t>2.</w:t>
      </w:r>
      <w:r w:rsidR="001C09DB" w:rsidRPr="00A24B59">
        <w:rPr>
          <w:bCs/>
        </w:rPr>
        <w:t>Beļģijas Karalistes, Bulgārijas Republikas, Igaunijas Republikas, Spānijas Karalistes, Austrijas Republikas, Slovēnijas Republikas un Zviedrijas Karalistes iniciatīva Eiropas Parlamenta un Padomes Direktīvai par Eiropas Izmek</w:t>
      </w:r>
      <w:r w:rsidR="00D43D8E" w:rsidRPr="00A24B59">
        <w:rPr>
          <w:bCs/>
        </w:rPr>
        <w:t>lēšanas rīkojumu krimināllietās</w:t>
      </w:r>
      <w:r w:rsidR="00B32916" w:rsidRPr="00A24B59">
        <w:rPr>
          <w:bCs/>
        </w:rPr>
        <w:t>;</w:t>
      </w:r>
    </w:p>
    <w:p w:rsidR="00A70AED" w:rsidRDefault="00A24B59">
      <w:pPr>
        <w:ind w:firstLine="720"/>
        <w:jc w:val="both"/>
      </w:pPr>
      <w:r>
        <w:t xml:space="preserve">3. </w:t>
      </w:r>
      <w:r w:rsidR="001C09DB" w:rsidRPr="001C09DB">
        <w:t>Priekšlikums Eiropas Parlamenta un Padomes Direktīvai, ar ko nosaka noziegumos cietušo tiesību, atbalsta un aizsardzības minimuma</w:t>
      </w:r>
      <w:r w:rsidR="00D43D8E">
        <w:t xml:space="preserve"> standartus</w:t>
      </w:r>
      <w:r w:rsidR="00B32916">
        <w:t>;</w:t>
      </w:r>
    </w:p>
    <w:p w:rsidR="00A70AED" w:rsidRDefault="00A24B59">
      <w:pPr>
        <w:ind w:firstLine="720"/>
        <w:jc w:val="both"/>
      </w:pPr>
      <w:r>
        <w:t xml:space="preserve">4. </w:t>
      </w:r>
      <w:r w:rsidR="001C09DB">
        <w:t xml:space="preserve">Priekšlikums </w:t>
      </w:r>
      <w:r w:rsidR="001C09DB" w:rsidRPr="002444D2">
        <w:t>Eiropas Parlamenta un Padomes Regula</w:t>
      </w:r>
      <w:r w:rsidR="001C09DB">
        <w:t>i</w:t>
      </w:r>
      <w:r w:rsidR="001C09DB" w:rsidRPr="002444D2">
        <w:t xml:space="preserve"> par jurisdikciju un spriedumu atzīšanu un izpildi civillietās un komerclietās</w:t>
      </w:r>
      <w:r w:rsidR="00B32916">
        <w:t>;</w:t>
      </w:r>
    </w:p>
    <w:p w:rsidR="00A70AED" w:rsidRDefault="00A24B59">
      <w:pPr>
        <w:ind w:firstLine="720"/>
        <w:jc w:val="both"/>
      </w:pPr>
      <w:r>
        <w:t xml:space="preserve">5. </w:t>
      </w:r>
      <w:r w:rsidR="001C09DB">
        <w:t>Priekšlikums </w:t>
      </w:r>
      <w:r w:rsidR="001C09DB" w:rsidRPr="002444D2">
        <w:t>Eiropas Parlamenta un Padomes Regula</w:t>
      </w:r>
      <w:r w:rsidR="001C09DB">
        <w:t>i</w:t>
      </w:r>
      <w:r w:rsidR="001C09DB" w:rsidRPr="002444D2">
        <w:t xml:space="preserve"> par Vienotajiem Eiropas tirdzniecības noteikumiem</w:t>
      </w:r>
      <w:r w:rsidR="00B32916">
        <w:t>;</w:t>
      </w:r>
    </w:p>
    <w:p w:rsidR="00A70AED" w:rsidRDefault="00A24B59">
      <w:pPr>
        <w:ind w:firstLine="720"/>
        <w:jc w:val="both"/>
      </w:pPr>
      <w:r>
        <w:t xml:space="preserve">6. </w:t>
      </w:r>
      <w:r w:rsidR="001C09DB">
        <w:t>Priekšlikums </w:t>
      </w:r>
      <w:r w:rsidR="001C09DB" w:rsidRPr="002444D2">
        <w:t>Eiropas Parlamenta un Padomes Direktīva par tiesībām piekļūt advokātam kriminālprocesa ietvaros un tiesībām sazināties pēc aizturēšanas</w:t>
      </w:r>
      <w:r w:rsidR="00B32916">
        <w:t>;</w:t>
      </w:r>
    </w:p>
    <w:p w:rsidR="00A70AED" w:rsidRDefault="00A24B59">
      <w:pPr>
        <w:ind w:firstLine="720"/>
        <w:jc w:val="both"/>
      </w:pPr>
      <w:r>
        <w:t xml:space="preserve">7. </w:t>
      </w:r>
      <w:r w:rsidR="00B32916">
        <w:t xml:space="preserve">Priekšlikums </w:t>
      </w:r>
      <w:r w:rsidR="001C09DB" w:rsidRPr="002444D2">
        <w:t>Eiropas Parlamenta un Padomes Regula</w:t>
      </w:r>
      <w:r w:rsidR="001C09DB">
        <w:t>i</w:t>
      </w:r>
      <w:r w:rsidR="001C09DB" w:rsidRPr="002444D2">
        <w:t>, ar ko nosaka Ti</w:t>
      </w:r>
      <w:r w:rsidR="00836448">
        <w:t>esiskuma programmu 2014.–2020. </w:t>
      </w:r>
      <w:r w:rsidR="00B32916">
        <w:t>g</w:t>
      </w:r>
      <w:r w:rsidR="001C09DB" w:rsidRPr="002444D2">
        <w:t>adam</w:t>
      </w:r>
      <w:r w:rsidR="00B32916">
        <w:t xml:space="preserve"> un priekšlikums </w:t>
      </w:r>
      <w:r w:rsidR="001C09DB" w:rsidRPr="002444D2">
        <w:t>Eiropas Parlamenta un Padomes Regula</w:t>
      </w:r>
      <w:r w:rsidR="001C09DB">
        <w:t>i</w:t>
      </w:r>
      <w:r w:rsidR="001C09DB" w:rsidRPr="002444D2">
        <w:t>, ar ko nosaka Pamattiesību un pilsonī</w:t>
      </w:r>
      <w:r w:rsidR="00D43D8E">
        <w:t>bas programmu 2014.–2020. </w:t>
      </w:r>
      <w:r w:rsidR="00B32916">
        <w:t>g</w:t>
      </w:r>
      <w:r w:rsidR="00D43D8E">
        <w:t>adam</w:t>
      </w:r>
      <w:r w:rsidR="00B32916">
        <w:t>;</w:t>
      </w:r>
    </w:p>
    <w:p w:rsidR="00A70AED" w:rsidRDefault="00A24B59">
      <w:pPr>
        <w:ind w:firstLine="720"/>
        <w:jc w:val="both"/>
      </w:pPr>
      <w:r>
        <w:t xml:space="preserve">8. </w:t>
      </w:r>
      <w:r w:rsidR="00D43D8E">
        <w:t>ES</w:t>
      </w:r>
      <w:r w:rsidR="007316C5">
        <w:t xml:space="preserve"> pievienošanās Eiropas Cilvēktiesību un pamatbrīvību aizsardzības konvencijai</w:t>
      </w:r>
      <w:r w:rsidR="003544B9">
        <w:t>.</w:t>
      </w:r>
    </w:p>
    <w:p w:rsidR="001C09DB" w:rsidRDefault="001C09DB" w:rsidP="00D43D8E">
      <w:pPr>
        <w:pStyle w:val="Sarakstarindkopa"/>
        <w:ind w:left="709" w:right="-1"/>
        <w:jc w:val="both"/>
      </w:pPr>
      <w:bookmarkStart w:id="7" w:name="OLE_LINK2"/>
    </w:p>
    <w:bookmarkEnd w:id="7"/>
    <w:p w:rsidR="001C09DB" w:rsidRPr="00EF59C6" w:rsidRDefault="001C09DB" w:rsidP="001C09DB">
      <w:pPr>
        <w:pStyle w:val="Pamatteksts2"/>
        <w:jc w:val="both"/>
        <w:rPr>
          <w:b/>
          <w:bCs/>
          <w:sz w:val="24"/>
          <w:szCs w:val="24"/>
          <w:u w:val="single"/>
        </w:rPr>
      </w:pPr>
      <w:r w:rsidRPr="00EF59C6">
        <w:rPr>
          <w:b/>
          <w:bCs/>
          <w:sz w:val="24"/>
          <w:szCs w:val="24"/>
          <w:u w:val="single"/>
        </w:rPr>
        <w:t xml:space="preserve">II </w:t>
      </w:r>
      <w:r w:rsidR="00A43000">
        <w:rPr>
          <w:b/>
          <w:bCs/>
          <w:sz w:val="24"/>
          <w:szCs w:val="24"/>
          <w:u w:val="single"/>
        </w:rPr>
        <w:t xml:space="preserve">Latvijas nacionālās pozīcijas </w:t>
      </w:r>
      <w:r w:rsidRPr="00EF59C6">
        <w:rPr>
          <w:b/>
          <w:bCs/>
          <w:sz w:val="24"/>
          <w:szCs w:val="24"/>
          <w:u w:val="single"/>
        </w:rPr>
        <w:t xml:space="preserve"> </w:t>
      </w:r>
    </w:p>
    <w:p w:rsidR="001C09DB" w:rsidRPr="002173ED" w:rsidRDefault="001C09DB" w:rsidP="001C09DB">
      <w:pPr>
        <w:pStyle w:val="Sarakstarindkopa"/>
        <w:ind w:left="644"/>
        <w:jc w:val="both"/>
        <w:rPr>
          <w:sz w:val="16"/>
          <w:szCs w:val="16"/>
        </w:rPr>
      </w:pPr>
      <w:r w:rsidRPr="00EF59C6">
        <w:t xml:space="preserve">       </w:t>
      </w:r>
    </w:p>
    <w:p w:rsidR="00A70AED" w:rsidRDefault="00A24B59">
      <w:pPr>
        <w:ind w:firstLine="720"/>
        <w:jc w:val="both"/>
        <w:rPr>
          <w:b/>
          <w:bCs/>
        </w:rPr>
      </w:pPr>
      <w:r w:rsidRPr="00A24B59">
        <w:rPr>
          <w:b/>
        </w:rPr>
        <w:t xml:space="preserve"> 1</w:t>
      </w:r>
      <w:r>
        <w:rPr>
          <w:b/>
        </w:rPr>
        <w:t xml:space="preserve">. </w:t>
      </w:r>
      <w:r w:rsidR="002724AB" w:rsidRPr="002724AB">
        <w:rPr>
          <w:b/>
        </w:rPr>
        <w:t xml:space="preserve">Priekšlikums Eiropas Parlamenta un Padomes Regulai par jurisdikciju, piemērojamiem tiesību aktiem, nolēmumu un publisku aktu atzīšanu un izpildi mantošanas jomā un par Eiropas mantojuma apliecības izveidi </w:t>
      </w:r>
    </w:p>
    <w:p w:rsidR="005B636B" w:rsidRDefault="005B636B" w:rsidP="00D43D8E">
      <w:pPr>
        <w:ind w:firstLine="709"/>
        <w:jc w:val="both"/>
      </w:pPr>
      <w:r w:rsidRPr="00411805">
        <w:rPr>
          <w:bCs/>
        </w:rPr>
        <w:t>Eiropas Parlamenta un Padomes Regula</w:t>
      </w:r>
      <w:r w:rsidR="00087190">
        <w:rPr>
          <w:bCs/>
        </w:rPr>
        <w:t>s projektā</w:t>
      </w:r>
      <w:r w:rsidRPr="00411805">
        <w:rPr>
          <w:bCs/>
        </w:rPr>
        <w:t xml:space="preserve"> par jurisdikciju, piemērojamiem tiesību aktiem, lēmumu un autentisku aktu atzīšanu un izpildi mantošanas jomā un par Eiropas mantojuma apliecības izveidi </w:t>
      </w:r>
      <w:r w:rsidRPr="00411805">
        <w:t xml:space="preserve">paredzēts noteikt vienotus jurisdikcijas, piemērojamā likuma, spriedumu atzīšanas un izpildes noteikumus, saskaņā ar kuriem tiktu nodrošināta vienkāršāka un efektīvāka pārrobežu mantojuma lietu risināšana </w:t>
      </w:r>
      <w:r w:rsidR="00D43D8E">
        <w:t>ES</w:t>
      </w:r>
      <w:r w:rsidRPr="00411805">
        <w:t xml:space="preserve">, kas radītu skaidrību un noteiktību attiecībā uz dalībvalstu tiesu (iestāžu) kompetenci mantojuma lietu risināšanā, piemērojamā likuma noteikšanu, kā arī tiktu vienkāršota un atvieglota vienā dalībvalstī pieņemta nolēmuma atzīšana un izpilde citās dalībvalstīs. </w:t>
      </w:r>
    </w:p>
    <w:p w:rsidR="005B636B" w:rsidRDefault="00D43D8E" w:rsidP="00A43000">
      <w:pPr>
        <w:ind w:firstLine="709"/>
        <w:jc w:val="both"/>
      </w:pPr>
      <w:r w:rsidRPr="003D1167">
        <w:t xml:space="preserve">Padomes sanāksmē dalībvalstu ministri tiek </w:t>
      </w:r>
      <w:r>
        <w:t>aicināti p</w:t>
      </w:r>
      <w:r w:rsidR="00087190">
        <w:t>anākt vispārējo vienošanos par r</w:t>
      </w:r>
      <w:r>
        <w:t>egulas</w:t>
      </w:r>
      <w:r w:rsidR="00087190">
        <w:t xml:space="preserve"> projekta</w:t>
      </w:r>
      <w:r>
        <w:t xml:space="preserve"> tekstu</w:t>
      </w:r>
      <w:r w:rsidR="00A43000">
        <w:t>.</w:t>
      </w:r>
      <w:r>
        <w:t xml:space="preserve"> </w:t>
      </w:r>
      <w:r w:rsidRPr="00A43000">
        <w:t>Latvija var</w:t>
      </w:r>
      <w:r w:rsidR="00A43000" w:rsidRPr="00A43000">
        <w:t xml:space="preserve"> atbalstīt</w:t>
      </w:r>
      <w:r w:rsidR="00A43000">
        <w:t xml:space="preserve"> regulas </w:t>
      </w:r>
      <w:r w:rsidR="00087190">
        <w:t xml:space="preserve">projekta </w:t>
      </w:r>
      <w:r w:rsidRPr="00A43000">
        <w:t>tekstu</w:t>
      </w:r>
      <w:r w:rsidR="00A43000">
        <w:t xml:space="preserve">, jo uzskata, ka tas atspoguļo panākto kompromisu dalībvalstu starpā.  </w:t>
      </w:r>
    </w:p>
    <w:p w:rsidR="001D70EE" w:rsidRDefault="001D70EE" w:rsidP="001C09DB">
      <w:pPr>
        <w:jc w:val="both"/>
        <w:rPr>
          <w:sz w:val="16"/>
          <w:szCs w:val="16"/>
        </w:rPr>
      </w:pPr>
    </w:p>
    <w:p w:rsidR="00A70AED" w:rsidRDefault="00A24B59">
      <w:pPr>
        <w:ind w:firstLine="720"/>
        <w:jc w:val="both"/>
        <w:rPr>
          <w:b/>
        </w:rPr>
      </w:pPr>
      <w:r>
        <w:rPr>
          <w:b/>
          <w:bCs/>
        </w:rPr>
        <w:t xml:space="preserve">2. </w:t>
      </w:r>
      <w:r w:rsidR="002724AB" w:rsidRPr="002724AB">
        <w:rPr>
          <w:b/>
          <w:bCs/>
        </w:rPr>
        <w:t>Beļģijas Karalistes, Bulgārijas Republikas, Igaunijas Republikas, Spānijas Karalistes, Austrijas Republikas, Slovēnijas Republikas un Zviedrijas Karalistes iniciatīva Eiropas Parlamenta un Padomes Direktīvai par Eiropas Izmeklēšanas rīkojumu krimināllietās</w:t>
      </w:r>
    </w:p>
    <w:p w:rsidR="00E75886" w:rsidRDefault="00A43000" w:rsidP="00E75886">
      <w:pPr>
        <w:jc w:val="both"/>
        <w:rPr>
          <w:noProof/>
        </w:rPr>
      </w:pPr>
      <w:r>
        <w:t xml:space="preserve">            </w:t>
      </w:r>
      <w:r w:rsidR="00E75886">
        <w:t xml:space="preserve">Direktīvas projekta mērķis ir </w:t>
      </w:r>
      <w:r w:rsidR="00E75886">
        <w:rPr>
          <w:noProof/>
        </w:rPr>
        <w:t xml:space="preserve">uzlabot pierādījumu iegūšanu krimināllietās </w:t>
      </w:r>
      <w:r>
        <w:rPr>
          <w:noProof/>
        </w:rPr>
        <w:t xml:space="preserve">ES </w:t>
      </w:r>
      <w:r w:rsidR="00E75886">
        <w:rPr>
          <w:noProof/>
        </w:rPr>
        <w:t xml:space="preserve">dalībvalstu starpā, izveidot vienotu un efektīvu sistēmu pārrobežu pierādījumu iegūšanai un nodošanai kriminālprocesa ietvaros. </w:t>
      </w:r>
      <w:r>
        <w:rPr>
          <w:noProof/>
        </w:rPr>
        <w:t xml:space="preserve">Šobrīd pārrobežu pierādījumu iegūšanas sistēma ES ir </w:t>
      </w:r>
      <w:r>
        <w:rPr>
          <w:noProof/>
        </w:rPr>
        <w:lastRenderedPageBreak/>
        <w:t>sadrumstalota un fragmentāra, kā arī pastāvošie savstarpējās atzīšanas instrumenti, ko piemēro pierādījumu iegūšanai, attiecas tikai uz jau pastāvošiem pierādījumiem.</w:t>
      </w:r>
    </w:p>
    <w:p w:rsidR="00E75886" w:rsidRDefault="00A43000" w:rsidP="00E75886">
      <w:pPr>
        <w:jc w:val="both"/>
      </w:pPr>
      <w:r>
        <w:rPr>
          <w:noProof/>
        </w:rPr>
        <w:tab/>
        <w:t xml:space="preserve">Padomes sanāksmes ietvaros ir </w:t>
      </w:r>
      <w:r w:rsidR="00E75886">
        <w:t xml:space="preserve">plānots vienoties par specifiskajiem jautājumiem direktīvas projekta ietvaros, piemērām, tādiem jautājumiem kā personas nogādāšana uz laiku citā dalībvalsti procesuālo darbību veikšanai, specifiskās procesuālās darbības, kā </w:t>
      </w:r>
      <w:r w:rsidR="000E6911">
        <w:t xml:space="preserve">arī </w:t>
      </w:r>
      <w:r w:rsidR="00E75886">
        <w:t xml:space="preserve">plānots vienoties par direktīvas </w:t>
      </w:r>
      <w:r w:rsidR="000E6911">
        <w:t xml:space="preserve">projekta </w:t>
      </w:r>
      <w:r w:rsidR="00E75886">
        <w:t xml:space="preserve">beigu noteikumiem. Ministru diskusijām netiek virzīts jautājums attiecībā uz </w:t>
      </w:r>
      <w:r w:rsidR="00E75886" w:rsidRPr="00CD049B">
        <w:t xml:space="preserve">direktīvas projekta noteikumu </w:t>
      </w:r>
      <w:r w:rsidR="00E75886" w:rsidRPr="003544B9">
        <w:t>un 2003. gada 22. jūlija Ietvarlēmuma 2003/577/TI par to, kā ES izpilda īpašuma vai pierādījumu iesaldēšanas</w:t>
      </w:r>
      <w:r w:rsidR="00E75886" w:rsidRPr="00CD049B">
        <w:rPr>
          <w:color w:val="1B1B1B"/>
        </w:rPr>
        <w:t xml:space="preserve"> rīkojumus</w:t>
      </w:r>
      <w:r w:rsidR="00E75886" w:rsidRPr="00CD049B">
        <w:t xml:space="preserve"> </w:t>
      </w:r>
      <w:r w:rsidR="00E75886">
        <w:t>noteikumu mijiedarbību, ņemot vērā to, ka par šo jautājumu ir nepieciešamas turpmāk</w:t>
      </w:r>
      <w:r w:rsidR="00874792">
        <w:t>a</w:t>
      </w:r>
      <w:r w:rsidR="00E75886">
        <w:t>s diskusijas. Dalībvalstu vienošanās par dire</w:t>
      </w:r>
      <w:r>
        <w:t xml:space="preserve">ktīvas projekta pamata pantiem </w:t>
      </w:r>
      <w:r w:rsidR="00E75886">
        <w:t xml:space="preserve">ir panākta ES Tieslietu un iekšlietu ministru padomē š.g. 9.-10. jūnijā. </w:t>
      </w:r>
    </w:p>
    <w:p w:rsidR="00A43000" w:rsidRDefault="00A43000" w:rsidP="001C09DB">
      <w:pPr>
        <w:ind w:firstLine="709"/>
        <w:jc w:val="both"/>
      </w:pPr>
      <w:r w:rsidRPr="00A43000">
        <w:t>Latvija kopumā atbalsta panākto vienošanos attiecībā uz direktīvas projekta specifiskajiem</w:t>
      </w:r>
      <w:r>
        <w:t xml:space="preserve"> noteikumiem</w:t>
      </w:r>
      <w:r w:rsidRPr="00A43000">
        <w:t xml:space="preserve">, jo uzskata, ka diskusiju gaitā ir panākts labs kompromiss par direktīvas projektu </w:t>
      </w:r>
      <w:r w:rsidRPr="00A43000">
        <w:rPr>
          <w:bCs/>
        </w:rPr>
        <w:t>un turpmākas būtiska rakstura izmaiņas esošajā projekta redakcijā nebūtu jāveic.</w:t>
      </w:r>
      <w:r w:rsidRPr="00A43000">
        <w:t> Vienlaikus Latvija uzskata, ka ir nepieciešama turpmāka diskusija ES Padomes līmenī par direktīvas projekta ietekmi uz spēkā esošajiem instrumentiem</w:t>
      </w:r>
      <w:r>
        <w:t xml:space="preserve">. </w:t>
      </w:r>
    </w:p>
    <w:p w:rsidR="001D70EE" w:rsidRPr="002173ED" w:rsidRDefault="001D70EE" w:rsidP="001C09DB">
      <w:pPr>
        <w:ind w:firstLine="709"/>
        <w:jc w:val="both"/>
        <w:rPr>
          <w:sz w:val="16"/>
          <w:szCs w:val="16"/>
        </w:rPr>
      </w:pPr>
    </w:p>
    <w:p w:rsidR="001C09DB" w:rsidRPr="003D1167" w:rsidRDefault="001C09DB" w:rsidP="001C09DB">
      <w:pPr>
        <w:ind w:firstLine="709"/>
        <w:jc w:val="both"/>
        <w:rPr>
          <w:b/>
          <w:bCs/>
        </w:rPr>
      </w:pPr>
      <w:r w:rsidRPr="009A7FFC">
        <w:rPr>
          <w:b/>
        </w:rPr>
        <w:t>3.</w:t>
      </w:r>
      <w:r>
        <w:t xml:space="preserve"> </w:t>
      </w:r>
      <w:r w:rsidR="00DC62A4" w:rsidRPr="00DC62A4">
        <w:rPr>
          <w:b/>
        </w:rPr>
        <w:t>Priekšlikums Eiropas Parlamenta un Padomes Direktīvai, ar ko nosaka noziegumos cietušo tiesību, atbalsta un aizsardzības minimuma standartus</w:t>
      </w:r>
    </w:p>
    <w:p w:rsidR="00A43000" w:rsidRPr="004D5586" w:rsidRDefault="00A43000" w:rsidP="00A43000">
      <w:pPr>
        <w:ind w:firstLine="720"/>
        <w:jc w:val="both"/>
      </w:pPr>
      <w:r w:rsidRPr="004D5586">
        <w:t xml:space="preserve">Direktīvas projekts ir daļa no tiesību aktu paketes (Ceļvedis par cietušo tiesību stiprināšanu un cietušo aizsardzību kriminālprocesā), kuras mērķis ir stiprināt cietušo tiesības </w:t>
      </w:r>
      <w:r w:rsidR="003544B9">
        <w:t>ES</w:t>
      </w:r>
      <w:r w:rsidRPr="004D5586">
        <w:t>.</w:t>
      </w:r>
      <w:r w:rsidR="0018209C">
        <w:t xml:space="preserve"> </w:t>
      </w:r>
      <w:r w:rsidRPr="004D5586">
        <w:t>Direktīvas projekts aizstās šobrīd spēkā esošo Padomes 2001. gada 15. mart</w:t>
      </w:r>
      <w:r>
        <w:t>a</w:t>
      </w:r>
      <w:r w:rsidRPr="004D5586">
        <w:t xml:space="preserve"> </w:t>
      </w:r>
      <w:r>
        <w:t xml:space="preserve">Ietvarlēmumu 2001/220/TI </w:t>
      </w:r>
      <w:r w:rsidRPr="004D5586">
        <w:t xml:space="preserve">par cietušo statusu kriminālprocesā. Ņemot vērā, ka no Ietvarlēmuma pieņemšanas brīža ir pagājuši 10 gadi, nepieciešams </w:t>
      </w:r>
      <w:r w:rsidR="0018209C">
        <w:t xml:space="preserve">to </w:t>
      </w:r>
      <w:r w:rsidRPr="004D5586">
        <w:t>pārskatīt un papildināt</w:t>
      </w:r>
      <w:r w:rsidR="0018209C">
        <w:t xml:space="preserve">. </w:t>
      </w:r>
    </w:p>
    <w:p w:rsidR="00A43000" w:rsidRPr="004D5586" w:rsidRDefault="00A43000" w:rsidP="00A43000">
      <w:pPr>
        <w:ind w:firstLine="720"/>
        <w:jc w:val="both"/>
      </w:pPr>
      <w:r w:rsidRPr="004D5586">
        <w:t>Direktīvas projektā ietvertas cietušā tiesības uz informāciju, tiesības saprast un tikt saprastam, tiesības uz cietušo atbalsta pasākumiem, tiesības iesaistīties kriminālprocesā, kā arī tiesības uz īpašiem pasākumiem neizsargātiem cietušajiem (</w:t>
      </w:r>
      <w:r w:rsidRPr="004D5586">
        <w:rPr>
          <w:i/>
        </w:rPr>
        <w:t>vulnerable victim</w:t>
      </w:r>
      <w:r w:rsidRPr="004D5586">
        <w:t>). Tiek paredzēts, ka par neaizsargātiem cietušajiem personas uzskata viņu personisko iezīmju dēļ vai arī noziedzīgā nodarījuma, no</w:t>
      </w:r>
      <w:r>
        <w:t xml:space="preserve"> kura viņš cietis, rakstura dēļ. Tiek paredzēts, ka bērni vienmēr ir uzskatāmi par neizsargātiem cietušajiem.</w:t>
      </w:r>
    </w:p>
    <w:p w:rsidR="00A43000" w:rsidRDefault="00A43000" w:rsidP="00A43000">
      <w:pPr>
        <w:ind w:firstLine="720"/>
        <w:jc w:val="both"/>
        <w:rPr>
          <w:b/>
        </w:rPr>
      </w:pPr>
      <w:r w:rsidRPr="004D5586">
        <w:t>Direktīvas projekts paredz arī dalībvalstīm pienākumu, nodrošināt, ka praktiķi ir pienācīgi apmācīti darbam ar cietušajiem atkarībā no praktiķu saskarsmes ar cietušajiem apjoma un rakstura, kā arī no tā, vai viņiem ir saskarsme ar īpašām cietušo grupām.</w:t>
      </w:r>
    </w:p>
    <w:p w:rsidR="00A43000" w:rsidRPr="00A43000" w:rsidRDefault="00DC62A4" w:rsidP="00A43000">
      <w:pPr>
        <w:ind w:firstLine="709"/>
        <w:jc w:val="both"/>
      </w:pPr>
      <w:r w:rsidRPr="00A43000">
        <w:t xml:space="preserve">Padomes sanāksmē dalībvalstu ministri tiks aicināti panākt vispārējo pieeju par </w:t>
      </w:r>
      <w:r w:rsidR="00BB5987">
        <w:t>d</w:t>
      </w:r>
      <w:r w:rsidRPr="00A43000">
        <w:t xml:space="preserve">irektīvas projektu. </w:t>
      </w:r>
      <w:r w:rsidR="00A43000" w:rsidRPr="00A43000">
        <w:t xml:space="preserve">Šobrīd Latvijai problemātiskie jautājumi direktīvas projekta kontekstā ir atrisināti, tādējādi Latvija atbalsta direktīvas projekta tekstu šobrīd piedāvātajā redakcijā. </w:t>
      </w:r>
    </w:p>
    <w:p w:rsidR="00DC62A4" w:rsidRDefault="00DC62A4" w:rsidP="00DC62A4">
      <w:pPr>
        <w:ind w:firstLine="709"/>
        <w:jc w:val="both"/>
        <w:rPr>
          <w:sz w:val="16"/>
          <w:szCs w:val="16"/>
        </w:rPr>
      </w:pPr>
    </w:p>
    <w:p w:rsidR="0082768C" w:rsidRPr="002173ED" w:rsidRDefault="0082768C" w:rsidP="00DC62A4">
      <w:pPr>
        <w:ind w:firstLine="709"/>
        <w:jc w:val="both"/>
        <w:rPr>
          <w:sz w:val="16"/>
          <w:szCs w:val="16"/>
        </w:rPr>
      </w:pPr>
    </w:p>
    <w:p w:rsidR="00A43000" w:rsidRPr="001D70EE" w:rsidRDefault="00A43000" w:rsidP="00A43000">
      <w:pPr>
        <w:rPr>
          <w:b/>
          <w:u w:val="single"/>
        </w:rPr>
      </w:pPr>
      <w:r w:rsidRPr="001D70EE">
        <w:rPr>
          <w:b/>
          <w:u w:val="single"/>
        </w:rPr>
        <w:t>III Citi Padomes sanāksmē izskatāmie jautājumi</w:t>
      </w:r>
    </w:p>
    <w:p w:rsidR="00A43000" w:rsidRPr="002173ED" w:rsidRDefault="00A43000" w:rsidP="00DC62A4">
      <w:pPr>
        <w:ind w:firstLine="709"/>
        <w:jc w:val="both"/>
        <w:rPr>
          <w:sz w:val="16"/>
          <w:szCs w:val="16"/>
        </w:rPr>
      </w:pPr>
    </w:p>
    <w:p w:rsidR="00A70AED" w:rsidRDefault="00A24B59">
      <w:pPr>
        <w:ind w:firstLine="720"/>
        <w:jc w:val="both"/>
        <w:rPr>
          <w:b/>
        </w:rPr>
      </w:pPr>
      <w:r>
        <w:rPr>
          <w:b/>
        </w:rPr>
        <w:t xml:space="preserve">4. </w:t>
      </w:r>
      <w:r w:rsidR="002724AB" w:rsidRPr="002724AB">
        <w:rPr>
          <w:b/>
        </w:rPr>
        <w:t>Priekšlikums Eiropas Parlamenta un Padomes Regulai par jurisdikciju un spriedumu atzīšanu un izpildi civillietās un komerclietās</w:t>
      </w:r>
    </w:p>
    <w:p w:rsidR="001D70EE" w:rsidRDefault="001D70EE" w:rsidP="001D70EE">
      <w:pPr>
        <w:ind w:firstLine="709"/>
        <w:jc w:val="both"/>
      </w:pPr>
      <w:r w:rsidRPr="003D1167">
        <w:t xml:space="preserve">Padomes sanāksmē dalībvalstu ministri tiks </w:t>
      </w:r>
      <w:r>
        <w:t xml:space="preserve">aicināti panākt vienošanos par </w:t>
      </w:r>
      <w:r w:rsidR="002D0C6A">
        <w:t xml:space="preserve">regulas projekta </w:t>
      </w:r>
      <w:r>
        <w:t xml:space="preserve">pamatnostādnēm, lai Dānijas </w:t>
      </w:r>
      <w:r w:rsidR="002A0044">
        <w:t>P</w:t>
      </w:r>
      <w:r>
        <w:t>rezidentūras laikā varētu turpināt darbu</w:t>
      </w:r>
      <w:r w:rsidR="003014B5">
        <w:t xml:space="preserve">. </w:t>
      </w:r>
      <w:r>
        <w:t xml:space="preserve"> </w:t>
      </w:r>
    </w:p>
    <w:p w:rsidR="001D70EE" w:rsidRPr="00EB09AC" w:rsidRDefault="003014B5" w:rsidP="001D70EE">
      <w:pPr>
        <w:ind w:firstLine="709"/>
        <w:jc w:val="both"/>
      </w:pPr>
      <w:r>
        <w:t xml:space="preserve">Regulas projekts </w:t>
      </w:r>
      <w:r w:rsidR="001D70EE">
        <w:t>paredz pārskatīt B</w:t>
      </w:r>
      <w:r w:rsidR="005B636B">
        <w:t xml:space="preserve">riseles </w:t>
      </w:r>
      <w:r w:rsidR="005B636B" w:rsidRPr="007C2566">
        <w:t>I regulu</w:t>
      </w:r>
      <w:r w:rsidR="005B636B" w:rsidRPr="007C2566">
        <w:rPr>
          <w:rStyle w:val="Vresatsauce"/>
        </w:rPr>
        <w:footnoteReference w:id="1"/>
      </w:r>
      <w:r w:rsidR="001D70EE">
        <w:t xml:space="preserve">, kas </w:t>
      </w:r>
      <w:r w:rsidR="005B636B">
        <w:t>ir pamats ES</w:t>
      </w:r>
      <w:r w:rsidR="001D70EE">
        <w:t xml:space="preserve"> dalībvalstu</w:t>
      </w:r>
      <w:r w:rsidR="005B636B">
        <w:t xml:space="preserve"> </w:t>
      </w:r>
      <w:r w:rsidR="005B636B" w:rsidRPr="00D82B18">
        <w:t>tiesu iestāžu sadarbībai civillietās un komerclietās</w:t>
      </w:r>
      <w:r w:rsidR="005B636B" w:rsidRPr="00EB09AC">
        <w:t xml:space="preserve">. </w:t>
      </w:r>
      <w:r w:rsidR="00EB09AC" w:rsidRPr="00EB09AC">
        <w:rPr>
          <w:rStyle w:val="longtext1"/>
          <w:sz w:val="24"/>
          <w:szCs w:val="24"/>
          <w:shd w:val="clear" w:color="auto" w:fill="FFFFFF"/>
        </w:rPr>
        <w:t xml:space="preserve">Briseles I regulas noteikumi ļauj identificēt, kuras dalībvalsts tiesa ir kompetenta konkrēta jautājuma izšķiršanā, kā arī paredz atvieglotu režīmu ES dalībvalstu tiesu nolēmumu izpildei citās ES dalībvalstīs. </w:t>
      </w:r>
      <w:r w:rsidR="00EB09AC" w:rsidRPr="00EB09AC">
        <w:t xml:space="preserve">Regulu piemēro plašam </w:t>
      </w:r>
      <w:r w:rsidR="00EB09AC" w:rsidRPr="00EB09AC">
        <w:lastRenderedPageBreak/>
        <w:t>jautājumu lokam, aptverot ne tikai līgumsaistības, bet arī ārpuslīgumiskas saistības un prasības saistībā ar īpašumtiesībām.</w:t>
      </w:r>
    </w:p>
    <w:p w:rsidR="005B636B" w:rsidRDefault="005B636B" w:rsidP="005B636B">
      <w:pPr>
        <w:ind w:firstLine="709"/>
        <w:jc w:val="both"/>
      </w:pPr>
      <w:r>
        <w:t xml:space="preserve">Galvenie </w:t>
      </w:r>
      <w:r w:rsidR="00FD4E85">
        <w:t xml:space="preserve">elementi </w:t>
      </w:r>
      <w:r>
        <w:t xml:space="preserve">grozījumiem </w:t>
      </w:r>
      <w:r w:rsidR="00EB09AC">
        <w:t xml:space="preserve">Briseles I regulā ir </w:t>
      </w:r>
      <w:r>
        <w:t>vērsti uz četriem būtiskiem aspektiem</w:t>
      </w:r>
      <w:r w:rsidR="00EB09AC">
        <w:t xml:space="preserve">, proti, </w:t>
      </w:r>
      <w:r>
        <w:t xml:space="preserve">atcelt spriedumu </w:t>
      </w:r>
      <w:r w:rsidRPr="00D82B18">
        <w:t>atzīšanas un izpildāmības deklarācijas procedūr</w:t>
      </w:r>
      <w:r>
        <w:t>u</w:t>
      </w:r>
      <w:r w:rsidRPr="00D82B18">
        <w:t xml:space="preserve"> (</w:t>
      </w:r>
      <w:r w:rsidRPr="00D82B18">
        <w:rPr>
          <w:i/>
        </w:rPr>
        <w:t>exequatur</w:t>
      </w:r>
      <w:r w:rsidRPr="00D82B18">
        <w:t>)</w:t>
      </w:r>
      <w:r w:rsidR="00D923AA">
        <w:t>,</w:t>
      </w:r>
      <w:r>
        <w:t xml:space="preserve"> paplašināt Briseles I jurisdikcijas normas arī uz atbildētājiem no trešajām </w:t>
      </w:r>
      <w:r w:rsidR="00D923AA">
        <w:t>valstīm,</w:t>
      </w:r>
      <w:r>
        <w:t xml:space="preserve"> uzlabot tiesas izvēles līgumu efektivitāti</w:t>
      </w:r>
      <w:r w:rsidR="00D923AA">
        <w:t>,</w:t>
      </w:r>
      <w:r>
        <w:t xml:space="preserve"> uzlabot šķīrējtiesu iesaisti strīdu izšķiršanā.</w:t>
      </w:r>
    </w:p>
    <w:p w:rsidR="00EB09AC" w:rsidRDefault="00EB09AC" w:rsidP="005B636B">
      <w:pPr>
        <w:ind w:firstLine="709"/>
        <w:jc w:val="both"/>
      </w:pPr>
      <w:r w:rsidRPr="002A0044">
        <w:t>Latvijas in</w:t>
      </w:r>
      <w:r w:rsidR="002A0044" w:rsidRPr="002A0044">
        <w:t>tereses diskusijās tiek pārstāvētas</w:t>
      </w:r>
      <w:r w:rsidRPr="002A0044">
        <w:t xml:space="preserve"> uz</w:t>
      </w:r>
      <w:r w:rsidR="002A0044" w:rsidRPr="002A0044">
        <w:t xml:space="preserve"> </w:t>
      </w:r>
      <w:r w:rsidR="002A0044">
        <w:t>š</w:t>
      </w:r>
      <w:r w:rsidR="002A0044" w:rsidRPr="00BB47E7">
        <w:t xml:space="preserve">.g. </w:t>
      </w:r>
      <w:r w:rsidR="002A0044">
        <w:rPr>
          <w:bCs/>
        </w:rPr>
        <w:t>22</w:t>
      </w:r>
      <w:r w:rsidR="002A0044" w:rsidRPr="00E75886">
        <w:rPr>
          <w:bCs/>
        </w:rPr>
        <w:t>. </w:t>
      </w:r>
      <w:r w:rsidR="002A0044">
        <w:rPr>
          <w:bCs/>
        </w:rPr>
        <w:t>februārī</w:t>
      </w:r>
      <w:r w:rsidR="002A0044" w:rsidRPr="00BB47E7">
        <w:t xml:space="preserve"> </w:t>
      </w:r>
      <w:r w:rsidR="002A0044" w:rsidRPr="00E75886">
        <w:rPr>
          <w:bCs/>
        </w:rPr>
        <w:t xml:space="preserve">Ministru kabinetā </w:t>
      </w:r>
      <w:r w:rsidR="002A0044" w:rsidRPr="00BB47E7">
        <w:t xml:space="preserve">apstiprināta </w:t>
      </w:r>
      <w:r w:rsidR="002A0044" w:rsidRPr="00E75886">
        <w:rPr>
          <w:bCs/>
        </w:rPr>
        <w:t xml:space="preserve">Latvijas pozīcija </w:t>
      </w:r>
      <w:r w:rsidR="002A0044">
        <w:rPr>
          <w:bCs/>
        </w:rPr>
        <w:t>pamata.</w:t>
      </w:r>
      <w:r w:rsidRPr="00EB09AC">
        <w:t xml:space="preserve"> </w:t>
      </w:r>
      <w:r w:rsidRPr="005B636B">
        <w:t>Latvija atbalsta pamatnostādņu projektu turpmākām diskusijām saistībā ar Briseles I regulu, kas saistīts ar sprieduma atzīšanas un izpildes jautājumiem</w:t>
      </w:r>
      <w:r>
        <w:t xml:space="preserve"> un </w:t>
      </w:r>
      <w:r w:rsidRPr="005B636B">
        <w:t xml:space="preserve">atspoguļo </w:t>
      </w:r>
      <w:r>
        <w:t>ekspertu diskusiju rezultātus</w:t>
      </w:r>
      <w:r w:rsidR="00D923AA">
        <w:t xml:space="preserve">. </w:t>
      </w:r>
      <w:r>
        <w:t>Tajā pašā laikā</w:t>
      </w:r>
      <w:r w:rsidRPr="005B636B">
        <w:t xml:space="preserve"> jau šobrīd ir skaidrs, ka par daudziem jautājumiem </w:t>
      </w:r>
      <w:r>
        <w:t xml:space="preserve">ir nepieciešams turpināt </w:t>
      </w:r>
      <w:r w:rsidRPr="005B636B">
        <w:t>diskusijas ES Padomes darba grupās, lai vienotos par attiecīgajām redakcijām.</w:t>
      </w:r>
    </w:p>
    <w:p w:rsidR="00B32916" w:rsidRDefault="00B32916" w:rsidP="005B636B">
      <w:pPr>
        <w:ind w:firstLine="709"/>
        <w:jc w:val="both"/>
        <w:rPr>
          <w:sz w:val="16"/>
          <w:szCs w:val="16"/>
        </w:rPr>
      </w:pPr>
    </w:p>
    <w:p w:rsidR="0082768C" w:rsidRPr="002173ED" w:rsidRDefault="0082768C" w:rsidP="005B636B">
      <w:pPr>
        <w:ind w:firstLine="709"/>
        <w:jc w:val="both"/>
        <w:rPr>
          <w:sz w:val="16"/>
          <w:szCs w:val="16"/>
        </w:rPr>
      </w:pPr>
    </w:p>
    <w:p w:rsidR="00A70AED" w:rsidRDefault="00A24B59">
      <w:pPr>
        <w:ind w:firstLine="720"/>
        <w:jc w:val="both"/>
        <w:rPr>
          <w:b/>
        </w:rPr>
      </w:pPr>
      <w:r>
        <w:rPr>
          <w:b/>
        </w:rPr>
        <w:t xml:space="preserve">5. </w:t>
      </w:r>
      <w:r w:rsidR="002724AB" w:rsidRPr="002724AB">
        <w:rPr>
          <w:b/>
        </w:rPr>
        <w:t>Priekšlikums Eiropas Parlamenta un Padomes Regulai par vienotajiem Eiropas tirdzniecības noteikumiem</w:t>
      </w:r>
    </w:p>
    <w:p w:rsidR="00C76C4E" w:rsidRPr="00C76C4E" w:rsidRDefault="00C76C4E" w:rsidP="00C76C4E">
      <w:pPr>
        <w:tabs>
          <w:tab w:val="left" w:pos="9071"/>
        </w:tabs>
        <w:ind w:firstLine="709"/>
        <w:jc w:val="both"/>
      </w:pPr>
      <w:r w:rsidRPr="00C76C4E">
        <w:t xml:space="preserve">Padomes sanāksmē </w:t>
      </w:r>
      <w:r w:rsidR="00237F45">
        <w:t xml:space="preserve">ir paredzēta viedokļu apmaiņa </w:t>
      </w:r>
      <w:r w:rsidR="00EE3A5F">
        <w:t xml:space="preserve">par </w:t>
      </w:r>
      <w:r w:rsidR="00237F45">
        <w:t xml:space="preserve">Regulas projektu. </w:t>
      </w:r>
    </w:p>
    <w:p w:rsidR="00E75886" w:rsidRDefault="00E75886" w:rsidP="00C76C4E">
      <w:pPr>
        <w:ind w:firstLine="720"/>
        <w:jc w:val="both"/>
      </w:pPr>
      <w:r>
        <w:t xml:space="preserve">Atšķirības ES dalībvalstu līgumtiesību starpā rada tiesisko nenoteiktību un papildus izmaksas </w:t>
      </w:r>
      <w:r w:rsidR="007316C5">
        <w:t>uzņēmējiem, kā arī</w:t>
      </w:r>
      <w:r>
        <w:t xml:space="preserve"> atstāj ietekmi uz patērētajiem. Harmonizēts </w:t>
      </w:r>
      <w:r w:rsidR="000B7872">
        <w:t xml:space="preserve">ES </w:t>
      </w:r>
      <w:r>
        <w:t>dalībvalstu līgumtiesību normatīvais regulējums</w:t>
      </w:r>
      <w:r w:rsidR="00237F45">
        <w:t>, proti, vienoti Eiropas tirdzniecības noteikumi,</w:t>
      </w:r>
      <w:r>
        <w:t xml:space="preserve"> sekmētu uzņēmējdarbību, attīstītu pārrobežu konkurētspēju </w:t>
      </w:r>
      <w:r w:rsidRPr="00B33BB5">
        <w:t>un palielinātu patērētāju tiesību aizsardzību.</w:t>
      </w:r>
      <w:r>
        <w:t xml:space="preserve"> </w:t>
      </w:r>
    </w:p>
    <w:p w:rsidR="00E75886" w:rsidRDefault="000B7872" w:rsidP="00C76C4E">
      <w:pPr>
        <w:ind w:firstLine="709"/>
        <w:jc w:val="both"/>
      </w:pPr>
      <w:r>
        <w:t xml:space="preserve">Regulas projekta mērķis ir </w:t>
      </w:r>
      <w:r w:rsidR="00E75886">
        <w:t>izveidot</w:t>
      </w:r>
      <w:r w:rsidR="00237F45">
        <w:t xml:space="preserve"> kopējus</w:t>
      </w:r>
      <w:r w:rsidR="00E75886">
        <w:t xml:space="preserve"> līgumu slēgšanas noteikumus, kas aptvertu visas līguma stadijas. </w:t>
      </w:r>
      <w:r w:rsidR="00237F45">
        <w:t>Regul</w:t>
      </w:r>
      <w:r w:rsidR="0094026E">
        <w:t xml:space="preserve">as projekts paredzēts </w:t>
      </w:r>
      <w:r w:rsidR="00E75886">
        <w:t>kā paralēls</w:t>
      </w:r>
      <w:r w:rsidR="00237F45" w:rsidRPr="00237F45">
        <w:t xml:space="preserve"> </w:t>
      </w:r>
      <w:r w:rsidR="00237F45">
        <w:t xml:space="preserve">regulējums dalībvalstu tiesību aktiem, </w:t>
      </w:r>
      <w:r w:rsidR="00E75886">
        <w:t>attiecībā uz p</w:t>
      </w:r>
      <w:r w:rsidR="00237F45">
        <w:t>ārrobežu darījumiem gan attiecīb</w:t>
      </w:r>
      <w:r w:rsidR="00E75886">
        <w:t xml:space="preserve">ās starp uzņēmējiem, gan attiecībās starp uzņēmējiem un patērētājiem. </w:t>
      </w:r>
      <w:r w:rsidR="00237F45">
        <w:t>Līgumslēdzējiem tiek dota iespēja</w:t>
      </w:r>
      <w:r w:rsidR="0094026E">
        <w:t xml:space="preserve"> </w:t>
      </w:r>
      <w:r w:rsidR="00237F45">
        <w:t>izmantot</w:t>
      </w:r>
      <w:r w:rsidR="00B32916">
        <w:t xml:space="preserve"> nacionālo regulējumu, vai Vienotos Eiropas tirdzniecības noteikumus</w:t>
      </w:r>
      <w:r w:rsidR="0094026E">
        <w:t xml:space="preserve"> (regulas projektu)</w:t>
      </w:r>
      <w:r w:rsidR="00B32916">
        <w:t xml:space="preserve">. </w:t>
      </w:r>
    </w:p>
    <w:p w:rsidR="00C76C4E" w:rsidRPr="005B2904" w:rsidRDefault="00237F45" w:rsidP="00C76C4E">
      <w:pPr>
        <w:ind w:firstLine="709"/>
        <w:jc w:val="both"/>
        <w:rPr>
          <w:noProof/>
        </w:rPr>
      </w:pPr>
      <w:r>
        <w:rPr>
          <w:noProof/>
        </w:rPr>
        <w:t xml:space="preserve">Latvijas pozīcija šobrīd atrodas izstrādes stadijā, taču Latvija konceptuāli atbalsta </w:t>
      </w:r>
      <w:r w:rsidR="005415C7">
        <w:rPr>
          <w:noProof/>
        </w:rPr>
        <w:t>regulas projektu</w:t>
      </w:r>
      <w:r w:rsidR="00C76C4E">
        <w:rPr>
          <w:noProof/>
        </w:rPr>
        <w:t xml:space="preserve">. Latvija uzskata, ka ir nepieciešams </w:t>
      </w:r>
      <w:r w:rsidR="00C76C4E" w:rsidRPr="005B2904">
        <w:rPr>
          <w:noProof/>
        </w:rPr>
        <w:t>uzlabot iekšējā tirgus darbību, atvieglojot pārrobežu tirdzniecību uzņēmumiem un pārr</w:t>
      </w:r>
      <w:r w:rsidR="00C76C4E">
        <w:rPr>
          <w:noProof/>
        </w:rPr>
        <w:t xml:space="preserve">obežu iepirkšanos patērētājiem, </w:t>
      </w:r>
      <w:r w:rsidR="000D7BCD">
        <w:rPr>
          <w:noProof/>
        </w:rPr>
        <w:t>izveidojot</w:t>
      </w:r>
      <w:r w:rsidR="00C76C4E" w:rsidRPr="005B2904">
        <w:rPr>
          <w:noProof/>
        </w:rPr>
        <w:t xml:space="preserve"> vienveidīgu līgumtiesību noteikumu kopumu, proti, </w:t>
      </w:r>
      <w:r w:rsidR="00C76C4E">
        <w:rPr>
          <w:noProof/>
        </w:rPr>
        <w:t>v</w:t>
      </w:r>
      <w:r w:rsidR="00C76C4E" w:rsidRPr="005B2904">
        <w:rPr>
          <w:noProof/>
        </w:rPr>
        <w:t>ienotos E</w:t>
      </w:r>
      <w:r w:rsidR="00C76C4E">
        <w:rPr>
          <w:noProof/>
        </w:rPr>
        <w:t>iropas tirdzniecības noteikumus</w:t>
      </w:r>
      <w:r w:rsidR="00C76C4E" w:rsidRPr="005B2904">
        <w:rPr>
          <w:noProof/>
        </w:rPr>
        <w:t xml:space="preserve">. </w:t>
      </w:r>
    </w:p>
    <w:p w:rsidR="00E75886" w:rsidRDefault="003E6689" w:rsidP="00E75886">
      <w:pPr>
        <w:jc w:val="both"/>
      </w:pPr>
      <w:r>
        <w:tab/>
      </w:r>
    </w:p>
    <w:p w:rsidR="0082768C" w:rsidRPr="002173ED" w:rsidRDefault="0082768C" w:rsidP="00E75886">
      <w:pPr>
        <w:jc w:val="both"/>
        <w:rPr>
          <w:sz w:val="16"/>
          <w:szCs w:val="16"/>
        </w:rPr>
      </w:pPr>
    </w:p>
    <w:p w:rsidR="00A70AED" w:rsidRDefault="00A24B59">
      <w:pPr>
        <w:ind w:firstLine="720"/>
        <w:jc w:val="both"/>
        <w:rPr>
          <w:b/>
        </w:rPr>
      </w:pPr>
      <w:r w:rsidRPr="00A24B59">
        <w:rPr>
          <w:b/>
        </w:rPr>
        <w:t xml:space="preserve"> 6</w:t>
      </w:r>
      <w:r>
        <w:rPr>
          <w:b/>
        </w:rPr>
        <w:t xml:space="preserve">. </w:t>
      </w:r>
      <w:r w:rsidR="002724AB" w:rsidRPr="002724AB">
        <w:rPr>
          <w:b/>
        </w:rPr>
        <w:t>Priekšlikums Eiropas Parlamenta un Padomes Direktīva par tiesībām piekļūt advokātam kriminālprocesa ietvaros un tiesībām sazināties pēc aizturēšanas</w:t>
      </w:r>
    </w:p>
    <w:p w:rsidR="00B32916" w:rsidRDefault="00B32916" w:rsidP="00E75886">
      <w:pPr>
        <w:tabs>
          <w:tab w:val="left" w:pos="709"/>
          <w:tab w:val="left" w:pos="1843"/>
        </w:tabs>
        <w:jc w:val="both"/>
      </w:pPr>
      <w:r>
        <w:t xml:space="preserve">            Padomes sanāksmē Prezidentūra informē</w:t>
      </w:r>
      <w:r w:rsidR="000B43F3">
        <w:t>s</w:t>
      </w:r>
      <w:r>
        <w:t xml:space="preserve"> par panākto progresu d</w:t>
      </w:r>
      <w:r w:rsidR="00E75886" w:rsidRPr="003D1167">
        <w:t>irektīvas</w:t>
      </w:r>
      <w:r>
        <w:t xml:space="preserve"> projekta izstrādē. </w:t>
      </w:r>
    </w:p>
    <w:p w:rsidR="00E75886" w:rsidRPr="003D1167" w:rsidRDefault="00B32916" w:rsidP="00E75886">
      <w:pPr>
        <w:tabs>
          <w:tab w:val="left" w:pos="709"/>
          <w:tab w:val="left" w:pos="1843"/>
        </w:tabs>
        <w:jc w:val="both"/>
      </w:pPr>
      <w:r>
        <w:tab/>
        <w:t xml:space="preserve">Direktīvas projekta </w:t>
      </w:r>
      <w:r w:rsidR="00E75886" w:rsidRPr="003D1167">
        <w:t xml:space="preserve">mērķis ir noteikt kopējus </w:t>
      </w:r>
      <w:r w:rsidR="00E75886">
        <w:t xml:space="preserve">minimālos </w:t>
      </w:r>
      <w:r w:rsidR="00E75886" w:rsidRPr="003D1167">
        <w:t>standartus visā E</w:t>
      </w:r>
      <w:r w:rsidR="00E75886">
        <w:t>S</w:t>
      </w:r>
      <w:r w:rsidR="00E75886" w:rsidRPr="003D1167">
        <w:t xml:space="preserve"> attiecībā uz aizdomās turētu un apsūdzētu personu tiesībām kriminālprocesa ietvaros piekļūt advokātam un tiesībām pēc aizturēšanas sazināties ar trešo personu. </w:t>
      </w:r>
      <w:r w:rsidR="00E75886">
        <w:t xml:space="preserve">Direktīvas projekts </w:t>
      </w:r>
      <w:r w:rsidR="00E75886" w:rsidRPr="003D1167">
        <w:t>ir trešais solis pasākumu kopumā, kas paredzēti E</w:t>
      </w:r>
      <w:r w:rsidR="00E75886">
        <w:t>S</w:t>
      </w:r>
      <w:r w:rsidR="00E75886" w:rsidRPr="003D1167">
        <w:t xml:space="preserve"> Padomes Rezolūcijā par Procesuālo tiesību ceļvedi.</w:t>
      </w:r>
      <w:r w:rsidR="00E75886" w:rsidRPr="003D1167">
        <w:rPr>
          <w:rStyle w:val="Vresatsauce"/>
        </w:rPr>
        <w:footnoteReference w:id="2"/>
      </w:r>
      <w:r w:rsidR="00E75886" w:rsidRPr="003D1167">
        <w:t xml:space="preserve"> </w:t>
      </w:r>
      <w:r w:rsidR="00E75886">
        <w:t>Paredzēts, ka vi</w:t>
      </w:r>
      <w:r w:rsidR="00E75886" w:rsidRPr="003D1167">
        <w:t>enoti</w:t>
      </w:r>
      <w:r w:rsidR="00E75886">
        <w:t>e</w:t>
      </w:r>
      <w:r w:rsidR="00E75886" w:rsidRPr="003D1167">
        <w:t xml:space="preserve"> minim</w:t>
      </w:r>
      <w:r w:rsidR="00E75886">
        <w:t xml:space="preserve">ālie </w:t>
      </w:r>
      <w:r w:rsidR="00E75886" w:rsidRPr="003D1167">
        <w:t>standarti, kas attieksies uz tiesībām uz advokātu kriminālprocesā un tiesībām informēt par brīvības atņemšanu kriminālprocesā, uzlabo</w:t>
      </w:r>
      <w:r w:rsidR="00E75886">
        <w:t>s</w:t>
      </w:r>
      <w:r w:rsidR="00E75886" w:rsidRPr="003D1167">
        <w:t xml:space="preserve"> tiesu iestāžu savstarpēj</w:t>
      </w:r>
      <w:r w:rsidR="00E75886">
        <w:t>o</w:t>
      </w:r>
      <w:r w:rsidR="00E75886" w:rsidRPr="003D1167">
        <w:t xml:space="preserve"> uzticēšan</w:t>
      </w:r>
      <w:r w:rsidR="00E75886">
        <w:t xml:space="preserve">os </w:t>
      </w:r>
      <w:r w:rsidR="00E75886" w:rsidRPr="003D1167">
        <w:t>un veicin</w:t>
      </w:r>
      <w:r w:rsidR="00E75886">
        <w:t>ās</w:t>
      </w:r>
      <w:r w:rsidR="00E75886" w:rsidRPr="003D1167">
        <w:t xml:space="preserve"> savstarpējās atzīšanas principa piemērošan</w:t>
      </w:r>
      <w:r w:rsidR="00E75886">
        <w:t>u</w:t>
      </w:r>
      <w:r w:rsidR="00E75886" w:rsidRPr="003D1167">
        <w:t>.</w:t>
      </w:r>
      <w:r w:rsidR="002A0044">
        <w:t xml:space="preserve"> </w:t>
      </w:r>
    </w:p>
    <w:p w:rsidR="00E75886" w:rsidRDefault="00E75886" w:rsidP="00B32916">
      <w:pPr>
        <w:ind w:firstLine="709"/>
        <w:jc w:val="both"/>
      </w:pPr>
      <w:r w:rsidRPr="00BB47E7">
        <w:t xml:space="preserve">Š.g. </w:t>
      </w:r>
      <w:r w:rsidRPr="00E75886">
        <w:rPr>
          <w:bCs/>
        </w:rPr>
        <w:t>28. augustā</w:t>
      </w:r>
      <w:r w:rsidRPr="00BB47E7">
        <w:t xml:space="preserve"> </w:t>
      </w:r>
      <w:r w:rsidRPr="00E75886">
        <w:rPr>
          <w:bCs/>
        </w:rPr>
        <w:t xml:space="preserve">Ministru kabinetā </w:t>
      </w:r>
      <w:r w:rsidRPr="00BB47E7">
        <w:t xml:space="preserve">apstiprināta </w:t>
      </w:r>
      <w:r w:rsidRPr="00E75886">
        <w:rPr>
          <w:bCs/>
        </w:rPr>
        <w:t>Latvijas pozīcija par direktīvas projektu.</w:t>
      </w:r>
    </w:p>
    <w:p w:rsidR="00E75886" w:rsidRDefault="00E75886" w:rsidP="00E75886">
      <w:pPr>
        <w:pStyle w:val="Sarakstarindkopa"/>
        <w:ind w:left="1069"/>
        <w:jc w:val="both"/>
        <w:rPr>
          <w:b/>
          <w:sz w:val="16"/>
          <w:szCs w:val="16"/>
        </w:rPr>
      </w:pPr>
    </w:p>
    <w:p w:rsidR="0082768C" w:rsidRDefault="0082768C" w:rsidP="00E75886">
      <w:pPr>
        <w:pStyle w:val="Sarakstarindkopa"/>
        <w:ind w:left="1069"/>
        <w:jc w:val="both"/>
        <w:rPr>
          <w:b/>
          <w:sz w:val="16"/>
          <w:szCs w:val="16"/>
        </w:rPr>
      </w:pPr>
    </w:p>
    <w:p w:rsidR="0082768C" w:rsidRPr="002173ED" w:rsidRDefault="0082768C" w:rsidP="00E75886">
      <w:pPr>
        <w:pStyle w:val="Sarakstarindkopa"/>
        <w:ind w:left="1069"/>
        <w:jc w:val="both"/>
        <w:rPr>
          <w:b/>
          <w:sz w:val="16"/>
          <w:szCs w:val="16"/>
        </w:rPr>
      </w:pPr>
    </w:p>
    <w:p w:rsidR="00DC62A4" w:rsidRDefault="002A0044" w:rsidP="002A0044">
      <w:pPr>
        <w:ind w:firstLine="709"/>
        <w:jc w:val="both"/>
        <w:rPr>
          <w:b/>
        </w:rPr>
      </w:pPr>
      <w:r w:rsidRPr="002A0044">
        <w:rPr>
          <w:b/>
        </w:rPr>
        <w:lastRenderedPageBreak/>
        <w:t xml:space="preserve">7. </w:t>
      </w:r>
      <w:r w:rsidR="00DC62A4" w:rsidRPr="002A0044">
        <w:rPr>
          <w:b/>
        </w:rPr>
        <w:t>Priekšlikums Eiropas Parlamenta un Padomes Regulai, ar ko nosaka Tiesiskuma programmu 2014.–2020. </w:t>
      </w:r>
      <w:r>
        <w:rPr>
          <w:b/>
        </w:rPr>
        <w:t>g</w:t>
      </w:r>
      <w:r w:rsidR="00DC62A4" w:rsidRPr="002A0044">
        <w:rPr>
          <w:b/>
        </w:rPr>
        <w:t>adam</w:t>
      </w:r>
      <w:r>
        <w:rPr>
          <w:b/>
        </w:rPr>
        <w:t xml:space="preserve"> un pr</w:t>
      </w:r>
      <w:r w:rsidR="00DC62A4" w:rsidRPr="00DC62A4">
        <w:rPr>
          <w:b/>
        </w:rPr>
        <w:t xml:space="preserve">iekšlikums Eiropas Parlamenta un Padomes Regulai, ar ko nosaka Pamattiesību un pilsonības programmu 2014.–2020. gadam </w:t>
      </w:r>
    </w:p>
    <w:p w:rsidR="00E75886" w:rsidRPr="002A0044" w:rsidRDefault="002A0044" w:rsidP="002A0044">
      <w:pPr>
        <w:jc w:val="both"/>
        <w:rPr>
          <w:rFonts w:eastAsiaTheme="minorHAnsi"/>
        </w:rPr>
      </w:pPr>
      <w:r>
        <w:rPr>
          <w:b/>
        </w:rPr>
        <w:t xml:space="preserve"> </w:t>
      </w:r>
      <w:r>
        <w:rPr>
          <w:sz w:val="22"/>
          <w:szCs w:val="22"/>
        </w:rPr>
        <w:tab/>
      </w:r>
      <w:r w:rsidRPr="002A0044">
        <w:t>E</w:t>
      </w:r>
      <w:r w:rsidR="00E75886" w:rsidRPr="002A0044">
        <w:t>iropas Komisija ir nākusi klajā ar priekšlikumu Eiropas Parlamenta un Padomes regulai, ar kuru tiek izveidota Tieslietu programma 2014. – 2020.gadam un priekšlikumu Eiropas Parlamenta un Padomes regulai, ar kuru tiek izveidota Tiesību un pilsonības programma 2014. – 2020.gadam</w:t>
      </w:r>
      <w:r>
        <w:t>. Plānots, ka Padomes sanāksmē Eiropas Komisija prezentēs regul</w:t>
      </w:r>
      <w:r w:rsidR="000B43F3">
        <w:t xml:space="preserve">u </w:t>
      </w:r>
      <w:r>
        <w:t xml:space="preserve">projektus, bet to </w:t>
      </w:r>
      <w:r w:rsidR="00E75886" w:rsidRPr="002A0044">
        <w:rPr>
          <w:rFonts w:eastAsiaTheme="minorHAnsi"/>
        </w:rPr>
        <w:t xml:space="preserve">izskatīšana </w:t>
      </w:r>
      <w:r w:rsidR="00E75886" w:rsidRPr="002A0044">
        <w:t xml:space="preserve">ES Padomē tiks uzsākta Dānijas Prezidentūras laikā. </w:t>
      </w:r>
    </w:p>
    <w:p w:rsidR="00E75886" w:rsidRPr="002A0044" w:rsidRDefault="00E75886" w:rsidP="002A0044">
      <w:pPr>
        <w:autoSpaceDE w:val="0"/>
        <w:autoSpaceDN w:val="0"/>
        <w:adjustRightInd w:val="0"/>
        <w:ind w:firstLine="720"/>
        <w:jc w:val="both"/>
      </w:pPr>
      <w:r w:rsidRPr="002A0044">
        <w:t>Regul</w:t>
      </w:r>
      <w:r w:rsidR="000B43F3">
        <w:t xml:space="preserve">u projekti </w:t>
      </w:r>
      <w:r w:rsidRPr="002A0044">
        <w:t>ir jumta dokumenti ES finanšu programmu īstenošanai tieslietu, tiesību un pilsonības jomā. Regul</w:t>
      </w:r>
      <w:r w:rsidR="00B37166">
        <w:t xml:space="preserve">u projekti </w:t>
      </w:r>
      <w:r w:rsidRPr="002A0044">
        <w:t>paredz programmu mērķus, konkrētus sasniedzamos darbības mērķus, dalībniekus, programmām atvēlēto budžetu. Vi</w:t>
      </w:r>
      <w:r w:rsidR="00A21B0E">
        <w:t>enlaikus regulu projekti paredz</w:t>
      </w:r>
      <w:r w:rsidRPr="002A0044">
        <w:t>, ka, lai noteiktu programmu īstenošanas kārtību attiecībā uz katru nākamo gadu</w:t>
      </w:r>
      <w:r w:rsidR="003544B9">
        <w:t>,</w:t>
      </w:r>
      <w:r w:rsidRPr="002A0044">
        <w:t xml:space="preserve"> Eiropas Komisija izstrādā un pieņem darba programmu, īstenošanas aktu formā. Darba programmā, tostarp</w:t>
      </w:r>
      <w:r w:rsidR="003544B9">
        <w:t>,</w:t>
      </w:r>
      <w:r w:rsidRPr="002A0044">
        <w:t xml:space="preserve"> tiek paredzētas prioritātes attiecībā uz nākamajā periodā īstenojamām aktivitātēm. </w:t>
      </w:r>
    </w:p>
    <w:p w:rsidR="00E75886" w:rsidRPr="002173ED" w:rsidRDefault="00E75886" w:rsidP="00E75886">
      <w:pPr>
        <w:autoSpaceDE w:val="0"/>
        <w:autoSpaceDN w:val="0"/>
        <w:adjustRightInd w:val="0"/>
        <w:jc w:val="both"/>
        <w:rPr>
          <w:sz w:val="16"/>
          <w:szCs w:val="16"/>
        </w:rPr>
      </w:pPr>
    </w:p>
    <w:p w:rsidR="007316C5" w:rsidRPr="00453322" w:rsidRDefault="00453322" w:rsidP="00453322">
      <w:pPr>
        <w:ind w:firstLine="709"/>
        <w:jc w:val="both"/>
        <w:rPr>
          <w:b/>
        </w:rPr>
      </w:pPr>
      <w:r>
        <w:rPr>
          <w:b/>
        </w:rPr>
        <w:t>8. ES</w:t>
      </w:r>
      <w:r w:rsidR="007316C5" w:rsidRPr="00453322">
        <w:rPr>
          <w:b/>
        </w:rPr>
        <w:t xml:space="preserve"> pievienošanās Eiropas Cilvēktiesī</w:t>
      </w:r>
      <w:r>
        <w:rPr>
          <w:b/>
        </w:rPr>
        <w:t xml:space="preserve">bu un pamatbrīvību aizsardzības </w:t>
      </w:r>
      <w:r w:rsidR="007316C5" w:rsidRPr="00453322">
        <w:rPr>
          <w:b/>
        </w:rPr>
        <w:t>konvencijai (ECTK)</w:t>
      </w:r>
    </w:p>
    <w:p w:rsidR="00453322" w:rsidRPr="00453322" w:rsidRDefault="00453322" w:rsidP="007316C5">
      <w:pPr>
        <w:pStyle w:val="Pamatteksts2"/>
        <w:ind w:firstLine="709"/>
        <w:jc w:val="both"/>
        <w:rPr>
          <w:sz w:val="24"/>
          <w:szCs w:val="24"/>
        </w:rPr>
      </w:pPr>
      <w:r w:rsidRPr="00453322">
        <w:rPr>
          <w:sz w:val="24"/>
          <w:szCs w:val="24"/>
        </w:rPr>
        <w:t xml:space="preserve">Padomes sanāksmē </w:t>
      </w:r>
      <w:r w:rsidR="00F44A03">
        <w:rPr>
          <w:sz w:val="24"/>
          <w:szCs w:val="24"/>
        </w:rPr>
        <w:t xml:space="preserve">ministri </w:t>
      </w:r>
      <w:r w:rsidRPr="00453322">
        <w:rPr>
          <w:sz w:val="24"/>
          <w:szCs w:val="24"/>
        </w:rPr>
        <w:t xml:space="preserve">tiks </w:t>
      </w:r>
      <w:r w:rsidR="00F44A03">
        <w:rPr>
          <w:sz w:val="24"/>
          <w:szCs w:val="24"/>
        </w:rPr>
        <w:t xml:space="preserve">informēti </w:t>
      </w:r>
      <w:r w:rsidRPr="00453322">
        <w:rPr>
          <w:sz w:val="24"/>
          <w:szCs w:val="24"/>
        </w:rPr>
        <w:t>par panākto progresu un turpmāko rīcību saistībā ar ES pievienošanos ECTK.</w:t>
      </w:r>
      <w:r>
        <w:rPr>
          <w:sz w:val="24"/>
          <w:szCs w:val="24"/>
        </w:rPr>
        <w:t xml:space="preserve"> </w:t>
      </w:r>
    </w:p>
    <w:p w:rsidR="00C95D33" w:rsidRDefault="00C95D33" w:rsidP="007316C5">
      <w:pPr>
        <w:ind w:firstLine="720"/>
        <w:jc w:val="both"/>
      </w:pPr>
    </w:p>
    <w:p w:rsidR="001C09DB" w:rsidRPr="00EF59C6" w:rsidRDefault="001C09DB" w:rsidP="001C09DB">
      <w:pPr>
        <w:jc w:val="both"/>
      </w:pPr>
      <w:r w:rsidRPr="00EF59C6">
        <w:rPr>
          <w:b/>
          <w:u w:val="single"/>
        </w:rPr>
        <w:t>III Latvijas delegācija</w:t>
      </w:r>
    </w:p>
    <w:p w:rsidR="001C09DB" w:rsidRPr="00EF59C6" w:rsidRDefault="001C09DB" w:rsidP="001C09DB">
      <w:pPr>
        <w:pStyle w:val="Pamatteksts2"/>
        <w:jc w:val="both"/>
        <w:rPr>
          <w:sz w:val="24"/>
          <w:szCs w:val="24"/>
        </w:rPr>
      </w:pPr>
    </w:p>
    <w:p w:rsidR="001C09DB" w:rsidRPr="00EF59C6" w:rsidRDefault="001C09DB" w:rsidP="001C09DB">
      <w:pPr>
        <w:pStyle w:val="Pamatteksts2"/>
        <w:jc w:val="both"/>
        <w:rPr>
          <w:sz w:val="24"/>
          <w:szCs w:val="24"/>
        </w:rPr>
      </w:pPr>
      <w:r w:rsidRPr="00EF59C6">
        <w:rPr>
          <w:sz w:val="24"/>
          <w:szCs w:val="24"/>
        </w:rPr>
        <w:t>Delegācijas vadītājs:</w:t>
      </w:r>
    </w:p>
    <w:p w:rsidR="001C09DB" w:rsidRPr="00EF59C6" w:rsidRDefault="001C09DB" w:rsidP="001C09DB">
      <w:pPr>
        <w:pStyle w:val="Pamatteksts2"/>
        <w:ind w:left="2977" w:hanging="2171"/>
        <w:jc w:val="both"/>
        <w:rPr>
          <w:bCs/>
          <w:sz w:val="24"/>
          <w:szCs w:val="24"/>
        </w:rPr>
      </w:pPr>
      <w:r w:rsidRPr="00EF59C6">
        <w:rPr>
          <w:b/>
          <w:bCs/>
          <w:sz w:val="24"/>
          <w:szCs w:val="24"/>
        </w:rPr>
        <w:t xml:space="preserve"> </w:t>
      </w:r>
      <w:r w:rsidR="00E75886">
        <w:rPr>
          <w:b/>
          <w:bCs/>
          <w:sz w:val="24"/>
          <w:szCs w:val="24"/>
        </w:rPr>
        <w:t xml:space="preserve">                                  </w:t>
      </w:r>
      <w:r w:rsidR="00DC62A4">
        <w:rPr>
          <w:b/>
          <w:bCs/>
          <w:sz w:val="24"/>
          <w:szCs w:val="24"/>
        </w:rPr>
        <w:t>Gaidis Bērziņš</w:t>
      </w:r>
      <w:r w:rsidRPr="00EF59C6">
        <w:rPr>
          <w:sz w:val="24"/>
          <w:szCs w:val="24"/>
        </w:rPr>
        <w:t xml:space="preserve">, tieslietu ministrs. </w:t>
      </w:r>
    </w:p>
    <w:p w:rsidR="001C09DB" w:rsidRPr="00EF59C6" w:rsidRDefault="001C09DB" w:rsidP="001C09DB">
      <w:pPr>
        <w:pStyle w:val="Pamatteksts2"/>
        <w:ind w:left="2520" w:hanging="2520"/>
        <w:jc w:val="both"/>
        <w:rPr>
          <w:sz w:val="24"/>
          <w:szCs w:val="24"/>
        </w:rPr>
      </w:pPr>
    </w:p>
    <w:p w:rsidR="00E75886" w:rsidRDefault="001C09DB" w:rsidP="001C09DB">
      <w:pPr>
        <w:ind w:left="2977" w:hanging="2977"/>
        <w:jc w:val="both"/>
      </w:pPr>
      <w:r w:rsidRPr="00EF59C6">
        <w:t>Delegācijas dalībnieki:</w:t>
      </w:r>
      <w:r w:rsidRPr="00EF59C6">
        <w:tab/>
      </w:r>
      <w:r w:rsidR="00E75886" w:rsidRPr="00E75886">
        <w:rPr>
          <w:b/>
        </w:rPr>
        <w:t>Ilze Juhansone</w:t>
      </w:r>
      <w:r w:rsidR="00E75886">
        <w:t xml:space="preserve">, </w:t>
      </w:r>
      <w:r w:rsidR="00A62115">
        <w:t>ā</w:t>
      </w:r>
      <w:r w:rsidR="00A62115" w:rsidRPr="00FD3BE0">
        <w:rPr>
          <w:bCs/>
          <w:szCs w:val="28"/>
        </w:rPr>
        <w:t>rkārtēj</w:t>
      </w:r>
      <w:r w:rsidR="00A62115">
        <w:rPr>
          <w:bCs/>
          <w:szCs w:val="28"/>
        </w:rPr>
        <w:t xml:space="preserve">ā </w:t>
      </w:r>
      <w:r w:rsidR="00A62115" w:rsidRPr="00FD3BE0">
        <w:rPr>
          <w:bCs/>
          <w:szCs w:val="28"/>
        </w:rPr>
        <w:t>un pilnvarot</w:t>
      </w:r>
      <w:r w:rsidR="00A62115">
        <w:rPr>
          <w:bCs/>
          <w:szCs w:val="28"/>
        </w:rPr>
        <w:t xml:space="preserve">ā </w:t>
      </w:r>
      <w:r w:rsidR="00A62115" w:rsidRPr="00FD3BE0">
        <w:rPr>
          <w:bCs/>
          <w:szCs w:val="28"/>
        </w:rPr>
        <w:t>vēstniece Latvijas Republikas Pastāvīgajā pārstāvniecībā E</w:t>
      </w:r>
      <w:r w:rsidR="00A62115">
        <w:rPr>
          <w:bCs/>
          <w:szCs w:val="28"/>
        </w:rPr>
        <w:t>S</w:t>
      </w:r>
      <w:r w:rsidR="00E75886">
        <w:t xml:space="preserve">; </w:t>
      </w:r>
    </w:p>
    <w:p w:rsidR="001C09DB" w:rsidRPr="00EF59C6" w:rsidRDefault="001C09DB" w:rsidP="001C09DB">
      <w:pPr>
        <w:ind w:left="2977" w:hanging="2977"/>
        <w:jc w:val="both"/>
        <w:rPr>
          <w:bCs/>
        </w:rPr>
      </w:pPr>
      <w:r w:rsidRPr="00EF59C6">
        <w:t xml:space="preserve">                </w:t>
      </w:r>
      <w:r w:rsidR="00E75886">
        <w:t xml:space="preserve">                          </w:t>
      </w:r>
      <w:r w:rsidR="00DC62A4">
        <w:tab/>
      </w:r>
      <w:r w:rsidRPr="00EF59C6">
        <w:rPr>
          <w:b/>
          <w:bCs/>
        </w:rPr>
        <w:t>Inga Skujiņa</w:t>
      </w:r>
      <w:r w:rsidRPr="00EF59C6">
        <w:t>, Tieslietu ministrijas valsts sekretāra vietniece stratēģijas jautājumos;</w:t>
      </w:r>
    </w:p>
    <w:p w:rsidR="001C09DB" w:rsidRPr="00EF59C6" w:rsidRDefault="001C09DB" w:rsidP="001C09DB">
      <w:pPr>
        <w:ind w:left="2977"/>
        <w:jc w:val="both"/>
      </w:pPr>
      <w:r>
        <w:rPr>
          <w:b/>
        </w:rPr>
        <w:t>Vita Sliede</w:t>
      </w:r>
      <w:r w:rsidRPr="00EF59C6">
        <w:t xml:space="preserve">, tieslietu nozares padomniece Latvijas Republikas </w:t>
      </w:r>
      <w:r w:rsidRPr="00E75886">
        <w:rPr>
          <w:rStyle w:val="Izteiksmgs"/>
          <w:b w:val="0"/>
        </w:rPr>
        <w:t>Pastāvīgajā</w:t>
      </w:r>
      <w:r w:rsidRPr="00EF59C6">
        <w:t xml:space="preserve"> pārstāvniecībā ES; </w:t>
      </w:r>
    </w:p>
    <w:p w:rsidR="001C09DB" w:rsidRPr="00EF59C6" w:rsidRDefault="001C09DB" w:rsidP="001C09DB">
      <w:pPr>
        <w:ind w:left="2977"/>
        <w:jc w:val="both"/>
      </w:pPr>
      <w:r w:rsidRPr="00EF59C6">
        <w:rPr>
          <w:b/>
        </w:rPr>
        <w:t>Sandris Laganovskis</w:t>
      </w:r>
      <w:r w:rsidRPr="00EF59C6">
        <w:t xml:space="preserve">, tieslietu nozares padomnieks Latvijas Republikas </w:t>
      </w:r>
      <w:r w:rsidRPr="00E75886">
        <w:rPr>
          <w:rStyle w:val="Izteiksmgs"/>
          <w:b w:val="0"/>
        </w:rPr>
        <w:t>Pastāvīgajā</w:t>
      </w:r>
      <w:r w:rsidRPr="00EF59C6">
        <w:t xml:space="preserve"> pārstāvniecībā ES. </w:t>
      </w:r>
    </w:p>
    <w:p w:rsidR="001C09DB" w:rsidRDefault="001C09DB" w:rsidP="001C09DB">
      <w:pPr>
        <w:jc w:val="both"/>
      </w:pPr>
    </w:p>
    <w:p w:rsidR="00A24B59" w:rsidRDefault="00A24B59" w:rsidP="001C09DB">
      <w:pPr>
        <w:jc w:val="both"/>
      </w:pPr>
    </w:p>
    <w:p w:rsidR="00A24B59" w:rsidRPr="00EF59C6" w:rsidRDefault="00A24B59" w:rsidP="001C09DB">
      <w:pPr>
        <w:jc w:val="both"/>
      </w:pPr>
    </w:p>
    <w:p w:rsidR="001C09DB" w:rsidRPr="00EF59C6" w:rsidRDefault="001C09DB" w:rsidP="001C09DB">
      <w:pPr>
        <w:jc w:val="both"/>
      </w:pPr>
      <w:r w:rsidRPr="00EF59C6">
        <w:t>Tieslietu ministrs</w:t>
      </w:r>
      <w:r w:rsidRPr="00EF59C6">
        <w:tab/>
      </w:r>
      <w:r w:rsidRPr="00EF59C6">
        <w:tab/>
      </w:r>
      <w:r w:rsidRPr="00EF59C6">
        <w:tab/>
        <w:t xml:space="preserve">    </w:t>
      </w:r>
      <w:r w:rsidRPr="00EF59C6">
        <w:tab/>
      </w:r>
      <w:r w:rsidRPr="00EF59C6">
        <w:tab/>
        <w:t xml:space="preserve">                                     </w:t>
      </w:r>
      <w:r w:rsidR="002F480A">
        <w:t xml:space="preserve">             </w:t>
      </w:r>
      <w:r w:rsidR="003544B9">
        <w:t>G</w:t>
      </w:r>
      <w:r w:rsidRPr="00EF59C6">
        <w:t xml:space="preserve">. </w:t>
      </w:r>
      <w:r w:rsidR="003544B9">
        <w:t>Bērziņš</w:t>
      </w:r>
      <w:r w:rsidRPr="00EF59C6">
        <w:t xml:space="preserve"> </w:t>
      </w:r>
    </w:p>
    <w:p w:rsidR="002173ED" w:rsidRDefault="002173ED" w:rsidP="001C09DB">
      <w:pPr>
        <w:jc w:val="both"/>
        <w:rPr>
          <w:sz w:val="20"/>
          <w:szCs w:val="20"/>
        </w:rPr>
      </w:pPr>
    </w:p>
    <w:p w:rsidR="00A24B59" w:rsidRDefault="00A24B59" w:rsidP="001C09DB">
      <w:pPr>
        <w:jc w:val="both"/>
        <w:rPr>
          <w:sz w:val="20"/>
          <w:szCs w:val="20"/>
        </w:rPr>
      </w:pPr>
    </w:p>
    <w:p w:rsidR="001C09DB" w:rsidRPr="00A81D7E" w:rsidRDefault="00E75886" w:rsidP="001C09DB">
      <w:pPr>
        <w:jc w:val="both"/>
        <w:rPr>
          <w:sz w:val="20"/>
          <w:szCs w:val="20"/>
        </w:rPr>
      </w:pPr>
      <w:r w:rsidRPr="00A81D7E">
        <w:rPr>
          <w:sz w:val="20"/>
          <w:szCs w:val="20"/>
        </w:rPr>
        <w:t>07</w:t>
      </w:r>
      <w:r w:rsidR="001C09DB" w:rsidRPr="00A81D7E">
        <w:rPr>
          <w:sz w:val="20"/>
          <w:szCs w:val="20"/>
        </w:rPr>
        <w:t>.</w:t>
      </w:r>
      <w:r w:rsidRPr="00A81D7E">
        <w:rPr>
          <w:sz w:val="20"/>
          <w:szCs w:val="20"/>
        </w:rPr>
        <w:t>12</w:t>
      </w:r>
      <w:r w:rsidR="001C09DB" w:rsidRPr="00A81D7E">
        <w:rPr>
          <w:sz w:val="20"/>
          <w:szCs w:val="20"/>
        </w:rPr>
        <w:t xml:space="preserve">.2011 </w:t>
      </w:r>
      <w:r w:rsidR="002A0044" w:rsidRPr="00A81D7E">
        <w:rPr>
          <w:sz w:val="20"/>
          <w:szCs w:val="20"/>
        </w:rPr>
        <w:t>15</w:t>
      </w:r>
      <w:r w:rsidR="001C09DB" w:rsidRPr="00A81D7E">
        <w:rPr>
          <w:sz w:val="20"/>
          <w:szCs w:val="20"/>
        </w:rPr>
        <w:t>:</w:t>
      </w:r>
      <w:r w:rsidR="002A0044" w:rsidRPr="00A81D7E">
        <w:rPr>
          <w:sz w:val="20"/>
          <w:szCs w:val="20"/>
        </w:rPr>
        <w:t>00</w:t>
      </w:r>
    </w:p>
    <w:p w:rsidR="001C09DB" w:rsidRPr="00D43D8E" w:rsidRDefault="00A24B59" w:rsidP="001C09DB">
      <w:pPr>
        <w:jc w:val="both"/>
        <w:rPr>
          <w:sz w:val="20"/>
          <w:szCs w:val="20"/>
        </w:rPr>
      </w:pPr>
      <w:bookmarkStart w:id="8" w:name="_GoBack"/>
      <w:bookmarkEnd w:id="8"/>
      <w:r w:rsidRPr="00A81D7E">
        <w:rPr>
          <w:sz w:val="20"/>
          <w:szCs w:val="20"/>
        </w:rPr>
        <w:t>1</w:t>
      </w:r>
      <w:r>
        <w:rPr>
          <w:sz w:val="20"/>
          <w:szCs w:val="20"/>
        </w:rPr>
        <w:t>533</w:t>
      </w:r>
    </w:p>
    <w:p w:rsidR="002A0044" w:rsidRDefault="002A0044" w:rsidP="001C09DB">
      <w:pPr>
        <w:jc w:val="both"/>
        <w:rPr>
          <w:sz w:val="20"/>
          <w:szCs w:val="20"/>
        </w:rPr>
      </w:pPr>
      <w:r>
        <w:rPr>
          <w:sz w:val="20"/>
          <w:szCs w:val="20"/>
        </w:rPr>
        <w:t xml:space="preserve">Anna Skrjabina </w:t>
      </w:r>
    </w:p>
    <w:p w:rsidR="002A0044" w:rsidRDefault="002A0044" w:rsidP="001C09DB">
      <w:pPr>
        <w:jc w:val="both"/>
        <w:rPr>
          <w:sz w:val="20"/>
          <w:szCs w:val="20"/>
        </w:rPr>
      </w:pPr>
      <w:r>
        <w:rPr>
          <w:sz w:val="20"/>
          <w:szCs w:val="20"/>
        </w:rPr>
        <w:t xml:space="preserve">67036915, </w:t>
      </w:r>
      <w:hyperlink r:id="rId8" w:history="1">
        <w:r w:rsidRPr="00F24244">
          <w:rPr>
            <w:rStyle w:val="Hipersaite"/>
            <w:sz w:val="20"/>
            <w:szCs w:val="20"/>
          </w:rPr>
          <w:t>Anna.Skrjabina@tm.gov.lv</w:t>
        </w:r>
      </w:hyperlink>
      <w:r>
        <w:rPr>
          <w:sz w:val="20"/>
          <w:szCs w:val="20"/>
        </w:rPr>
        <w:t xml:space="preserve"> </w:t>
      </w:r>
    </w:p>
    <w:p w:rsidR="001C09DB" w:rsidRPr="00D43D8E" w:rsidRDefault="001C09DB" w:rsidP="001C09DB">
      <w:pPr>
        <w:jc w:val="both"/>
        <w:rPr>
          <w:sz w:val="20"/>
          <w:szCs w:val="20"/>
        </w:rPr>
      </w:pPr>
      <w:r w:rsidRPr="00D43D8E">
        <w:rPr>
          <w:sz w:val="20"/>
          <w:szCs w:val="20"/>
        </w:rPr>
        <w:t>Katrīna Veismane</w:t>
      </w:r>
    </w:p>
    <w:p w:rsidR="001C09DB" w:rsidRPr="00D43D8E" w:rsidRDefault="001C09DB" w:rsidP="001C09DB">
      <w:pPr>
        <w:jc w:val="both"/>
        <w:rPr>
          <w:sz w:val="20"/>
          <w:szCs w:val="20"/>
        </w:rPr>
      </w:pPr>
      <w:r w:rsidRPr="00D43D8E">
        <w:rPr>
          <w:sz w:val="20"/>
          <w:szCs w:val="20"/>
        </w:rPr>
        <w:t xml:space="preserve">67036914, </w:t>
      </w:r>
      <w:hyperlink r:id="rId9" w:history="1">
        <w:r w:rsidRPr="00D43D8E">
          <w:rPr>
            <w:rStyle w:val="Hipersaite"/>
            <w:sz w:val="20"/>
            <w:szCs w:val="20"/>
          </w:rPr>
          <w:t>Katrina.Veismane@tm.gov.lv</w:t>
        </w:r>
      </w:hyperlink>
    </w:p>
    <w:p w:rsidR="00D43D8E" w:rsidRDefault="00D43D8E" w:rsidP="001C09DB">
      <w:pPr>
        <w:jc w:val="both"/>
        <w:rPr>
          <w:sz w:val="20"/>
          <w:szCs w:val="20"/>
        </w:rPr>
      </w:pPr>
      <w:r w:rsidRPr="00D43D8E">
        <w:rPr>
          <w:sz w:val="20"/>
          <w:szCs w:val="20"/>
        </w:rPr>
        <w:t>Dace Vītola</w:t>
      </w:r>
    </w:p>
    <w:p w:rsidR="00D43D8E" w:rsidRDefault="00D43D8E" w:rsidP="001C09DB">
      <w:pPr>
        <w:jc w:val="both"/>
        <w:rPr>
          <w:sz w:val="20"/>
          <w:szCs w:val="20"/>
        </w:rPr>
      </w:pPr>
      <w:r>
        <w:rPr>
          <w:sz w:val="20"/>
          <w:szCs w:val="20"/>
        </w:rPr>
        <w:t xml:space="preserve">67036913, </w:t>
      </w:r>
      <w:hyperlink r:id="rId10" w:history="1">
        <w:r w:rsidRPr="00F24244">
          <w:rPr>
            <w:rStyle w:val="Hipersaite"/>
            <w:sz w:val="20"/>
            <w:szCs w:val="20"/>
          </w:rPr>
          <w:t>Dace.Vitola@tm.gov.lv</w:t>
        </w:r>
      </w:hyperlink>
      <w:r>
        <w:rPr>
          <w:sz w:val="20"/>
          <w:szCs w:val="20"/>
        </w:rPr>
        <w:t xml:space="preserve">   </w:t>
      </w:r>
    </w:p>
    <w:p w:rsidR="00D43D8E" w:rsidRDefault="00D43D8E" w:rsidP="001C09DB">
      <w:pPr>
        <w:jc w:val="both"/>
        <w:rPr>
          <w:sz w:val="20"/>
          <w:szCs w:val="20"/>
        </w:rPr>
      </w:pPr>
      <w:r>
        <w:rPr>
          <w:sz w:val="20"/>
          <w:szCs w:val="20"/>
        </w:rPr>
        <w:t xml:space="preserve">Liene Jenča </w:t>
      </w:r>
    </w:p>
    <w:p w:rsidR="00CD76F3" w:rsidRPr="00E75886" w:rsidRDefault="00D43D8E" w:rsidP="00D43D8E">
      <w:pPr>
        <w:jc w:val="both"/>
        <w:rPr>
          <w:sz w:val="20"/>
          <w:szCs w:val="20"/>
        </w:rPr>
      </w:pPr>
      <w:r>
        <w:rPr>
          <w:sz w:val="20"/>
          <w:szCs w:val="20"/>
        </w:rPr>
        <w:t xml:space="preserve">67036936, </w:t>
      </w:r>
      <w:hyperlink r:id="rId11" w:history="1">
        <w:r w:rsidRPr="00F24244">
          <w:rPr>
            <w:rStyle w:val="Hipersaite"/>
            <w:sz w:val="20"/>
            <w:szCs w:val="20"/>
          </w:rPr>
          <w:t>Liene.Jenca@tm.gov.lv</w:t>
        </w:r>
      </w:hyperlink>
      <w:r>
        <w:rPr>
          <w:sz w:val="20"/>
          <w:szCs w:val="20"/>
        </w:rPr>
        <w:t xml:space="preserve"> </w:t>
      </w:r>
    </w:p>
    <w:sectPr w:rsidR="00CD76F3" w:rsidRPr="00E75886" w:rsidSect="002F480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38" w:rsidRDefault="00895038" w:rsidP="001C09DB">
      <w:r>
        <w:separator/>
      </w:r>
    </w:p>
  </w:endnote>
  <w:endnote w:type="continuationSeparator" w:id="0">
    <w:p w:rsidR="00895038" w:rsidRDefault="00895038" w:rsidP="001C0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ED" w:rsidRDefault="00453322">
    <w:pPr>
      <w:jc w:val="both"/>
    </w:pPr>
    <w:r>
      <w:rPr>
        <w:i/>
        <w:sz w:val="20"/>
        <w:szCs w:val="20"/>
      </w:rPr>
      <w:t>TMzino_0712</w:t>
    </w:r>
    <w:r w:rsidRPr="000531E0">
      <w:rPr>
        <w:i/>
        <w:sz w:val="20"/>
        <w:szCs w:val="20"/>
      </w:rPr>
      <w:t xml:space="preserve">11_JHAC; informatīvais </w:t>
    </w:r>
    <w:smartTag w:uri="schemas-tilde-lv/tildestengine" w:element="veidnes">
      <w:smartTagPr>
        <w:attr w:name="text" w:val="ziņojums"/>
        <w:attr w:name="baseform" w:val="ziņojums"/>
        <w:attr w:name="id" w:val="-1"/>
      </w:smartTagPr>
      <w:r w:rsidRPr="000531E0">
        <w:rPr>
          <w:i/>
          <w:sz w:val="20"/>
          <w:szCs w:val="20"/>
        </w:rPr>
        <w:t>ziņojums</w:t>
      </w:r>
    </w:smartTag>
    <w:r w:rsidRPr="000531E0">
      <w:rPr>
        <w:i/>
        <w:sz w:val="20"/>
        <w:szCs w:val="20"/>
      </w:rPr>
      <w:t xml:space="preserve"> </w:t>
    </w:r>
    <w:r w:rsidRPr="000531E0">
      <w:rPr>
        <w:bCs/>
        <w:i/>
        <w:sz w:val="20"/>
        <w:szCs w:val="20"/>
      </w:rPr>
      <w:t xml:space="preserve">par </w:t>
    </w:r>
    <w:r w:rsidRPr="000531E0">
      <w:rPr>
        <w:i/>
        <w:sz w:val="20"/>
        <w:szCs w:val="20"/>
      </w:rPr>
      <w:t xml:space="preserve">Tieslietu un iekšlietu ministru padomes </w:t>
    </w:r>
    <w:r w:rsidRPr="000531E0">
      <w:rPr>
        <w:bCs/>
        <w:i/>
        <w:sz w:val="20"/>
        <w:szCs w:val="20"/>
      </w:rPr>
      <w:t xml:space="preserve">2011. gada </w:t>
    </w:r>
    <w:r>
      <w:rPr>
        <w:i/>
        <w:sz w:val="20"/>
        <w:szCs w:val="20"/>
      </w:rPr>
      <w:t>13</w:t>
    </w:r>
    <w:r w:rsidRPr="000531E0">
      <w:rPr>
        <w:i/>
        <w:sz w:val="20"/>
        <w:szCs w:val="20"/>
      </w:rPr>
      <w:t>.-</w:t>
    </w:r>
    <w:r>
      <w:rPr>
        <w:i/>
        <w:sz w:val="20"/>
        <w:szCs w:val="20"/>
      </w:rPr>
      <w:t>14</w:t>
    </w:r>
    <w:r w:rsidRPr="000531E0">
      <w:rPr>
        <w:i/>
        <w:sz w:val="20"/>
        <w:szCs w:val="20"/>
      </w:rPr>
      <w:t>. </w:t>
    </w:r>
    <w:r>
      <w:rPr>
        <w:i/>
        <w:sz w:val="20"/>
        <w:szCs w:val="20"/>
      </w:rPr>
      <w:t>dec</w:t>
    </w:r>
    <w:r w:rsidRPr="000531E0">
      <w:rPr>
        <w:i/>
        <w:sz w:val="20"/>
        <w:szCs w:val="20"/>
      </w:rPr>
      <w:t>embra</w:t>
    </w:r>
    <w:r w:rsidRPr="000531E0">
      <w:rPr>
        <w:bCs/>
        <w:i/>
        <w:sz w:val="20"/>
        <w:szCs w:val="20"/>
      </w:rPr>
      <w:t xml:space="preserve"> </w:t>
    </w:r>
    <w:r w:rsidRPr="000531E0">
      <w:rPr>
        <w:i/>
        <w:sz w:val="20"/>
        <w:szCs w:val="20"/>
      </w:rPr>
      <w:t>sanāksm</w:t>
    </w:r>
    <w:r w:rsidRPr="000531E0">
      <w:rPr>
        <w:bCs/>
        <w:i/>
        <w:sz w:val="20"/>
        <w:szCs w:val="20"/>
      </w:rPr>
      <w:t>ē izskatāmajiem jautājumiem</w:t>
    </w:r>
    <w:r w:rsidRPr="00582F4E">
      <w:rPr>
        <w:bCs/>
        <w:i/>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ED" w:rsidRDefault="00453322">
    <w:pPr>
      <w:jc w:val="both"/>
    </w:pPr>
    <w:r>
      <w:rPr>
        <w:i/>
        <w:sz w:val="20"/>
        <w:szCs w:val="20"/>
      </w:rPr>
      <w:t>TMzino_0712</w:t>
    </w:r>
    <w:r w:rsidRPr="000531E0">
      <w:rPr>
        <w:i/>
        <w:sz w:val="20"/>
        <w:szCs w:val="20"/>
      </w:rPr>
      <w:t xml:space="preserve">11_JHAC; informatīvais </w:t>
    </w:r>
    <w:smartTag w:uri="schemas-tilde-lv/tildestengine" w:element="veidnes">
      <w:smartTagPr>
        <w:attr w:name="text" w:val="ziņojums"/>
        <w:attr w:name="baseform" w:val="ziņojums"/>
        <w:attr w:name="id" w:val="-1"/>
      </w:smartTagPr>
      <w:r w:rsidRPr="000531E0">
        <w:rPr>
          <w:i/>
          <w:sz w:val="20"/>
          <w:szCs w:val="20"/>
        </w:rPr>
        <w:t>ziņojums</w:t>
      </w:r>
    </w:smartTag>
    <w:r w:rsidRPr="000531E0">
      <w:rPr>
        <w:i/>
        <w:sz w:val="20"/>
        <w:szCs w:val="20"/>
      </w:rPr>
      <w:t xml:space="preserve"> </w:t>
    </w:r>
    <w:r w:rsidRPr="000531E0">
      <w:rPr>
        <w:bCs/>
        <w:i/>
        <w:sz w:val="20"/>
        <w:szCs w:val="20"/>
      </w:rPr>
      <w:t xml:space="preserve">par </w:t>
    </w:r>
    <w:r w:rsidRPr="000531E0">
      <w:rPr>
        <w:i/>
        <w:sz w:val="20"/>
        <w:szCs w:val="20"/>
      </w:rPr>
      <w:t xml:space="preserve">Tieslietu un iekšlietu ministru padomes </w:t>
    </w:r>
    <w:r w:rsidRPr="000531E0">
      <w:rPr>
        <w:bCs/>
        <w:i/>
        <w:sz w:val="20"/>
        <w:szCs w:val="20"/>
      </w:rPr>
      <w:t xml:space="preserve">2011. gada </w:t>
    </w:r>
    <w:r>
      <w:rPr>
        <w:i/>
        <w:sz w:val="20"/>
        <w:szCs w:val="20"/>
      </w:rPr>
      <w:t>13</w:t>
    </w:r>
    <w:r w:rsidRPr="000531E0">
      <w:rPr>
        <w:i/>
        <w:sz w:val="20"/>
        <w:szCs w:val="20"/>
      </w:rPr>
      <w:t>.-</w:t>
    </w:r>
    <w:r>
      <w:rPr>
        <w:i/>
        <w:sz w:val="20"/>
        <w:szCs w:val="20"/>
      </w:rPr>
      <w:t>14</w:t>
    </w:r>
    <w:r w:rsidRPr="000531E0">
      <w:rPr>
        <w:i/>
        <w:sz w:val="20"/>
        <w:szCs w:val="20"/>
      </w:rPr>
      <w:t>. </w:t>
    </w:r>
    <w:r>
      <w:rPr>
        <w:i/>
        <w:sz w:val="20"/>
        <w:szCs w:val="20"/>
      </w:rPr>
      <w:t>dec</w:t>
    </w:r>
    <w:r w:rsidRPr="000531E0">
      <w:rPr>
        <w:i/>
        <w:sz w:val="20"/>
        <w:szCs w:val="20"/>
      </w:rPr>
      <w:t>embra</w:t>
    </w:r>
    <w:r w:rsidRPr="000531E0">
      <w:rPr>
        <w:bCs/>
        <w:i/>
        <w:sz w:val="20"/>
        <w:szCs w:val="20"/>
      </w:rPr>
      <w:t xml:space="preserve"> </w:t>
    </w:r>
    <w:r w:rsidRPr="000531E0">
      <w:rPr>
        <w:i/>
        <w:sz w:val="20"/>
        <w:szCs w:val="20"/>
      </w:rPr>
      <w:t>sanāksm</w:t>
    </w:r>
    <w:r w:rsidRPr="000531E0">
      <w:rPr>
        <w:bCs/>
        <w:i/>
        <w:sz w:val="20"/>
        <w:szCs w:val="20"/>
      </w:rPr>
      <w:t>ē izskatāmajiem jautājumiem</w:t>
    </w:r>
    <w:r w:rsidRPr="00582F4E">
      <w:rPr>
        <w:bCs/>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38" w:rsidRDefault="00895038" w:rsidP="001C09DB">
      <w:r>
        <w:separator/>
      </w:r>
    </w:p>
  </w:footnote>
  <w:footnote w:type="continuationSeparator" w:id="0">
    <w:p w:rsidR="00895038" w:rsidRDefault="00895038" w:rsidP="001C09DB">
      <w:r>
        <w:continuationSeparator/>
      </w:r>
    </w:p>
  </w:footnote>
  <w:footnote w:id="1">
    <w:p w:rsidR="00453322" w:rsidRDefault="00453322" w:rsidP="005B636B">
      <w:pPr>
        <w:pStyle w:val="Vresteksts"/>
        <w:ind w:left="0" w:firstLine="0"/>
        <w:rPr>
          <w:i/>
        </w:rPr>
      </w:pPr>
      <w:r w:rsidRPr="004D2F9D">
        <w:rPr>
          <w:rStyle w:val="Vresatsauce"/>
          <w:i/>
        </w:rPr>
        <w:footnoteRef/>
      </w:r>
      <w:r w:rsidRPr="004D2F9D">
        <w:rPr>
          <w:i/>
        </w:rPr>
        <w:t xml:space="preserve"> Eiropas Savienības Padomes </w:t>
      </w:r>
      <w:smartTag w:uri="schemas-tilde-lv/tildestengine" w:element="date">
        <w:smartTagPr>
          <w:attr w:name="Year" w:val="2000"/>
          <w:attr w:name="Month" w:val="12"/>
          <w:attr w:name="Day" w:val="22"/>
        </w:smartTagPr>
        <w:r w:rsidRPr="004D2F9D">
          <w:rPr>
            <w:i/>
          </w:rPr>
          <w:t>2000.gada 22.decembra</w:t>
        </w:r>
      </w:smartTag>
      <w:r w:rsidRPr="004D2F9D">
        <w:rPr>
          <w:i/>
        </w:rPr>
        <w:t xml:space="preserve"> Regula (EK) Nr.44/2001 par jurisdikciju un spriedumu atzīšanu un izpildi civillietās un komerclietās</w:t>
      </w:r>
    </w:p>
    <w:p w:rsidR="00453322" w:rsidRPr="004D2F9D" w:rsidRDefault="00453322" w:rsidP="005B636B">
      <w:pPr>
        <w:pStyle w:val="Vresteksts"/>
        <w:ind w:left="0" w:firstLine="0"/>
        <w:rPr>
          <w:i/>
        </w:rPr>
      </w:pPr>
    </w:p>
  </w:footnote>
  <w:footnote w:id="2">
    <w:p w:rsidR="00453322" w:rsidRDefault="00453322" w:rsidP="00E75886">
      <w:pPr>
        <w:pStyle w:val="Vresteksts"/>
      </w:pPr>
      <w:r>
        <w:rPr>
          <w:rStyle w:val="Vresatsauce"/>
        </w:rPr>
        <w:footnoteRef/>
      </w:r>
      <w:r>
        <w:t xml:space="preserve"> </w:t>
      </w:r>
      <w:r w:rsidRPr="00F21E02">
        <w:rPr>
          <w:noProof/>
        </w:rPr>
        <w:t xml:space="preserve">Rezolūciju Eiropas Savienības Padome </w:t>
      </w:r>
      <w:r>
        <w:rPr>
          <w:noProof/>
        </w:rPr>
        <w:t>pieņēma 2009. gada 30. novembrī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22" w:rsidRDefault="00A70AED">
    <w:pPr>
      <w:pStyle w:val="Galvene"/>
      <w:framePr w:wrap="auto" w:vAnchor="text" w:hAnchor="margin" w:xAlign="center" w:y="1"/>
      <w:rPr>
        <w:rStyle w:val="Lappusesnumurs"/>
      </w:rPr>
    </w:pPr>
    <w:r>
      <w:rPr>
        <w:rStyle w:val="Lappusesnumurs"/>
      </w:rPr>
      <w:fldChar w:fldCharType="begin"/>
    </w:r>
    <w:r w:rsidR="00453322">
      <w:rPr>
        <w:rStyle w:val="Lappusesnumurs"/>
      </w:rPr>
      <w:instrText xml:space="preserve">PAGE  </w:instrText>
    </w:r>
    <w:r>
      <w:rPr>
        <w:rStyle w:val="Lappusesnumurs"/>
      </w:rPr>
      <w:fldChar w:fldCharType="separate"/>
    </w:r>
    <w:r w:rsidR="001101B7">
      <w:rPr>
        <w:rStyle w:val="Lappusesnumurs"/>
        <w:noProof/>
      </w:rPr>
      <w:t>4</w:t>
    </w:r>
    <w:r>
      <w:rPr>
        <w:rStyle w:val="Lappusesnumurs"/>
      </w:rPr>
      <w:fldChar w:fldCharType="end"/>
    </w:r>
  </w:p>
  <w:p w:rsidR="00453322" w:rsidRDefault="00453322">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F6"/>
    <w:multiLevelType w:val="hybridMultilevel"/>
    <w:tmpl w:val="F582211A"/>
    <w:lvl w:ilvl="0" w:tplc="D360BCB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6646C7D"/>
    <w:multiLevelType w:val="hybridMultilevel"/>
    <w:tmpl w:val="68CE06C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FA1484F"/>
    <w:multiLevelType w:val="hybridMultilevel"/>
    <w:tmpl w:val="74BA7A2C"/>
    <w:lvl w:ilvl="0" w:tplc="97B0D35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D649E4"/>
    <w:multiLevelType w:val="hybridMultilevel"/>
    <w:tmpl w:val="79FE96F6"/>
    <w:lvl w:ilvl="0" w:tplc="B120C7BE">
      <w:start w:val="1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A3F1BF4"/>
    <w:multiLevelType w:val="hybridMultilevel"/>
    <w:tmpl w:val="109474CA"/>
    <w:lvl w:ilvl="0" w:tplc="873C8EC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6">
    <w:nsid w:val="2AB766AB"/>
    <w:multiLevelType w:val="hybridMultilevel"/>
    <w:tmpl w:val="129073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0E25A4"/>
    <w:multiLevelType w:val="hybridMultilevel"/>
    <w:tmpl w:val="F06620BC"/>
    <w:lvl w:ilvl="0" w:tplc="28A0E0E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3CE425B2"/>
    <w:multiLevelType w:val="hybridMultilevel"/>
    <w:tmpl w:val="2A6A9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E4103FD"/>
    <w:multiLevelType w:val="hybridMultilevel"/>
    <w:tmpl w:val="1E48F256"/>
    <w:lvl w:ilvl="0" w:tplc="752A3C28">
      <w:start w:val="4"/>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0">
    <w:nsid w:val="479B4197"/>
    <w:multiLevelType w:val="hybridMultilevel"/>
    <w:tmpl w:val="4DEE1E3A"/>
    <w:lvl w:ilvl="0" w:tplc="E662F90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1">
    <w:nsid w:val="65123CA0"/>
    <w:multiLevelType w:val="hybridMultilevel"/>
    <w:tmpl w:val="0974030A"/>
    <w:lvl w:ilvl="0" w:tplc="080C000F">
      <w:start w:val="1"/>
      <w:numFmt w:val="decimal"/>
      <w:lvlText w:val="%1."/>
      <w:lvlJc w:val="left"/>
      <w:pPr>
        <w:tabs>
          <w:tab w:val="num" w:pos="720"/>
        </w:tabs>
        <w:ind w:left="720" w:hanging="360"/>
      </w:pPr>
    </w:lvl>
    <w:lvl w:ilvl="1" w:tplc="4570510E">
      <w:numFmt w:val="bullet"/>
      <w:lvlText w:val="–"/>
      <w:lvlJc w:val="left"/>
      <w:pPr>
        <w:tabs>
          <w:tab w:val="num" w:pos="1650"/>
        </w:tabs>
        <w:ind w:left="1650" w:hanging="570"/>
      </w:pPr>
      <w:rPr>
        <w:rFonts w:ascii="Times New Roman" w:eastAsia="Times New Roman" w:hAnsi="Times New Roman" w:hint="default"/>
      </w:rPr>
    </w:lvl>
    <w:lvl w:ilvl="2" w:tplc="EA3CAF66">
      <w:start w:val="1"/>
      <w:numFmt w:val="lowerLetter"/>
      <w:lvlText w:val="(%3)"/>
      <w:lvlJc w:val="left"/>
      <w:pPr>
        <w:tabs>
          <w:tab w:val="num" w:pos="2340"/>
        </w:tabs>
        <w:ind w:left="2340" w:hanging="36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2">
    <w:nsid w:val="78523140"/>
    <w:multiLevelType w:val="hybridMultilevel"/>
    <w:tmpl w:val="EDAC6750"/>
    <w:lvl w:ilvl="0" w:tplc="46ACADB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0"/>
  </w:num>
  <w:num w:numId="6">
    <w:abstractNumId w:val="12"/>
  </w:num>
  <w:num w:numId="7">
    <w:abstractNumId w:val="2"/>
  </w:num>
  <w:num w:numId="8">
    <w:abstractNumId w:val="1"/>
  </w:num>
  <w:num w:numId="9">
    <w:abstractNumId w:val="11"/>
  </w:num>
  <w:num w:numId="10">
    <w:abstractNumId w:val="9"/>
  </w:num>
  <w:num w:numId="11">
    <w:abstractNumId w:val="6"/>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09DB"/>
    <w:rsid w:val="00026A38"/>
    <w:rsid w:val="00035797"/>
    <w:rsid w:val="00076D7E"/>
    <w:rsid w:val="00087190"/>
    <w:rsid w:val="000B43F3"/>
    <w:rsid w:val="000B7872"/>
    <w:rsid w:val="000C2318"/>
    <w:rsid w:val="000C3BBE"/>
    <w:rsid w:val="000D7BCD"/>
    <w:rsid w:val="000E6911"/>
    <w:rsid w:val="000F6FA0"/>
    <w:rsid w:val="00104C2A"/>
    <w:rsid w:val="001101B7"/>
    <w:rsid w:val="001310C6"/>
    <w:rsid w:val="00143BD0"/>
    <w:rsid w:val="0018209C"/>
    <w:rsid w:val="001C09DB"/>
    <w:rsid w:val="001D259F"/>
    <w:rsid w:val="001D608D"/>
    <w:rsid w:val="001D70EE"/>
    <w:rsid w:val="001E761A"/>
    <w:rsid w:val="00200692"/>
    <w:rsid w:val="002033D4"/>
    <w:rsid w:val="00203860"/>
    <w:rsid w:val="002173ED"/>
    <w:rsid w:val="00237F45"/>
    <w:rsid w:val="002723B1"/>
    <w:rsid w:val="002724AB"/>
    <w:rsid w:val="002A0044"/>
    <w:rsid w:val="002C3FA3"/>
    <w:rsid w:val="002D0C6A"/>
    <w:rsid w:val="002D695B"/>
    <w:rsid w:val="002F480A"/>
    <w:rsid w:val="003014B5"/>
    <w:rsid w:val="00311702"/>
    <w:rsid w:val="0031264A"/>
    <w:rsid w:val="003442F3"/>
    <w:rsid w:val="003525CE"/>
    <w:rsid w:val="003544B9"/>
    <w:rsid w:val="00390EA8"/>
    <w:rsid w:val="003A0959"/>
    <w:rsid w:val="003C6FC3"/>
    <w:rsid w:val="003D2C23"/>
    <w:rsid w:val="003E6689"/>
    <w:rsid w:val="003F27E7"/>
    <w:rsid w:val="00442D16"/>
    <w:rsid w:val="00453322"/>
    <w:rsid w:val="0046459C"/>
    <w:rsid w:val="0047133C"/>
    <w:rsid w:val="00474822"/>
    <w:rsid w:val="004917AA"/>
    <w:rsid w:val="004C6EC4"/>
    <w:rsid w:val="00526ED1"/>
    <w:rsid w:val="005358AD"/>
    <w:rsid w:val="005415C7"/>
    <w:rsid w:val="00541B59"/>
    <w:rsid w:val="00567CDC"/>
    <w:rsid w:val="00585B91"/>
    <w:rsid w:val="005A37A4"/>
    <w:rsid w:val="005B07CE"/>
    <w:rsid w:val="005B636B"/>
    <w:rsid w:val="005E1990"/>
    <w:rsid w:val="005F6EBC"/>
    <w:rsid w:val="0061600E"/>
    <w:rsid w:val="00641C2C"/>
    <w:rsid w:val="0065623D"/>
    <w:rsid w:val="00660F1E"/>
    <w:rsid w:val="00662C4E"/>
    <w:rsid w:val="0066675D"/>
    <w:rsid w:val="00675EE3"/>
    <w:rsid w:val="00682A23"/>
    <w:rsid w:val="006912D7"/>
    <w:rsid w:val="006A29F8"/>
    <w:rsid w:val="006A37CD"/>
    <w:rsid w:val="006D746C"/>
    <w:rsid w:val="006F52C0"/>
    <w:rsid w:val="00701BFD"/>
    <w:rsid w:val="00704EB8"/>
    <w:rsid w:val="007316C5"/>
    <w:rsid w:val="00780AB4"/>
    <w:rsid w:val="007F1F80"/>
    <w:rsid w:val="00800F2B"/>
    <w:rsid w:val="0082768C"/>
    <w:rsid w:val="00836448"/>
    <w:rsid w:val="00874792"/>
    <w:rsid w:val="00875FBC"/>
    <w:rsid w:val="00881BF8"/>
    <w:rsid w:val="00895038"/>
    <w:rsid w:val="008A6FFF"/>
    <w:rsid w:val="008B4146"/>
    <w:rsid w:val="008E5E54"/>
    <w:rsid w:val="008F4244"/>
    <w:rsid w:val="00917A2A"/>
    <w:rsid w:val="00923B0D"/>
    <w:rsid w:val="0094026E"/>
    <w:rsid w:val="0094252F"/>
    <w:rsid w:val="00973065"/>
    <w:rsid w:val="009B0EF1"/>
    <w:rsid w:val="009B22CD"/>
    <w:rsid w:val="009C5A1D"/>
    <w:rsid w:val="00A21B0E"/>
    <w:rsid w:val="00A24B59"/>
    <w:rsid w:val="00A43000"/>
    <w:rsid w:val="00A435EB"/>
    <w:rsid w:val="00A62115"/>
    <w:rsid w:val="00A70AED"/>
    <w:rsid w:val="00A81D7E"/>
    <w:rsid w:val="00A90A89"/>
    <w:rsid w:val="00AA0557"/>
    <w:rsid w:val="00AA7A34"/>
    <w:rsid w:val="00AB1A95"/>
    <w:rsid w:val="00AB7017"/>
    <w:rsid w:val="00B2549C"/>
    <w:rsid w:val="00B25E71"/>
    <w:rsid w:val="00B32916"/>
    <w:rsid w:val="00B37166"/>
    <w:rsid w:val="00B63BCC"/>
    <w:rsid w:val="00B65FAA"/>
    <w:rsid w:val="00B707D4"/>
    <w:rsid w:val="00B84F75"/>
    <w:rsid w:val="00BB5987"/>
    <w:rsid w:val="00BD1BC9"/>
    <w:rsid w:val="00BE4119"/>
    <w:rsid w:val="00C17362"/>
    <w:rsid w:val="00C76C4E"/>
    <w:rsid w:val="00C8666E"/>
    <w:rsid w:val="00C93320"/>
    <w:rsid w:val="00C95D33"/>
    <w:rsid w:val="00CD76F3"/>
    <w:rsid w:val="00CE6A45"/>
    <w:rsid w:val="00CF2403"/>
    <w:rsid w:val="00D20712"/>
    <w:rsid w:val="00D33816"/>
    <w:rsid w:val="00D43D8E"/>
    <w:rsid w:val="00D923AA"/>
    <w:rsid w:val="00DC62A4"/>
    <w:rsid w:val="00E24A10"/>
    <w:rsid w:val="00E3776B"/>
    <w:rsid w:val="00E65E30"/>
    <w:rsid w:val="00E75886"/>
    <w:rsid w:val="00EB09AC"/>
    <w:rsid w:val="00ED26C0"/>
    <w:rsid w:val="00EE3A5F"/>
    <w:rsid w:val="00F02E3B"/>
    <w:rsid w:val="00F44A03"/>
    <w:rsid w:val="00F47DEC"/>
    <w:rsid w:val="00F737E8"/>
    <w:rsid w:val="00FA5156"/>
    <w:rsid w:val="00FB66D8"/>
    <w:rsid w:val="00FC1592"/>
    <w:rsid w:val="00FD4E85"/>
    <w:rsid w:val="00FE6F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09DB"/>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1C09DB"/>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C09DB"/>
    <w:rPr>
      <w:rFonts w:ascii="Times New Roman" w:eastAsia="Times New Roman" w:hAnsi="Times New Roman" w:cs="Times New Roman"/>
      <w:b/>
      <w:bCs/>
      <w:sz w:val="24"/>
      <w:szCs w:val="24"/>
      <w:u w:val="single"/>
    </w:rPr>
  </w:style>
  <w:style w:type="paragraph" w:styleId="Kjene">
    <w:name w:val="footer"/>
    <w:basedOn w:val="Parastais"/>
    <w:link w:val="KjeneRakstz"/>
    <w:rsid w:val="001C09DB"/>
    <w:pPr>
      <w:tabs>
        <w:tab w:val="center" w:pos="4320"/>
        <w:tab w:val="right" w:pos="8640"/>
      </w:tabs>
    </w:pPr>
    <w:rPr>
      <w:lang w:val="en-US"/>
    </w:rPr>
  </w:style>
  <w:style w:type="character" w:customStyle="1" w:styleId="KjeneRakstz">
    <w:name w:val="Kājene Rakstz."/>
    <w:basedOn w:val="Noklusjumarindkopasfonts"/>
    <w:link w:val="Kjene"/>
    <w:rsid w:val="001C09DB"/>
    <w:rPr>
      <w:rFonts w:ascii="Times New Roman" w:eastAsia="Times New Roman" w:hAnsi="Times New Roman" w:cs="Times New Roman"/>
      <w:sz w:val="24"/>
      <w:szCs w:val="24"/>
      <w:lang w:val="en-US"/>
    </w:rPr>
  </w:style>
  <w:style w:type="paragraph" w:styleId="Galvene">
    <w:name w:val="header"/>
    <w:basedOn w:val="Parastais"/>
    <w:link w:val="GalveneRakstz"/>
    <w:rsid w:val="001C09DB"/>
    <w:pPr>
      <w:tabs>
        <w:tab w:val="center" w:pos="4153"/>
        <w:tab w:val="right" w:pos="8306"/>
      </w:tabs>
    </w:pPr>
  </w:style>
  <w:style w:type="character" w:customStyle="1" w:styleId="GalveneRakstz">
    <w:name w:val="Galvene Rakstz."/>
    <w:basedOn w:val="Noklusjumarindkopasfonts"/>
    <w:link w:val="Galvene"/>
    <w:rsid w:val="001C09DB"/>
    <w:rPr>
      <w:rFonts w:ascii="Times New Roman" w:eastAsia="Times New Roman" w:hAnsi="Times New Roman" w:cs="Times New Roman"/>
      <w:sz w:val="24"/>
      <w:szCs w:val="24"/>
    </w:rPr>
  </w:style>
  <w:style w:type="paragraph" w:styleId="Pamatteksts2">
    <w:name w:val="Body Text 2"/>
    <w:basedOn w:val="Parastais"/>
    <w:link w:val="Pamatteksts2Rakstz"/>
    <w:rsid w:val="001C09DB"/>
    <w:pPr>
      <w:jc w:val="center"/>
    </w:pPr>
    <w:rPr>
      <w:sz w:val="32"/>
      <w:szCs w:val="32"/>
    </w:rPr>
  </w:style>
  <w:style w:type="character" w:customStyle="1" w:styleId="Pamatteksts2Rakstz">
    <w:name w:val="Pamatteksts 2 Rakstz."/>
    <w:basedOn w:val="Noklusjumarindkopasfonts"/>
    <w:link w:val="Pamatteksts2"/>
    <w:rsid w:val="001C09DB"/>
    <w:rPr>
      <w:rFonts w:ascii="Times New Roman" w:eastAsia="Times New Roman" w:hAnsi="Times New Roman" w:cs="Times New Roman"/>
      <w:sz w:val="32"/>
      <w:szCs w:val="32"/>
    </w:rPr>
  </w:style>
  <w:style w:type="character" w:styleId="Lappusesnumurs">
    <w:name w:val="page number"/>
    <w:basedOn w:val="Noklusjumarindkopasfonts"/>
    <w:rsid w:val="001C09DB"/>
    <w:rPr>
      <w:rFonts w:cs="Times New Roman"/>
    </w:rPr>
  </w:style>
  <w:style w:type="paragraph" w:styleId="Nosaukums">
    <w:name w:val="Title"/>
    <w:basedOn w:val="Parastais"/>
    <w:link w:val="NosaukumsRakstz"/>
    <w:qFormat/>
    <w:rsid w:val="001C09DB"/>
    <w:pPr>
      <w:jc w:val="center"/>
    </w:pPr>
    <w:rPr>
      <w:b/>
      <w:bCs/>
    </w:rPr>
  </w:style>
  <w:style w:type="character" w:customStyle="1" w:styleId="NosaukumsRakstz">
    <w:name w:val="Nosaukums Rakstz."/>
    <w:basedOn w:val="Noklusjumarindkopasfonts"/>
    <w:link w:val="Nosaukums"/>
    <w:rsid w:val="001C09DB"/>
    <w:rPr>
      <w:rFonts w:ascii="Times New Roman" w:eastAsia="Times New Roman" w:hAnsi="Times New Roman" w:cs="Times New Roman"/>
      <w:b/>
      <w:bCs/>
      <w:sz w:val="24"/>
      <w:szCs w:val="24"/>
    </w:rPr>
  </w:style>
  <w:style w:type="paragraph" w:styleId="Sarakstarindkopa">
    <w:name w:val="List Paragraph"/>
    <w:basedOn w:val="Parastais"/>
    <w:uiPriority w:val="34"/>
    <w:qFormat/>
    <w:rsid w:val="001C09DB"/>
    <w:pPr>
      <w:ind w:left="720"/>
      <w:contextualSpacing/>
    </w:pPr>
  </w:style>
  <w:style w:type="character" w:styleId="Hipersaite">
    <w:name w:val="Hyperlink"/>
    <w:basedOn w:val="Noklusjumarindkopasfonts"/>
    <w:uiPriority w:val="99"/>
    <w:unhideWhenUsed/>
    <w:rsid w:val="001C09DB"/>
    <w:rPr>
      <w:color w:val="0000FF" w:themeColor="hyperlink"/>
      <w:u w:val="single"/>
    </w:rPr>
  </w:style>
  <w:style w:type="paragraph" w:styleId="Vresteksts">
    <w:name w:val="footnote text"/>
    <w:basedOn w:val="Parastais"/>
    <w:link w:val="VrestekstsRakstz"/>
    <w:rsid w:val="001C09DB"/>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1C09DB"/>
    <w:rPr>
      <w:rFonts w:ascii="Times New Roman" w:eastAsia="Times New Roman" w:hAnsi="Times New Roman" w:cs="Times New Roman"/>
      <w:sz w:val="20"/>
      <w:szCs w:val="20"/>
      <w:lang w:eastAsia="ar-SA"/>
    </w:rPr>
  </w:style>
  <w:style w:type="character" w:styleId="Vresatsauce">
    <w:name w:val="footnote reference"/>
    <w:basedOn w:val="Noklusjumarindkopasfonts"/>
    <w:unhideWhenUsed/>
    <w:rsid w:val="001C09DB"/>
    <w:rPr>
      <w:vertAlign w:val="superscript"/>
    </w:rPr>
  </w:style>
  <w:style w:type="character" w:styleId="Izteiksmgs">
    <w:name w:val="Strong"/>
    <w:basedOn w:val="Noklusjumarindkopasfonts"/>
    <w:uiPriority w:val="22"/>
    <w:qFormat/>
    <w:rsid w:val="001C09DB"/>
    <w:rPr>
      <w:b/>
      <w:bCs/>
    </w:rPr>
  </w:style>
  <w:style w:type="paragraph" w:styleId="Bezatstarpm">
    <w:name w:val="No Spacing"/>
    <w:uiPriority w:val="1"/>
    <w:qFormat/>
    <w:rsid w:val="001C09DB"/>
    <w:pPr>
      <w:suppressAutoHyphens/>
      <w:spacing w:after="0" w:line="240" w:lineRule="auto"/>
    </w:pPr>
    <w:rPr>
      <w:rFonts w:ascii="Times New Roman" w:eastAsia="Times New Roman" w:hAnsi="Times New Roman" w:cs="Times New Roman"/>
      <w:sz w:val="24"/>
      <w:szCs w:val="24"/>
      <w:lang w:eastAsia="ar-SA"/>
    </w:rPr>
  </w:style>
  <w:style w:type="paragraph" w:customStyle="1" w:styleId="EntEmet">
    <w:name w:val="EntEmet"/>
    <w:basedOn w:val="Parastais"/>
    <w:rsid w:val="00E75886"/>
    <w:pPr>
      <w:tabs>
        <w:tab w:val="left" w:pos="284"/>
        <w:tab w:val="left" w:pos="567"/>
        <w:tab w:val="left" w:pos="851"/>
        <w:tab w:val="left" w:pos="1134"/>
        <w:tab w:val="left" w:pos="1418"/>
      </w:tabs>
      <w:spacing w:before="40"/>
    </w:pPr>
    <w:rPr>
      <w:szCs w:val="20"/>
      <w:lang w:eastAsia="fr-BE"/>
    </w:rPr>
  </w:style>
  <w:style w:type="character" w:customStyle="1" w:styleId="longtext1">
    <w:name w:val="long_text1"/>
    <w:basedOn w:val="Noklusjumarindkopasfonts"/>
    <w:rsid w:val="00EB09AC"/>
    <w:rPr>
      <w:sz w:val="20"/>
      <w:szCs w:val="20"/>
    </w:rPr>
  </w:style>
  <w:style w:type="paragraph" w:styleId="Balonteksts">
    <w:name w:val="Balloon Text"/>
    <w:basedOn w:val="Parastais"/>
    <w:link w:val="BalontekstsRakstz"/>
    <w:uiPriority w:val="99"/>
    <w:semiHidden/>
    <w:unhideWhenUsed/>
    <w:rsid w:val="00A24B5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4B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Jenc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Vitola@tm.gov.lv" TargetMode="External"/><Relationship Id="rId4" Type="http://schemas.openxmlformats.org/officeDocument/2006/relationships/settings" Target="settings.xml"/><Relationship Id="rId9" Type="http://schemas.openxmlformats.org/officeDocument/2006/relationships/hyperlink" Target="mailto:Anna.Skrjabina@t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D13CD-D7AC-47D8-AE32-1692DB78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8180</Words>
  <Characters>4663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kv1701</dc:creator>
  <cp:lastModifiedBy>as1301</cp:lastModifiedBy>
  <cp:revision>4</cp:revision>
  <cp:lastPrinted>2011-12-07T12:47:00Z</cp:lastPrinted>
  <dcterms:created xsi:type="dcterms:W3CDTF">2011-12-08T08:07:00Z</dcterms:created>
  <dcterms:modified xsi:type="dcterms:W3CDTF">2011-12-13T09:03:00Z</dcterms:modified>
</cp:coreProperties>
</file>