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1E" w:rsidRDefault="0003591E" w:rsidP="0003591E">
      <w:pPr>
        <w:pStyle w:val="Title"/>
        <w:rPr>
          <w:sz w:val="28"/>
          <w:szCs w:val="28"/>
        </w:rPr>
      </w:pPr>
      <w:bookmarkStart w:id="0" w:name="OLE_LINK11"/>
      <w:bookmarkStart w:id="1" w:name="OLE_LINK12"/>
    </w:p>
    <w:p w:rsidR="00A063EB" w:rsidRPr="0003591E" w:rsidRDefault="009C11A2" w:rsidP="0003591E">
      <w:pPr>
        <w:pStyle w:val="Title"/>
        <w:rPr>
          <w:sz w:val="28"/>
          <w:szCs w:val="28"/>
        </w:rPr>
      </w:pPr>
      <w:r w:rsidRPr="0003591E">
        <w:rPr>
          <w:sz w:val="28"/>
          <w:szCs w:val="28"/>
        </w:rPr>
        <w:t>Informatīvais ziņojums</w:t>
      </w:r>
    </w:p>
    <w:p w:rsidR="000D7598" w:rsidRDefault="000D7598" w:rsidP="0003591E">
      <w:pPr>
        <w:rPr>
          <w:b/>
          <w:bCs/>
          <w:sz w:val="28"/>
          <w:szCs w:val="28"/>
        </w:rPr>
      </w:pPr>
    </w:p>
    <w:p w:rsidR="0003591E" w:rsidRDefault="0003591E" w:rsidP="0003591E">
      <w:pPr>
        <w:rPr>
          <w:b/>
          <w:bCs/>
          <w:sz w:val="28"/>
          <w:szCs w:val="28"/>
        </w:rPr>
      </w:pPr>
    </w:p>
    <w:p w:rsidR="0003591E" w:rsidRPr="0003591E" w:rsidRDefault="0003591E" w:rsidP="0003591E">
      <w:pPr>
        <w:rPr>
          <w:b/>
          <w:bCs/>
          <w:sz w:val="28"/>
          <w:szCs w:val="28"/>
        </w:rPr>
      </w:pPr>
    </w:p>
    <w:p w:rsidR="00A063EB" w:rsidRPr="0003591E" w:rsidRDefault="009C11A2" w:rsidP="00A063EB">
      <w:pPr>
        <w:jc w:val="center"/>
        <w:rPr>
          <w:b/>
          <w:sz w:val="28"/>
          <w:szCs w:val="28"/>
        </w:rPr>
      </w:pPr>
      <w:bookmarkStart w:id="2" w:name="OLE_LINK7"/>
      <w:bookmarkStart w:id="3" w:name="OLE_LINK8"/>
      <w:bookmarkEnd w:id="0"/>
      <w:bookmarkEnd w:id="1"/>
      <w:r w:rsidRPr="0003591E">
        <w:rPr>
          <w:b/>
          <w:sz w:val="28"/>
          <w:szCs w:val="28"/>
        </w:rPr>
        <w:t xml:space="preserve">Par </w:t>
      </w:r>
      <w:bookmarkStart w:id="4" w:name="OLE_LINK1"/>
      <w:bookmarkStart w:id="5" w:name="OLE_LINK2"/>
      <w:r w:rsidRPr="0003591E">
        <w:rPr>
          <w:b/>
          <w:sz w:val="28"/>
          <w:szCs w:val="28"/>
        </w:rPr>
        <w:t xml:space="preserve">Eiropas Padomes </w:t>
      </w:r>
      <w:bookmarkEnd w:id="4"/>
      <w:bookmarkEnd w:id="5"/>
      <w:r w:rsidRPr="0003591E">
        <w:rPr>
          <w:b/>
          <w:sz w:val="28"/>
          <w:szCs w:val="28"/>
        </w:rPr>
        <w:t>Konvencijas pret cilvēka orgānu tirdzniecību projektu</w:t>
      </w:r>
      <w:bookmarkEnd w:id="2"/>
      <w:bookmarkEnd w:id="3"/>
    </w:p>
    <w:p w:rsidR="00E70440" w:rsidRDefault="00E70440" w:rsidP="00A063EB">
      <w:pPr>
        <w:jc w:val="center"/>
        <w:rPr>
          <w:sz w:val="28"/>
          <w:szCs w:val="28"/>
        </w:rPr>
      </w:pPr>
    </w:p>
    <w:p w:rsidR="0003591E" w:rsidRPr="0003591E" w:rsidRDefault="0003591E" w:rsidP="00A063EB">
      <w:pPr>
        <w:jc w:val="center"/>
        <w:rPr>
          <w:sz w:val="28"/>
          <w:szCs w:val="28"/>
        </w:rPr>
      </w:pPr>
    </w:p>
    <w:p w:rsidR="00A063EB" w:rsidRPr="0003591E" w:rsidRDefault="009C11A2" w:rsidP="00F86914">
      <w:pPr>
        <w:ind w:firstLine="720"/>
        <w:jc w:val="both"/>
        <w:rPr>
          <w:sz w:val="28"/>
          <w:szCs w:val="28"/>
        </w:rPr>
      </w:pPr>
      <w:r w:rsidRPr="0003591E">
        <w:rPr>
          <w:sz w:val="28"/>
          <w:szCs w:val="28"/>
        </w:rPr>
        <w:t xml:space="preserve">Eiropas Padomes Konvencijas pret cilvēka orgānu tirdzniecību projekts (turpmāk - Konvencijas projekts) tiek izstrādāts, </w:t>
      </w:r>
      <w:r w:rsidRPr="0003591E">
        <w:rPr>
          <w:noProof/>
          <w:sz w:val="28"/>
          <w:szCs w:val="28"/>
        </w:rPr>
        <w:t>lai novērstu un apkarotu cilvēka orgānu tirdzniecību</w:t>
      </w:r>
      <w:r w:rsidRPr="0003591E">
        <w:rPr>
          <w:sz w:val="28"/>
          <w:szCs w:val="28"/>
        </w:rPr>
        <w:t xml:space="preserve">. Konvencijas mērķis </w:t>
      </w:r>
      <w:r w:rsidRPr="0003591E">
        <w:rPr>
          <w:noProof/>
          <w:sz w:val="28"/>
          <w:szCs w:val="28"/>
        </w:rPr>
        <w:t xml:space="preserve">ir novērst un apkarot cilvēka orgānu tirdzniecību, kriminalizējot konkrētās darbības, tāpat arī - aizsargāt cietušo tiesības un nacionālā un starptautiskā līmenī veicināt sadarbību cilvēku orgānu tirdzniecības apkarošanā. Konvencijas projekts ietver šādus elementus: </w:t>
      </w:r>
      <w:r w:rsidRPr="0003591E">
        <w:rPr>
          <w:sz w:val="28"/>
          <w:szCs w:val="28"/>
        </w:rPr>
        <w:t>materiālo krimināltiesību vispārīgie jautājumi; preventīvi pasākumi cilvēka orgānu, audu un šūnu tirdzniecības novēršanai; cietušo atbalsta pasākumi; starptautiskā sadarbība cīņā pret noziedzīgiem nodarījumiem, kas saistīti ar cilvēka orgānu, audu un šūnu tirdzniecību.</w:t>
      </w:r>
    </w:p>
    <w:p w:rsidR="003C4AA9" w:rsidRPr="0003591E" w:rsidRDefault="003C4AA9" w:rsidP="00A063EB">
      <w:pPr>
        <w:ind w:firstLine="720"/>
        <w:jc w:val="both"/>
        <w:rPr>
          <w:sz w:val="28"/>
          <w:szCs w:val="28"/>
        </w:rPr>
      </w:pPr>
    </w:p>
    <w:p w:rsidR="00A063EB" w:rsidRPr="0003591E" w:rsidRDefault="009C11A2" w:rsidP="00A063EB">
      <w:pPr>
        <w:ind w:firstLine="720"/>
        <w:jc w:val="both"/>
        <w:rPr>
          <w:b/>
          <w:sz w:val="28"/>
          <w:szCs w:val="28"/>
        </w:rPr>
      </w:pPr>
      <w:r w:rsidRPr="0003591E">
        <w:rPr>
          <w:b/>
          <w:sz w:val="28"/>
          <w:szCs w:val="28"/>
        </w:rPr>
        <w:t>Latvijas pozīcija:</w:t>
      </w:r>
    </w:p>
    <w:p w:rsidR="00554387" w:rsidRPr="006A54E3" w:rsidRDefault="00A82C4D">
      <w:pPr>
        <w:pStyle w:val="ListParagraph"/>
        <w:autoSpaceDE w:val="0"/>
        <w:autoSpaceDN w:val="0"/>
        <w:adjustRightInd w:val="0"/>
        <w:ind w:left="0" w:firstLine="720"/>
        <w:jc w:val="both"/>
        <w:rPr>
          <w:sz w:val="28"/>
          <w:szCs w:val="28"/>
        </w:rPr>
      </w:pPr>
      <w:r>
        <w:rPr>
          <w:sz w:val="28"/>
          <w:szCs w:val="28"/>
        </w:rPr>
        <w:t xml:space="preserve">1. </w:t>
      </w:r>
      <w:r w:rsidR="009C11A2" w:rsidRPr="0003591E">
        <w:rPr>
          <w:sz w:val="28"/>
          <w:szCs w:val="28"/>
        </w:rPr>
        <w:t xml:space="preserve">Latvija kopumā atbalsta Konvencijas projektu, jo ir nepieciešams pastiprināt cīņu ar cilvēka orgānu nelikumīgu tirdzniecību. Latvija apzinās, ka cīņa ar nelikumīgu cilvēka orgānu tirdzniecību kļūst arvien aktuālāka, jo palielinās šādu noziegumu izplatība. Šiem noziegumiem raksturīgs pārrobežu elements un cieša saistība ar noziedzīgām organizācijām. Cilvēku tirdzniecība arvien biežāk tiek veikta tieši orgānu tirdzniecības nolūkā, jo ienākumi, kurus gūst orgānu tirdzniecības rezultātā, var krietni pārsniegt ienākumus, ko gūst pārdodot </w:t>
      </w:r>
      <w:r w:rsidR="009C11A2" w:rsidRPr="006A54E3">
        <w:rPr>
          <w:sz w:val="28"/>
          <w:szCs w:val="28"/>
        </w:rPr>
        <w:t>dzīvu cilvēku cita veida ekspluatācijai.</w:t>
      </w:r>
    </w:p>
    <w:p w:rsidR="00554387" w:rsidRPr="006A54E3" w:rsidRDefault="00554387">
      <w:pPr>
        <w:pStyle w:val="ListParagraph"/>
        <w:autoSpaceDE w:val="0"/>
        <w:autoSpaceDN w:val="0"/>
        <w:adjustRightInd w:val="0"/>
        <w:ind w:left="0" w:firstLine="720"/>
        <w:jc w:val="both"/>
        <w:rPr>
          <w:sz w:val="28"/>
          <w:szCs w:val="28"/>
        </w:rPr>
      </w:pPr>
    </w:p>
    <w:p w:rsidR="00554387" w:rsidRPr="006A54E3" w:rsidRDefault="00A82C4D" w:rsidP="006A54E3">
      <w:pPr>
        <w:pStyle w:val="ListParagraph"/>
        <w:autoSpaceDE w:val="0"/>
        <w:autoSpaceDN w:val="0"/>
        <w:adjustRightInd w:val="0"/>
        <w:ind w:left="0" w:firstLine="720"/>
        <w:jc w:val="both"/>
        <w:rPr>
          <w:noProof/>
          <w:sz w:val="28"/>
          <w:szCs w:val="28"/>
        </w:rPr>
      </w:pPr>
      <w:r w:rsidRPr="006A54E3">
        <w:rPr>
          <w:sz w:val="28"/>
          <w:szCs w:val="28"/>
        </w:rPr>
        <w:t xml:space="preserve">2. </w:t>
      </w:r>
      <w:r w:rsidR="006A54E3" w:rsidRPr="006A54E3">
        <w:rPr>
          <w:sz w:val="28"/>
          <w:szCs w:val="28"/>
        </w:rPr>
        <w:t xml:space="preserve">Vienlaikus </w:t>
      </w:r>
      <w:r w:rsidR="006A54E3" w:rsidRPr="006A54E3">
        <w:rPr>
          <w:noProof/>
          <w:sz w:val="28"/>
          <w:szCs w:val="28"/>
        </w:rPr>
        <w:t xml:space="preserve">Latvija </w:t>
      </w:r>
      <w:r w:rsidR="006A54E3">
        <w:rPr>
          <w:noProof/>
          <w:sz w:val="28"/>
          <w:szCs w:val="28"/>
        </w:rPr>
        <w:t xml:space="preserve">nevar atbalstīt Konvencijas projekta 4.panta 2.punktā paredzētā nodarījuma kriminalizēšanu. Latvija uzskata, ka šajā punktā paredzētais nodarījums -  </w:t>
      </w:r>
      <w:r w:rsidR="006A54E3" w:rsidRPr="006A54E3">
        <w:rPr>
          <w:sz w:val="28"/>
          <w:szCs w:val="28"/>
          <w:lang w:eastAsia="lv-LV"/>
        </w:rPr>
        <w:t>orgānu izņemšana, pārkāpjot jebkuru no nosacījumiem, kas paredzēti orgānu izņemšanu regulējošos tiesību aktos</w:t>
      </w:r>
      <w:r w:rsidR="006A54E3">
        <w:rPr>
          <w:sz w:val="28"/>
          <w:szCs w:val="28"/>
          <w:lang w:eastAsia="lv-LV"/>
        </w:rPr>
        <w:t xml:space="preserve"> – </w:t>
      </w:r>
      <w:r w:rsidR="006A54E3" w:rsidRPr="006A54E3">
        <w:rPr>
          <w:sz w:val="28"/>
          <w:szCs w:val="28"/>
          <w:lang w:eastAsia="lv-LV"/>
        </w:rPr>
        <w:t>nav viennozīmīgi saprotams un atkarībā no katras valsts nacionālā regulējuma tas var ietvert dažāda rakstura un kaitīguma pakāpes darbības</w:t>
      </w:r>
      <w:r w:rsidR="006A54E3">
        <w:rPr>
          <w:sz w:val="28"/>
          <w:szCs w:val="28"/>
          <w:lang w:eastAsia="lv-LV"/>
        </w:rPr>
        <w:t xml:space="preserve">. Ievērojot minēto, </w:t>
      </w:r>
      <w:r w:rsidR="006A54E3" w:rsidRPr="006A54E3">
        <w:rPr>
          <w:sz w:val="28"/>
          <w:szCs w:val="28"/>
          <w:lang w:eastAsia="lv-LV"/>
        </w:rPr>
        <w:t xml:space="preserve">ir nepieciešams skaidri definēt, kādas konkrēti darbības dalībvalstīm ir pienākums </w:t>
      </w:r>
      <w:proofErr w:type="spellStart"/>
      <w:r w:rsidR="006A54E3" w:rsidRPr="006A54E3">
        <w:rPr>
          <w:sz w:val="28"/>
          <w:szCs w:val="28"/>
          <w:lang w:eastAsia="lv-LV"/>
        </w:rPr>
        <w:t>kriminalizēt</w:t>
      </w:r>
      <w:proofErr w:type="spellEnd"/>
      <w:r w:rsidR="006A54E3">
        <w:rPr>
          <w:sz w:val="28"/>
          <w:szCs w:val="28"/>
          <w:lang w:eastAsia="lv-LV"/>
        </w:rPr>
        <w:t xml:space="preserve">, vai paredzēt tiesības dalībvalstīm izlemt, kāds juridiskās atbildības veids </w:t>
      </w:r>
      <w:r w:rsidR="006A54E3" w:rsidRPr="006A54E3">
        <w:rPr>
          <w:sz w:val="28"/>
          <w:szCs w:val="28"/>
          <w:lang w:eastAsia="lv-LV"/>
        </w:rPr>
        <w:t>būtu vissamērīgākais attiecīg</w:t>
      </w:r>
      <w:r w:rsidR="00F61A8A">
        <w:rPr>
          <w:sz w:val="28"/>
          <w:szCs w:val="28"/>
          <w:lang w:eastAsia="lv-LV"/>
        </w:rPr>
        <w:t>o</w:t>
      </w:r>
      <w:r w:rsidR="006A54E3" w:rsidRPr="006A54E3">
        <w:rPr>
          <w:sz w:val="28"/>
          <w:szCs w:val="28"/>
          <w:lang w:eastAsia="lv-LV"/>
        </w:rPr>
        <w:t xml:space="preserve"> pārkāpumu gadījumos.</w:t>
      </w:r>
    </w:p>
    <w:p w:rsidR="00554387" w:rsidRPr="006A54E3" w:rsidRDefault="00554387">
      <w:pPr>
        <w:pStyle w:val="ListParagraph"/>
        <w:autoSpaceDE w:val="0"/>
        <w:autoSpaceDN w:val="0"/>
        <w:adjustRightInd w:val="0"/>
        <w:ind w:left="0" w:firstLine="720"/>
        <w:jc w:val="both"/>
        <w:rPr>
          <w:sz w:val="28"/>
          <w:szCs w:val="28"/>
        </w:rPr>
      </w:pPr>
    </w:p>
    <w:p w:rsidR="00554387" w:rsidRDefault="00A82C4D">
      <w:pPr>
        <w:pStyle w:val="ListParagraph"/>
        <w:autoSpaceDE w:val="0"/>
        <w:autoSpaceDN w:val="0"/>
        <w:adjustRightInd w:val="0"/>
        <w:ind w:left="0" w:firstLine="720"/>
        <w:jc w:val="both"/>
        <w:rPr>
          <w:sz w:val="28"/>
          <w:szCs w:val="28"/>
        </w:rPr>
      </w:pPr>
      <w:r>
        <w:rPr>
          <w:sz w:val="28"/>
          <w:szCs w:val="28"/>
        </w:rPr>
        <w:t xml:space="preserve">3. </w:t>
      </w:r>
      <w:r w:rsidR="009C11A2" w:rsidRPr="0003591E">
        <w:rPr>
          <w:sz w:val="28"/>
          <w:szCs w:val="28"/>
        </w:rPr>
        <w:t xml:space="preserve">Latvija nevar atbalstīt arī Konvencijas projektā paredzētos jurisdikcijas pamatus – nodarījumu izdarījusi vai tajā cietusi persona, kuras pastāvīgā dzīvesvieta ir attiecīgās valsts teritorijā. Latvija ir konsekventi iebildusi pret šādu jurisdikcijas pamatu paredzēšanu arī citos starptautiskos tiesību aktos, jo </w:t>
      </w:r>
      <w:r w:rsidR="009C11A2" w:rsidRPr="0003591E">
        <w:rPr>
          <w:sz w:val="28"/>
          <w:szCs w:val="28"/>
        </w:rPr>
        <w:lastRenderedPageBreak/>
        <w:t>nevienā nacionāla vai starptautiska līmeņa tiesību aktā, kas Latvijai ir saistošs, nav definēts jēdziens „pastāvīgā dzīvesvieta”.</w:t>
      </w:r>
    </w:p>
    <w:p w:rsidR="000C5B8E" w:rsidRPr="0003591E" w:rsidRDefault="000C5B8E" w:rsidP="00A063EB">
      <w:pPr>
        <w:jc w:val="both"/>
        <w:rPr>
          <w:sz w:val="28"/>
          <w:szCs w:val="28"/>
        </w:rPr>
      </w:pPr>
    </w:p>
    <w:p w:rsidR="008D468E" w:rsidRPr="0003591E" w:rsidRDefault="008D468E" w:rsidP="00A063EB">
      <w:pPr>
        <w:jc w:val="both"/>
        <w:rPr>
          <w:sz w:val="28"/>
          <w:szCs w:val="28"/>
        </w:rPr>
      </w:pPr>
    </w:p>
    <w:p w:rsidR="00A063EB" w:rsidRPr="00F60A8F" w:rsidRDefault="009C11A2" w:rsidP="00A063EB">
      <w:pPr>
        <w:jc w:val="both"/>
      </w:pPr>
      <w:r w:rsidRPr="0003591E">
        <w:rPr>
          <w:sz w:val="28"/>
          <w:szCs w:val="28"/>
        </w:rPr>
        <w:t>Tieslietu ministrs</w:t>
      </w:r>
      <w:r w:rsidRPr="0003591E">
        <w:rPr>
          <w:sz w:val="28"/>
          <w:szCs w:val="28"/>
        </w:rPr>
        <w:tab/>
      </w:r>
      <w:r w:rsidRPr="0003591E">
        <w:rPr>
          <w:sz w:val="28"/>
          <w:szCs w:val="28"/>
        </w:rPr>
        <w:tab/>
      </w:r>
      <w:r w:rsidRPr="0003591E">
        <w:rPr>
          <w:sz w:val="28"/>
          <w:szCs w:val="28"/>
        </w:rPr>
        <w:tab/>
      </w:r>
      <w:r w:rsidRPr="0003591E">
        <w:rPr>
          <w:sz w:val="28"/>
          <w:szCs w:val="28"/>
        </w:rPr>
        <w:tab/>
      </w:r>
      <w:r w:rsidRPr="0003591E">
        <w:rPr>
          <w:sz w:val="28"/>
          <w:szCs w:val="28"/>
        </w:rPr>
        <w:tab/>
      </w:r>
      <w:r w:rsidRPr="0003591E">
        <w:rPr>
          <w:sz w:val="28"/>
          <w:szCs w:val="28"/>
        </w:rPr>
        <w:tab/>
      </w:r>
      <w:r w:rsidRPr="0003591E">
        <w:rPr>
          <w:sz w:val="28"/>
          <w:szCs w:val="28"/>
        </w:rPr>
        <w:tab/>
      </w:r>
      <w:r w:rsidRPr="0003591E">
        <w:rPr>
          <w:sz w:val="28"/>
          <w:szCs w:val="28"/>
        </w:rPr>
        <w:tab/>
      </w:r>
      <w:r w:rsidRPr="0003591E">
        <w:rPr>
          <w:sz w:val="28"/>
          <w:szCs w:val="28"/>
        </w:rPr>
        <w:tab/>
      </w:r>
      <w:proofErr w:type="spellStart"/>
      <w:r w:rsidRPr="0003591E">
        <w:rPr>
          <w:sz w:val="28"/>
          <w:szCs w:val="28"/>
        </w:rPr>
        <w:t>J.Bordāns</w:t>
      </w:r>
      <w:proofErr w:type="spellEnd"/>
    </w:p>
    <w:p w:rsidR="000D7598" w:rsidRPr="00F60A8F" w:rsidRDefault="000D7598" w:rsidP="00A063EB">
      <w:pPr>
        <w:jc w:val="both"/>
      </w:pPr>
    </w:p>
    <w:p w:rsidR="0043243C" w:rsidRPr="00F60A8F" w:rsidRDefault="0043243C" w:rsidP="00A063EB"/>
    <w:p w:rsidR="00A063EB" w:rsidRPr="000D7598" w:rsidRDefault="009C11A2" w:rsidP="00A063EB">
      <w:pPr>
        <w:rPr>
          <w:sz w:val="22"/>
          <w:szCs w:val="22"/>
        </w:rPr>
      </w:pPr>
      <w:r w:rsidRPr="009C11A2">
        <w:rPr>
          <w:sz w:val="22"/>
          <w:szCs w:val="22"/>
        </w:rPr>
        <w:t>11.07.2012. 14:00</w:t>
      </w:r>
    </w:p>
    <w:p w:rsidR="00A063EB" w:rsidRPr="000D7598" w:rsidRDefault="00521719" w:rsidP="00A063EB">
      <w:pPr>
        <w:rPr>
          <w:sz w:val="22"/>
          <w:szCs w:val="22"/>
        </w:rPr>
      </w:pPr>
      <w:r>
        <w:rPr>
          <w:sz w:val="22"/>
          <w:szCs w:val="22"/>
        </w:rPr>
        <w:t>314</w:t>
      </w:r>
    </w:p>
    <w:p w:rsidR="00A063EB" w:rsidRPr="000D7598" w:rsidRDefault="009C11A2" w:rsidP="00A063EB">
      <w:pPr>
        <w:rPr>
          <w:sz w:val="22"/>
          <w:szCs w:val="22"/>
        </w:rPr>
      </w:pPr>
      <w:proofErr w:type="spellStart"/>
      <w:r w:rsidRPr="009C11A2">
        <w:rPr>
          <w:sz w:val="22"/>
          <w:szCs w:val="22"/>
        </w:rPr>
        <w:t>E.Miezāne</w:t>
      </w:r>
      <w:proofErr w:type="spellEnd"/>
    </w:p>
    <w:p w:rsidR="00B20855" w:rsidRPr="000D7598" w:rsidRDefault="009C11A2">
      <w:pPr>
        <w:rPr>
          <w:sz w:val="22"/>
          <w:szCs w:val="22"/>
        </w:rPr>
      </w:pPr>
      <w:r w:rsidRPr="009C11A2">
        <w:rPr>
          <w:sz w:val="22"/>
          <w:szCs w:val="22"/>
        </w:rPr>
        <w:t>67036970, Evita.Miezane@tm.gov.lv</w:t>
      </w:r>
    </w:p>
    <w:sectPr w:rsidR="00B20855" w:rsidRPr="000D7598" w:rsidSect="000D7598">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02" w:rsidRDefault="00267202" w:rsidP="00E70440">
      <w:r>
        <w:separator/>
      </w:r>
    </w:p>
  </w:endnote>
  <w:endnote w:type="continuationSeparator" w:id="0">
    <w:p w:rsidR="00267202" w:rsidRDefault="00267202" w:rsidP="00E70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0F" w:rsidRDefault="000D7598">
    <w:r>
      <w:rPr>
        <w:sz w:val="20"/>
        <w:szCs w:val="20"/>
      </w:rPr>
      <w:t>TMzin_110712_PC-TO; Informatīvais ziņojums par Eiropas Padomes Konvencijas pret cilvēka orgānu tirdzniecību projektu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D" w:rsidRPr="00833B21" w:rsidRDefault="007846CD" w:rsidP="00B20818">
    <w:pPr>
      <w:jc w:val="both"/>
      <w:rPr>
        <w:sz w:val="20"/>
        <w:szCs w:val="20"/>
      </w:rPr>
    </w:pPr>
    <w:r>
      <w:rPr>
        <w:sz w:val="20"/>
        <w:szCs w:val="20"/>
      </w:rPr>
      <w:t>TMzin_1</w:t>
    </w:r>
    <w:r w:rsidR="00CE2E5A">
      <w:rPr>
        <w:sz w:val="20"/>
        <w:szCs w:val="20"/>
      </w:rPr>
      <w:t>1</w:t>
    </w:r>
    <w:r>
      <w:rPr>
        <w:sz w:val="20"/>
        <w:szCs w:val="20"/>
      </w:rPr>
      <w:t>0</w:t>
    </w:r>
    <w:r w:rsidR="00CE2E5A">
      <w:rPr>
        <w:sz w:val="20"/>
        <w:szCs w:val="20"/>
      </w:rPr>
      <w:t>7</w:t>
    </w:r>
    <w:r>
      <w:rPr>
        <w:sz w:val="20"/>
        <w:szCs w:val="20"/>
      </w:rPr>
      <w:t>1</w:t>
    </w:r>
    <w:r w:rsidR="00CE2E5A">
      <w:rPr>
        <w:sz w:val="20"/>
        <w:szCs w:val="20"/>
      </w:rPr>
      <w:t>2</w:t>
    </w:r>
    <w:r>
      <w:rPr>
        <w:sz w:val="20"/>
        <w:szCs w:val="20"/>
      </w:rPr>
      <w:t>_</w:t>
    </w:r>
    <w:r w:rsidR="00CE2E5A">
      <w:rPr>
        <w:sz w:val="20"/>
        <w:szCs w:val="20"/>
      </w:rPr>
      <w:t>PC-TO</w:t>
    </w:r>
    <w:r>
      <w:rPr>
        <w:sz w:val="20"/>
        <w:szCs w:val="20"/>
      </w:rPr>
      <w:t xml:space="preserve">; </w:t>
    </w:r>
    <w:r w:rsidR="00CE2E5A">
      <w:rPr>
        <w:sz w:val="20"/>
        <w:szCs w:val="20"/>
      </w:rPr>
      <w:t>Informatīvais ziņojums par Eiropas Padomes Konvencijas pret cilvēka orgānu tirdzniecību projektu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02" w:rsidRDefault="00267202" w:rsidP="00E70440">
      <w:r>
        <w:separator/>
      </w:r>
    </w:p>
  </w:footnote>
  <w:footnote w:type="continuationSeparator" w:id="0">
    <w:p w:rsidR="00267202" w:rsidRDefault="00267202" w:rsidP="00E70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D" w:rsidRDefault="00554387" w:rsidP="00B20818">
    <w:pPr>
      <w:pStyle w:val="Header"/>
      <w:framePr w:wrap="around" w:vAnchor="text" w:hAnchor="margin" w:xAlign="center" w:y="1"/>
      <w:rPr>
        <w:rStyle w:val="PageNumber"/>
      </w:rPr>
    </w:pPr>
    <w:r>
      <w:rPr>
        <w:rStyle w:val="PageNumber"/>
      </w:rPr>
      <w:fldChar w:fldCharType="begin"/>
    </w:r>
    <w:r w:rsidR="007846CD">
      <w:rPr>
        <w:rStyle w:val="PageNumber"/>
      </w:rPr>
      <w:instrText xml:space="preserve">PAGE  </w:instrText>
    </w:r>
    <w:r>
      <w:rPr>
        <w:rStyle w:val="PageNumber"/>
      </w:rPr>
      <w:fldChar w:fldCharType="end"/>
    </w:r>
  </w:p>
  <w:p w:rsidR="007846CD" w:rsidRDefault="00784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D" w:rsidRDefault="00554387" w:rsidP="00B20818">
    <w:pPr>
      <w:pStyle w:val="Header"/>
      <w:framePr w:wrap="around" w:vAnchor="text" w:hAnchor="margin" w:xAlign="center" w:y="1"/>
      <w:rPr>
        <w:rStyle w:val="PageNumber"/>
      </w:rPr>
    </w:pPr>
    <w:r>
      <w:rPr>
        <w:rStyle w:val="PageNumber"/>
      </w:rPr>
      <w:fldChar w:fldCharType="begin"/>
    </w:r>
    <w:r w:rsidR="007846CD">
      <w:rPr>
        <w:rStyle w:val="PageNumber"/>
      </w:rPr>
      <w:instrText xml:space="preserve">PAGE  </w:instrText>
    </w:r>
    <w:r>
      <w:rPr>
        <w:rStyle w:val="PageNumber"/>
      </w:rPr>
      <w:fldChar w:fldCharType="separate"/>
    </w:r>
    <w:r w:rsidR="00521719">
      <w:rPr>
        <w:rStyle w:val="PageNumber"/>
        <w:noProof/>
      </w:rPr>
      <w:t>2</w:t>
    </w:r>
    <w:r>
      <w:rPr>
        <w:rStyle w:val="PageNumber"/>
      </w:rPr>
      <w:fldChar w:fldCharType="end"/>
    </w:r>
  </w:p>
  <w:p w:rsidR="007846CD" w:rsidRDefault="007846C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47A2"/>
    <w:multiLevelType w:val="hybridMultilevel"/>
    <w:tmpl w:val="E328F0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
    <w:nsid w:val="34393DC6"/>
    <w:multiLevelType w:val="hybridMultilevel"/>
    <w:tmpl w:val="779C0C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24852FE"/>
    <w:multiLevelType w:val="hybridMultilevel"/>
    <w:tmpl w:val="3E943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25731B3"/>
    <w:multiLevelType w:val="hybridMultilevel"/>
    <w:tmpl w:val="B130F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A063EB"/>
    <w:rsid w:val="00005711"/>
    <w:rsid w:val="00017FFB"/>
    <w:rsid w:val="0003591E"/>
    <w:rsid w:val="000672EC"/>
    <w:rsid w:val="000C5B8E"/>
    <w:rsid w:val="000D7598"/>
    <w:rsid w:val="00110C3F"/>
    <w:rsid w:val="00114BD5"/>
    <w:rsid w:val="0011715E"/>
    <w:rsid w:val="001275F8"/>
    <w:rsid w:val="00131921"/>
    <w:rsid w:val="001345D2"/>
    <w:rsid w:val="0016536C"/>
    <w:rsid w:val="001A4233"/>
    <w:rsid w:val="001B2443"/>
    <w:rsid w:val="001D38F0"/>
    <w:rsid w:val="00205E5D"/>
    <w:rsid w:val="0020688D"/>
    <w:rsid w:val="00226819"/>
    <w:rsid w:val="00267202"/>
    <w:rsid w:val="00291CC1"/>
    <w:rsid w:val="00294246"/>
    <w:rsid w:val="002A336C"/>
    <w:rsid w:val="0030724B"/>
    <w:rsid w:val="003420BE"/>
    <w:rsid w:val="003759EF"/>
    <w:rsid w:val="003C4AA9"/>
    <w:rsid w:val="004217B3"/>
    <w:rsid w:val="0043243C"/>
    <w:rsid w:val="00436836"/>
    <w:rsid w:val="004C4DE0"/>
    <w:rsid w:val="004D2BA2"/>
    <w:rsid w:val="00512A57"/>
    <w:rsid w:val="00521719"/>
    <w:rsid w:val="00540222"/>
    <w:rsid w:val="00554387"/>
    <w:rsid w:val="00566D90"/>
    <w:rsid w:val="005849CF"/>
    <w:rsid w:val="005911FD"/>
    <w:rsid w:val="005A0D41"/>
    <w:rsid w:val="005E6213"/>
    <w:rsid w:val="005F1B2A"/>
    <w:rsid w:val="005F26E3"/>
    <w:rsid w:val="0067271D"/>
    <w:rsid w:val="006A54E3"/>
    <w:rsid w:val="006A7A55"/>
    <w:rsid w:val="006D44FF"/>
    <w:rsid w:val="007079C8"/>
    <w:rsid w:val="00716652"/>
    <w:rsid w:val="00722C6F"/>
    <w:rsid w:val="00724798"/>
    <w:rsid w:val="0073246B"/>
    <w:rsid w:val="00761E1A"/>
    <w:rsid w:val="00773C36"/>
    <w:rsid w:val="0078011E"/>
    <w:rsid w:val="0078067B"/>
    <w:rsid w:val="007846CD"/>
    <w:rsid w:val="007F7FAD"/>
    <w:rsid w:val="008003C7"/>
    <w:rsid w:val="008067DE"/>
    <w:rsid w:val="00817D70"/>
    <w:rsid w:val="0082298B"/>
    <w:rsid w:val="00843836"/>
    <w:rsid w:val="008903BA"/>
    <w:rsid w:val="00895215"/>
    <w:rsid w:val="008B1A24"/>
    <w:rsid w:val="008D468E"/>
    <w:rsid w:val="008F0C5E"/>
    <w:rsid w:val="009C11A2"/>
    <w:rsid w:val="00A063EB"/>
    <w:rsid w:val="00A56B4B"/>
    <w:rsid w:val="00A72677"/>
    <w:rsid w:val="00A72F5D"/>
    <w:rsid w:val="00A82C4D"/>
    <w:rsid w:val="00A8590B"/>
    <w:rsid w:val="00A90804"/>
    <w:rsid w:val="00AA0973"/>
    <w:rsid w:val="00AF6EB9"/>
    <w:rsid w:val="00B20818"/>
    <w:rsid w:val="00B20855"/>
    <w:rsid w:val="00B96620"/>
    <w:rsid w:val="00BF624C"/>
    <w:rsid w:val="00C54BDB"/>
    <w:rsid w:val="00CB613F"/>
    <w:rsid w:val="00CE2266"/>
    <w:rsid w:val="00CE2E5A"/>
    <w:rsid w:val="00CE6472"/>
    <w:rsid w:val="00D16F87"/>
    <w:rsid w:val="00D32752"/>
    <w:rsid w:val="00D64EAD"/>
    <w:rsid w:val="00D8085B"/>
    <w:rsid w:val="00D922B8"/>
    <w:rsid w:val="00DC4AB9"/>
    <w:rsid w:val="00DF01F0"/>
    <w:rsid w:val="00DF650F"/>
    <w:rsid w:val="00E2750E"/>
    <w:rsid w:val="00E70440"/>
    <w:rsid w:val="00EC6CE5"/>
    <w:rsid w:val="00F03A97"/>
    <w:rsid w:val="00F30A5A"/>
    <w:rsid w:val="00F365E1"/>
    <w:rsid w:val="00F60A8F"/>
    <w:rsid w:val="00F61A8A"/>
    <w:rsid w:val="00F869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3EB"/>
    <w:pPr>
      <w:tabs>
        <w:tab w:val="center" w:pos="4153"/>
        <w:tab w:val="right" w:pos="8306"/>
      </w:tabs>
    </w:pPr>
  </w:style>
  <w:style w:type="character" w:customStyle="1" w:styleId="HeaderChar">
    <w:name w:val="Header Char"/>
    <w:basedOn w:val="DefaultParagraphFont"/>
    <w:link w:val="Header"/>
    <w:rsid w:val="00A063EB"/>
    <w:rPr>
      <w:rFonts w:ascii="Times New Roman" w:eastAsia="Times New Roman" w:hAnsi="Times New Roman" w:cs="Times New Roman"/>
      <w:sz w:val="24"/>
      <w:szCs w:val="24"/>
    </w:rPr>
  </w:style>
  <w:style w:type="character" w:styleId="PageNumber">
    <w:name w:val="page number"/>
    <w:basedOn w:val="DefaultParagraphFont"/>
    <w:rsid w:val="00A063EB"/>
    <w:rPr>
      <w:rFonts w:cs="Times New Roman"/>
    </w:rPr>
  </w:style>
  <w:style w:type="paragraph" w:styleId="Title">
    <w:name w:val="Title"/>
    <w:basedOn w:val="Normal"/>
    <w:link w:val="TitleChar"/>
    <w:qFormat/>
    <w:rsid w:val="00A063EB"/>
    <w:pPr>
      <w:jc w:val="center"/>
    </w:pPr>
    <w:rPr>
      <w:b/>
      <w:bCs/>
    </w:rPr>
  </w:style>
  <w:style w:type="character" w:customStyle="1" w:styleId="TitleChar">
    <w:name w:val="Title Char"/>
    <w:basedOn w:val="DefaultParagraphFont"/>
    <w:link w:val="Title"/>
    <w:rsid w:val="00A063EB"/>
    <w:rPr>
      <w:rFonts w:ascii="Times New Roman" w:eastAsia="Times New Roman" w:hAnsi="Times New Roman" w:cs="Times New Roman"/>
      <w:b/>
      <w:bCs/>
      <w:sz w:val="24"/>
      <w:szCs w:val="24"/>
    </w:rPr>
  </w:style>
  <w:style w:type="paragraph" w:customStyle="1" w:styleId="Text1">
    <w:name w:val="Text 1"/>
    <w:basedOn w:val="Normal"/>
    <w:rsid w:val="00A063EB"/>
    <w:pPr>
      <w:spacing w:before="120" w:after="120"/>
      <w:ind w:left="850"/>
      <w:jc w:val="both"/>
    </w:pPr>
    <w:rPr>
      <w:lang w:eastAsia="en-GB"/>
    </w:rPr>
  </w:style>
  <w:style w:type="paragraph" w:styleId="ListParagraph">
    <w:name w:val="List Paragraph"/>
    <w:basedOn w:val="Normal"/>
    <w:uiPriority w:val="34"/>
    <w:qFormat/>
    <w:rsid w:val="00A063EB"/>
    <w:pPr>
      <w:ind w:left="720"/>
      <w:contextualSpacing/>
    </w:pPr>
  </w:style>
  <w:style w:type="paragraph" w:styleId="Footer">
    <w:name w:val="footer"/>
    <w:basedOn w:val="Normal"/>
    <w:link w:val="FooterChar"/>
    <w:uiPriority w:val="99"/>
    <w:semiHidden/>
    <w:unhideWhenUsed/>
    <w:rsid w:val="00A063EB"/>
    <w:pPr>
      <w:tabs>
        <w:tab w:val="center" w:pos="4153"/>
        <w:tab w:val="right" w:pos="8306"/>
      </w:tabs>
    </w:pPr>
  </w:style>
  <w:style w:type="character" w:customStyle="1" w:styleId="FooterChar">
    <w:name w:val="Footer Char"/>
    <w:basedOn w:val="DefaultParagraphFont"/>
    <w:link w:val="Footer"/>
    <w:uiPriority w:val="99"/>
    <w:semiHidden/>
    <w:rsid w:val="00A063EB"/>
    <w:rPr>
      <w:rFonts w:ascii="Times New Roman" w:eastAsia="Times New Roman" w:hAnsi="Times New Roman" w:cs="Times New Roman"/>
      <w:sz w:val="24"/>
      <w:szCs w:val="24"/>
    </w:rPr>
  </w:style>
  <w:style w:type="paragraph" w:customStyle="1" w:styleId="naisf">
    <w:name w:val="naisf"/>
    <w:basedOn w:val="Normal"/>
    <w:rsid w:val="00E70440"/>
    <w:pPr>
      <w:spacing w:before="44" w:after="44"/>
      <w:ind w:firstLine="221"/>
      <w:jc w:val="both"/>
    </w:pPr>
    <w:rPr>
      <w:lang w:eastAsia="lv-LV"/>
    </w:rPr>
  </w:style>
  <w:style w:type="paragraph" w:styleId="FootnoteText">
    <w:name w:val="footnote text"/>
    <w:basedOn w:val="Normal"/>
    <w:link w:val="FootnoteTextChar"/>
    <w:semiHidden/>
    <w:rsid w:val="00AA0973"/>
    <w:rPr>
      <w:sz w:val="20"/>
      <w:szCs w:val="20"/>
      <w:lang w:eastAsia="lv-LV"/>
    </w:rPr>
  </w:style>
  <w:style w:type="character" w:customStyle="1" w:styleId="FootnoteTextChar">
    <w:name w:val="Footnote Text Char"/>
    <w:basedOn w:val="DefaultParagraphFont"/>
    <w:link w:val="FootnoteText"/>
    <w:semiHidden/>
    <w:rsid w:val="00AA0973"/>
    <w:rPr>
      <w:rFonts w:ascii="Times New Roman" w:eastAsia="Times New Roman" w:hAnsi="Times New Roman" w:cs="Times New Roman"/>
      <w:sz w:val="20"/>
      <w:szCs w:val="20"/>
      <w:lang w:eastAsia="lv-LV"/>
    </w:rPr>
  </w:style>
  <w:style w:type="paragraph" w:customStyle="1" w:styleId="Tiret1">
    <w:name w:val="Tiret 1"/>
    <w:basedOn w:val="Normal"/>
    <w:rsid w:val="00AA0973"/>
    <w:pPr>
      <w:numPr>
        <w:numId w:val="4"/>
      </w:numPr>
      <w:spacing w:before="120" w:after="120"/>
      <w:jc w:val="both"/>
    </w:pPr>
    <w:rPr>
      <w:lang w:eastAsia="en-GB"/>
    </w:rPr>
  </w:style>
  <w:style w:type="paragraph" w:styleId="BalloonText">
    <w:name w:val="Balloon Text"/>
    <w:basedOn w:val="Normal"/>
    <w:link w:val="BalloonTextChar"/>
    <w:uiPriority w:val="99"/>
    <w:semiHidden/>
    <w:unhideWhenUsed/>
    <w:rsid w:val="000D7598"/>
    <w:rPr>
      <w:rFonts w:ascii="Tahoma" w:hAnsi="Tahoma" w:cs="Tahoma"/>
      <w:sz w:val="16"/>
      <w:szCs w:val="16"/>
    </w:rPr>
  </w:style>
  <w:style w:type="character" w:customStyle="1" w:styleId="BalloonTextChar">
    <w:name w:val="Balloon Text Char"/>
    <w:basedOn w:val="DefaultParagraphFont"/>
    <w:link w:val="BalloonText"/>
    <w:uiPriority w:val="99"/>
    <w:semiHidden/>
    <w:rsid w:val="000D75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1692</Words>
  <Characters>965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priekšlikumu Eiropas Parlamenta un Padomes direktīvai par seksuālās vardarbības pret bērniem, bērnu seksuālās izmantošanas un bērnu pornogrāfijas apkarošanu, ar ko atceļ pamatlēmumu 2004/68/TI</vt:lpstr>
      <vt:lpstr>Par priekšlikumu Eiropas Parlamenta un Padomes direktīvai par seksuālās vardarbības pret bērniem, bērnu seksuālās izmantošanas un bērnu pornogrāfijas apkarošanu, ar ko atceļ pamatlēmumu 2004/68/TI</vt:lpstr>
    </vt:vector>
  </TitlesOfParts>
  <Company>Tieslietu Ministrija</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Padomes Konvencijas pret cilvēka orgānu tirdzniecību projektu</dc:title>
  <dc:subject>Informatīvais ziņojums</dc:subject>
  <dc:creator>Tieslietu ministrija</dc:creator>
  <cp:keywords/>
  <dc:description>E.Miezāne
Evita.Miezane@tm.gov.lv;
67036970</dc:description>
  <cp:lastModifiedBy>Evita Miezane</cp:lastModifiedBy>
  <cp:revision>6</cp:revision>
  <cp:lastPrinted>2012-07-24T12:42:00Z</cp:lastPrinted>
  <dcterms:created xsi:type="dcterms:W3CDTF">2012-07-24T11:03:00Z</dcterms:created>
  <dcterms:modified xsi:type="dcterms:W3CDTF">2012-07-24T12:50:00Z</dcterms:modified>
</cp:coreProperties>
</file>