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B" w:rsidRPr="00744101" w:rsidRDefault="001C09DB" w:rsidP="001C09DB">
      <w:pPr>
        <w:pStyle w:val="Title"/>
        <w:outlineLvl w:val="0"/>
        <w:rPr>
          <w:sz w:val="28"/>
          <w:szCs w:val="28"/>
        </w:rPr>
      </w:pPr>
      <w:bookmarkStart w:id="0" w:name="OLE_LINK7"/>
      <w:bookmarkStart w:id="1" w:name="OLE_LINK8"/>
      <w:bookmarkStart w:id="2" w:name="OLE_LINK9"/>
      <w:bookmarkStart w:id="3" w:name="OLE_LINK10"/>
      <w:r w:rsidRPr="00744101">
        <w:rPr>
          <w:sz w:val="28"/>
          <w:szCs w:val="28"/>
        </w:rPr>
        <w:t>Informatīvais ziņojums</w:t>
      </w:r>
    </w:p>
    <w:p w:rsidR="001C09DB" w:rsidRPr="00744101" w:rsidRDefault="00F107E6" w:rsidP="001C09DB">
      <w:pPr>
        <w:jc w:val="center"/>
        <w:rPr>
          <w:b/>
          <w:bCs/>
          <w:sz w:val="28"/>
          <w:szCs w:val="28"/>
        </w:rPr>
      </w:pPr>
      <w:bookmarkStart w:id="4" w:name="OLE_LINK5"/>
      <w:bookmarkStart w:id="5" w:name="OLE_LINK6"/>
      <w:bookmarkStart w:id="6" w:name="OLE_LINK1"/>
      <w:bookmarkEnd w:id="0"/>
      <w:bookmarkEnd w:id="1"/>
      <w:r>
        <w:rPr>
          <w:b/>
          <w:bCs/>
          <w:sz w:val="28"/>
          <w:szCs w:val="28"/>
        </w:rPr>
        <w:t xml:space="preserve">par Eiropas Savienības </w:t>
      </w:r>
      <w:r w:rsidR="001C09DB" w:rsidRPr="00744101">
        <w:rPr>
          <w:b/>
          <w:sz w:val="28"/>
          <w:szCs w:val="28"/>
        </w:rPr>
        <w:t xml:space="preserve">Tieslietu un iekšlietu ministru padomes </w:t>
      </w:r>
      <w:r w:rsidR="001C09DB" w:rsidRPr="00744101">
        <w:rPr>
          <w:b/>
          <w:bCs/>
          <w:sz w:val="28"/>
          <w:szCs w:val="28"/>
        </w:rPr>
        <w:t>201</w:t>
      </w:r>
      <w:r w:rsidR="005208EF" w:rsidRPr="00744101">
        <w:rPr>
          <w:b/>
          <w:bCs/>
          <w:sz w:val="28"/>
          <w:szCs w:val="28"/>
        </w:rPr>
        <w:t>2</w:t>
      </w:r>
      <w:r w:rsidR="001C09DB" w:rsidRPr="00744101">
        <w:rPr>
          <w:b/>
          <w:bCs/>
          <w:sz w:val="28"/>
          <w:szCs w:val="28"/>
        </w:rPr>
        <w:t xml:space="preserve">. gada </w:t>
      </w:r>
      <w:r w:rsidR="005208EF" w:rsidRPr="00744101">
        <w:rPr>
          <w:b/>
          <w:bCs/>
          <w:sz w:val="28"/>
          <w:szCs w:val="28"/>
        </w:rPr>
        <w:t>26</w:t>
      </w:r>
      <w:r w:rsidR="001C09DB" w:rsidRPr="00744101">
        <w:rPr>
          <w:b/>
          <w:bCs/>
          <w:sz w:val="28"/>
          <w:szCs w:val="28"/>
        </w:rPr>
        <w:t>.-</w:t>
      </w:r>
      <w:r w:rsidR="005208EF" w:rsidRPr="00744101">
        <w:rPr>
          <w:b/>
          <w:bCs/>
          <w:sz w:val="28"/>
          <w:szCs w:val="28"/>
        </w:rPr>
        <w:t>27</w:t>
      </w:r>
      <w:r w:rsidR="001C09DB" w:rsidRPr="00744101">
        <w:rPr>
          <w:b/>
          <w:bCs/>
          <w:sz w:val="28"/>
          <w:szCs w:val="28"/>
        </w:rPr>
        <w:t>. </w:t>
      </w:r>
      <w:r w:rsidR="005208EF" w:rsidRPr="00744101">
        <w:rPr>
          <w:b/>
          <w:bCs/>
          <w:sz w:val="28"/>
          <w:szCs w:val="28"/>
        </w:rPr>
        <w:t>aprīļa</w:t>
      </w:r>
      <w:r w:rsidR="001C09DB" w:rsidRPr="00744101">
        <w:rPr>
          <w:b/>
          <w:bCs/>
          <w:sz w:val="28"/>
          <w:szCs w:val="28"/>
        </w:rPr>
        <w:t xml:space="preserve"> </w:t>
      </w:r>
      <w:r w:rsidR="001C09DB" w:rsidRPr="00744101">
        <w:rPr>
          <w:b/>
          <w:sz w:val="28"/>
          <w:szCs w:val="28"/>
        </w:rPr>
        <w:t>sanāksm</w:t>
      </w:r>
      <w:r w:rsidR="001C09DB" w:rsidRPr="00744101">
        <w:rPr>
          <w:b/>
          <w:bCs/>
          <w:sz w:val="28"/>
          <w:szCs w:val="28"/>
        </w:rPr>
        <w:t xml:space="preserve">ē izskatāmajiem jautājumiem </w:t>
      </w:r>
    </w:p>
    <w:bookmarkEnd w:id="2"/>
    <w:bookmarkEnd w:id="3"/>
    <w:bookmarkEnd w:id="4"/>
    <w:bookmarkEnd w:id="5"/>
    <w:bookmarkEnd w:id="6"/>
    <w:p w:rsidR="001C09DB" w:rsidRPr="00744101" w:rsidRDefault="001C09DB" w:rsidP="001C09DB">
      <w:pPr>
        <w:jc w:val="center"/>
        <w:rPr>
          <w:sz w:val="28"/>
          <w:szCs w:val="28"/>
        </w:rPr>
      </w:pPr>
    </w:p>
    <w:p w:rsidR="001C09DB" w:rsidRPr="00744101" w:rsidRDefault="001C09DB" w:rsidP="001C09DB">
      <w:pPr>
        <w:pStyle w:val="Heading5"/>
        <w:jc w:val="both"/>
        <w:rPr>
          <w:sz w:val="28"/>
          <w:szCs w:val="28"/>
        </w:rPr>
      </w:pPr>
      <w:r w:rsidRPr="00744101">
        <w:rPr>
          <w:sz w:val="28"/>
          <w:szCs w:val="28"/>
        </w:rPr>
        <w:t>I Ministru padomes sanāksmes darba kārtība</w:t>
      </w:r>
    </w:p>
    <w:p w:rsidR="001C09DB" w:rsidRPr="00744101" w:rsidRDefault="001C09DB" w:rsidP="002B7DB3">
      <w:pPr>
        <w:jc w:val="both"/>
        <w:rPr>
          <w:sz w:val="28"/>
          <w:szCs w:val="28"/>
        </w:rPr>
      </w:pPr>
    </w:p>
    <w:p w:rsidR="001C09DB" w:rsidRPr="00744101" w:rsidRDefault="005208EF" w:rsidP="002B7DB3">
      <w:pPr>
        <w:ind w:firstLine="720"/>
        <w:jc w:val="both"/>
        <w:rPr>
          <w:sz w:val="28"/>
          <w:szCs w:val="28"/>
        </w:rPr>
      </w:pPr>
      <w:r w:rsidRPr="00744101">
        <w:rPr>
          <w:sz w:val="28"/>
          <w:szCs w:val="28"/>
        </w:rPr>
        <w:t>Luksemburgā,</w:t>
      </w:r>
      <w:r w:rsidR="001C09DB" w:rsidRPr="00744101">
        <w:rPr>
          <w:sz w:val="28"/>
          <w:szCs w:val="28"/>
        </w:rPr>
        <w:t xml:space="preserve"> 201</w:t>
      </w:r>
      <w:r w:rsidRPr="00744101">
        <w:rPr>
          <w:sz w:val="28"/>
          <w:szCs w:val="28"/>
        </w:rPr>
        <w:t>2</w:t>
      </w:r>
      <w:r w:rsidR="001C09DB" w:rsidRPr="00744101">
        <w:rPr>
          <w:sz w:val="28"/>
          <w:szCs w:val="28"/>
        </w:rPr>
        <w:t>.</w:t>
      </w:r>
      <w:r w:rsidRPr="00744101">
        <w:rPr>
          <w:sz w:val="28"/>
          <w:szCs w:val="28"/>
        </w:rPr>
        <w:t> </w:t>
      </w:r>
      <w:r w:rsidR="001C09DB" w:rsidRPr="00744101">
        <w:rPr>
          <w:bCs/>
          <w:sz w:val="28"/>
          <w:szCs w:val="28"/>
        </w:rPr>
        <w:t xml:space="preserve">gada </w:t>
      </w:r>
      <w:r w:rsidRPr="00744101">
        <w:rPr>
          <w:bCs/>
          <w:sz w:val="28"/>
          <w:szCs w:val="28"/>
        </w:rPr>
        <w:t>26</w:t>
      </w:r>
      <w:r w:rsidR="001C09DB" w:rsidRPr="00744101">
        <w:rPr>
          <w:bCs/>
          <w:sz w:val="28"/>
          <w:szCs w:val="28"/>
        </w:rPr>
        <w:t>.-</w:t>
      </w:r>
      <w:r w:rsidR="00575008" w:rsidRPr="00744101">
        <w:rPr>
          <w:bCs/>
          <w:sz w:val="28"/>
          <w:szCs w:val="28"/>
        </w:rPr>
        <w:t>27. a</w:t>
      </w:r>
      <w:r w:rsidRPr="00744101">
        <w:rPr>
          <w:bCs/>
          <w:sz w:val="28"/>
          <w:szCs w:val="28"/>
        </w:rPr>
        <w:t xml:space="preserve">prīlī, </w:t>
      </w:r>
      <w:r w:rsidR="001C09DB" w:rsidRPr="00744101">
        <w:rPr>
          <w:sz w:val="28"/>
          <w:szCs w:val="28"/>
        </w:rPr>
        <w:t>notiks kārtējā Eiropas Savienības (turpmāk – ES) Tieslietu un iekšlietu ministru padomes sanāksme, kuras darba kārtībā ir ietverti šādi Tieslietu ministrijas</w:t>
      </w:r>
      <w:r w:rsidRPr="00744101">
        <w:rPr>
          <w:sz w:val="28"/>
          <w:szCs w:val="28"/>
        </w:rPr>
        <w:t xml:space="preserve"> un Ārlietu ministrijas</w:t>
      </w:r>
      <w:r w:rsidR="001C09DB" w:rsidRPr="00744101">
        <w:rPr>
          <w:sz w:val="28"/>
          <w:szCs w:val="28"/>
        </w:rPr>
        <w:t xml:space="preserve"> kompetencē esošie jautājumi: </w:t>
      </w:r>
    </w:p>
    <w:p w:rsidR="001C09DB" w:rsidRPr="00744101" w:rsidRDefault="001C09DB" w:rsidP="002B7DB3">
      <w:pPr>
        <w:ind w:firstLine="720"/>
        <w:jc w:val="both"/>
        <w:rPr>
          <w:sz w:val="28"/>
          <w:szCs w:val="28"/>
        </w:rPr>
      </w:pPr>
    </w:p>
    <w:p w:rsidR="00575008" w:rsidRPr="00744101" w:rsidRDefault="00575008" w:rsidP="002B7DB3">
      <w:pPr>
        <w:ind w:firstLine="720"/>
        <w:jc w:val="both"/>
        <w:rPr>
          <w:sz w:val="28"/>
          <w:szCs w:val="28"/>
        </w:rPr>
      </w:pPr>
      <w:r w:rsidRPr="00744101">
        <w:rPr>
          <w:sz w:val="28"/>
          <w:szCs w:val="28"/>
        </w:rPr>
        <w:t xml:space="preserve">1. Priekšlikums Eiropas Parlamenta un Padomes regulai par aizsardzības pasākumu savstarpēju atzīšanu civillietās; </w:t>
      </w:r>
    </w:p>
    <w:p w:rsidR="00575008" w:rsidRPr="00744101" w:rsidRDefault="00575008" w:rsidP="002B7DB3">
      <w:pPr>
        <w:ind w:firstLine="720"/>
        <w:jc w:val="both"/>
        <w:rPr>
          <w:sz w:val="28"/>
          <w:szCs w:val="28"/>
        </w:rPr>
      </w:pPr>
      <w:r w:rsidRPr="00744101">
        <w:rPr>
          <w:sz w:val="28"/>
          <w:szCs w:val="28"/>
        </w:rPr>
        <w:t>2</w:t>
      </w:r>
      <w:r w:rsidR="00A24B59" w:rsidRPr="00744101">
        <w:rPr>
          <w:sz w:val="28"/>
          <w:szCs w:val="28"/>
        </w:rPr>
        <w:t>.</w:t>
      </w:r>
      <w:r w:rsidRPr="00744101">
        <w:rPr>
          <w:sz w:val="28"/>
          <w:szCs w:val="28"/>
        </w:rPr>
        <w:t xml:space="preserve"> Priekšlikums Eiropas Parlamenta un Padomes direktīvai par kriminālajām sankcijām par iekšējās informācijas ļaunprātīgu izmantošanu un tirgus manipulācijām; </w:t>
      </w:r>
    </w:p>
    <w:p w:rsidR="00575008" w:rsidRPr="00744101" w:rsidRDefault="00575008" w:rsidP="002B7DB3">
      <w:pPr>
        <w:ind w:firstLine="720"/>
        <w:jc w:val="both"/>
        <w:rPr>
          <w:sz w:val="28"/>
          <w:szCs w:val="28"/>
        </w:rPr>
      </w:pPr>
      <w:r w:rsidRPr="00744101">
        <w:rPr>
          <w:sz w:val="28"/>
          <w:szCs w:val="28"/>
        </w:rPr>
        <w:t xml:space="preserve">3. Priekšlikums Eiropas Parlamenta un Padomes direktīvai par noziedzīgi iegūto līdzekļu iesaldēšanu un konfiskāciju; </w:t>
      </w:r>
    </w:p>
    <w:p w:rsidR="00575008" w:rsidRPr="00744101" w:rsidRDefault="00575008" w:rsidP="002B7DB3">
      <w:pPr>
        <w:ind w:firstLine="720"/>
        <w:jc w:val="both"/>
        <w:rPr>
          <w:sz w:val="28"/>
          <w:szCs w:val="28"/>
        </w:rPr>
      </w:pPr>
      <w:r w:rsidRPr="00744101">
        <w:rPr>
          <w:sz w:val="28"/>
          <w:szCs w:val="28"/>
        </w:rPr>
        <w:t>4. ES pievienošanās Eiropas Cilvēktiesību un pamatb</w:t>
      </w:r>
      <w:r w:rsidR="00521BF9" w:rsidRPr="00744101">
        <w:rPr>
          <w:sz w:val="28"/>
          <w:szCs w:val="28"/>
        </w:rPr>
        <w:t xml:space="preserve">rīvību aizsardzības konvencijai; </w:t>
      </w:r>
    </w:p>
    <w:p w:rsidR="00521BF9" w:rsidRPr="00744101" w:rsidRDefault="00521BF9" w:rsidP="002B7DB3">
      <w:pPr>
        <w:ind w:firstLine="720"/>
        <w:jc w:val="both"/>
        <w:rPr>
          <w:sz w:val="28"/>
          <w:szCs w:val="28"/>
        </w:rPr>
      </w:pPr>
      <w:r w:rsidRPr="00744101">
        <w:rPr>
          <w:sz w:val="28"/>
          <w:szCs w:val="28"/>
        </w:rPr>
        <w:t xml:space="preserve">5. Totalitāro režīmu upuru piemiņa. </w:t>
      </w:r>
    </w:p>
    <w:p w:rsidR="001C09DB" w:rsidRPr="00744101" w:rsidRDefault="001C09DB" w:rsidP="00D43D8E">
      <w:pPr>
        <w:pStyle w:val="ListParagraph"/>
        <w:ind w:left="709" w:right="-1"/>
        <w:jc w:val="both"/>
        <w:rPr>
          <w:sz w:val="28"/>
          <w:szCs w:val="28"/>
        </w:rPr>
      </w:pPr>
      <w:bookmarkStart w:id="7" w:name="OLE_LINK2"/>
    </w:p>
    <w:bookmarkEnd w:id="7"/>
    <w:p w:rsidR="001C09DB" w:rsidRPr="00744101" w:rsidRDefault="001C09DB" w:rsidP="001C09DB">
      <w:pPr>
        <w:pStyle w:val="BodyText2"/>
        <w:jc w:val="both"/>
        <w:rPr>
          <w:b/>
          <w:bCs/>
          <w:sz w:val="28"/>
          <w:szCs w:val="28"/>
          <w:u w:val="single"/>
        </w:rPr>
      </w:pPr>
      <w:r w:rsidRPr="00744101">
        <w:rPr>
          <w:b/>
          <w:bCs/>
          <w:sz w:val="28"/>
          <w:szCs w:val="28"/>
          <w:u w:val="single"/>
        </w:rPr>
        <w:t xml:space="preserve">II </w:t>
      </w:r>
      <w:r w:rsidR="00A43000" w:rsidRPr="00744101">
        <w:rPr>
          <w:b/>
          <w:bCs/>
          <w:sz w:val="28"/>
          <w:szCs w:val="28"/>
          <w:u w:val="single"/>
        </w:rPr>
        <w:t xml:space="preserve">Latvijas nacionālās pozīcijas </w:t>
      </w:r>
      <w:r w:rsidRPr="00744101">
        <w:rPr>
          <w:b/>
          <w:bCs/>
          <w:sz w:val="28"/>
          <w:szCs w:val="28"/>
          <w:u w:val="single"/>
        </w:rPr>
        <w:t xml:space="preserve"> </w:t>
      </w:r>
    </w:p>
    <w:p w:rsidR="001C09DB" w:rsidRPr="00744101" w:rsidRDefault="001C09DB" w:rsidP="001C09DB">
      <w:pPr>
        <w:pStyle w:val="ListParagraph"/>
        <w:ind w:left="644"/>
        <w:jc w:val="both"/>
        <w:rPr>
          <w:sz w:val="28"/>
          <w:szCs w:val="28"/>
        </w:rPr>
      </w:pPr>
      <w:r w:rsidRPr="00744101">
        <w:rPr>
          <w:sz w:val="28"/>
          <w:szCs w:val="28"/>
        </w:rPr>
        <w:t xml:space="preserve">       </w:t>
      </w:r>
    </w:p>
    <w:p w:rsidR="006533B0" w:rsidRPr="00744101" w:rsidRDefault="006533B0" w:rsidP="006533B0">
      <w:pPr>
        <w:ind w:firstLine="720"/>
        <w:jc w:val="both"/>
        <w:rPr>
          <w:b/>
          <w:bCs/>
          <w:sz w:val="28"/>
          <w:szCs w:val="28"/>
        </w:rPr>
      </w:pPr>
      <w:r w:rsidRPr="00744101">
        <w:rPr>
          <w:b/>
          <w:bCs/>
          <w:sz w:val="28"/>
          <w:szCs w:val="28"/>
        </w:rPr>
        <w:t xml:space="preserve">1. Priekšlikums Eiropas Parlamenta un Padomes regulai par aizsardzības pasākumu savstarpēju atzīšanu civillietās </w:t>
      </w:r>
    </w:p>
    <w:p w:rsidR="00E624EC" w:rsidRPr="00744101" w:rsidRDefault="00E624EC" w:rsidP="006533B0">
      <w:pPr>
        <w:ind w:firstLine="720"/>
        <w:jc w:val="both"/>
        <w:rPr>
          <w:sz w:val="28"/>
          <w:szCs w:val="28"/>
        </w:rPr>
      </w:pPr>
    </w:p>
    <w:p w:rsidR="006533B0" w:rsidRPr="00744101" w:rsidRDefault="006533B0" w:rsidP="006533B0">
      <w:pPr>
        <w:ind w:firstLine="720"/>
        <w:jc w:val="both"/>
        <w:rPr>
          <w:sz w:val="28"/>
          <w:szCs w:val="28"/>
        </w:rPr>
      </w:pPr>
      <w:r w:rsidRPr="00744101">
        <w:rPr>
          <w:sz w:val="28"/>
          <w:szCs w:val="28"/>
        </w:rPr>
        <w:t xml:space="preserve">Lai aizsargātu personas, kuras ir cietušas no vardarbības, vai varētu tikt apdraudētas, ES dalībvalstu nacionālajos tiesību aktos ir paredzēta iespēja pieņemt dažāda veida pagaidu aizsardzības un preventīvos pasākumus. Pasākumi var būt pieņemti civilprocesa, administratīvā vai kriminālprocesa ietvaros, tos var pieņemt kā tiesu, tā arī cita veida iestādes, atkarībā no konkrētās dalībvalsts nacionālā regulējuma. </w:t>
      </w:r>
    </w:p>
    <w:p w:rsidR="006533B0" w:rsidRPr="00744101" w:rsidRDefault="006533B0" w:rsidP="006533B0">
      <w:pPr>
        <w:ind w:firstLine="720"/>
        <w:jc w:val="both"/>
        <w:rPr>
          <w:sz w:val="28"/>
          <w:szCs w:val="28"/>
        </w:rPr>
      </w:pPr>
      <w:r w:rsidRPr="00744101">
        <w:rPr>
          <w:sz w:val="28"/>
          <w:szCs w:val="28"/>
        </w:rPr>
        <w:t xml:space="preserve">Pastāvot personu pārvietošanas brīvībai ES, svarīgi nodrošināt, ka pagaidu aizsardzības un preventīvie pasākumi, ko pieņēmusi viena dalībvalsts, saglabājas arī tad, ja persona ceļo vai pārceļas uz citu dalībvalsti. Lai sasniegtu minēto mērķi, 2011.gada 13.decembrī tika pieņemta Eiropas Parlamenta un Padomes Direktīva 2011/99/ES par Eiropas Aizsardzības rīkojumu, lai nodrošinātu to aizsardzības pasākumu atzīšanu, kuri dalībvalstīs ir pieņemti nolūkā aizsargāt personu no krimināltiesiskā nodarījuma. </w:t>
      </w:r>
      <w:r w:rsidR="00E624EC" w:rsidRPr="00744101">
        <w:rPr>
          <w:sz w:val="28"/>
          <w:szCs w:val="28"/>
        </w:rPr>
        <w:t xml:space="preserve">Papildinot minētās direktīvas regulējumu ārpus kriminālprocesa jomas, </w:t>
      </w:r>
      <w:r w:rsidRPr="00744101">
        <w:rPr>
          <w:sz w:val="28"/>
          <w:szCs w:val="28"/>
        </w:rPr>
        <w:t xml:space="preserve">2011.gada 20.maijā Eiropas Komisija nāca klajā ar priekšlikumu Eiropas Parlamenta un Padomes regulai par aizsardzības pasākumu savstarpēju atzīšanu civillietās, tādējādi papildinot </w:t>
      </w:r>
      <w:r w:rsidRPr="00744101">
        <w:rPr>
          <w:sz w:val="28"/>
          <w:szCs w:val="28"/>
        </w:rPr>
        <w:lastRenderedPageBreak/>
        <w:t>minētās direktīvas regulējumu, paredz to aizsardzības pasākumu atzīšanas mehānismu, kuri ir pieņemti ārpus kriminālprocesa.</w:t>
      </w:r>
      <w:r w:rsidR="00E624EC" w:rsidRPr="00744101">
        <w:rPr>
          <w:sz w:val="28"/>
          <w:szCs w:val="28"/>
        </w:rPr>
        <w:t xml:space="preserve"> </w:t>
      </w:r>
    </w:p>
    <w:p w:rsidR="006533B0" w:rsidRPr="00744101" w:rsidRDefault="006533B0" w:rsidP="006533B0">
      <w:pPr>
        <w:ind w:firstLine="720"/>
        <w:jc w:val="both"/>
        <w:rPr>
          <w:sz w:val="28"/>
          <w:szCs w:val="28"/>
        </w:rPr>
      </w:pPr>
      <w:r w:rsidRPr="00744101">
        <w:rPr>
          <w:sz w:val="28"/>
          <w:szCs w:val="28"/>
        </w:rPr>
        <w:t xml:space="preserve">ES Padomes Civillietu komitejas ekspertu līmenī ir vairakkārt diskutēts par priekšlikuma noteikumiem nolūkā izveidot pēc iespējas efektīvāku sistēmu. Rezultātā vairāki priekšlikuma noteikumiem tika precizēti, tajā pašā laikā attiecībā uz svarīgākajiem diskusiju jautājumiem tiek piedāvāts vēlamais risinājums, kuram būtu nepieciešams ministru politisks atbalsts, lai turpinātu ekspertu diskusijas. Tādējādi šajā </w:t>
      </w:r>
      <w:r w:rsidR="004503D8" w:rsidRPr="00744101">
        <w:rPr>
          <w:sz w:val="28"/>
          <w:szCs w:val="28"/>
          <w:lang w:eastAsia="lv-LV"/>
        </w:rPr>
        <w:t>ES Tieslietu un iekšlietu ministru p</w:t>
      </w:r>
      <w:r w:rsidRPr="00744101">
        <w:rPr>
          <w:sz w:val="28"/>
          <w:szCs w:val="28"/>
        </w:rPr>
        <w:t xml:space="preserve">adomes sanāksmē dalībvalstu ministri ir aicināti sniegt politiskas vadlīnijas un apstiprināt vēlamo risinājumu attiecībā uz tādiem jautājumiem kā priekšlikuma piemērošanas joma, ātrākas, vienkāršākas un efektīvākas atzīšanas sistēmas izveide priekšlikuma ietvaros, kā arī risinājumi saistībā ar priekšlikumā paredzētajām standarta formām, kuras tiks izmantotas atzīšanas procesā. </w:t>
      </w:r>
    </w:p>
    <w:p w:rsidR="004503D8" w:rsidRPr="00744101" w:rsidRDefault="004503D8" w:rsidP="001A5A85">
      <w:pPr>
        <w:jc w:val="both"/>
        <w:rPr>
          <w:b/>
          <w:bCs/>
          <w:sz w:val="28"/>
          <w:szCs w:val="28"/>
        </w:rPr>
      </w:pPr>
    </w:p>
    <w:p w:rsidR="006533B0" w:rsidRPr="00744101" w:rsidRDefault="006533B0" w:rsidP="006533B0">
      <w:pPr>
        <w:ind w:firstLine="720"/>
        <w:jc w:val="both"/>
        <w:rPr>
          <w:sz w:val="28"/>
          <w:szCs w:val="28"/>
        </w:rPr>
      </w:pPr>
      <w:r w:rsidRPr="00744101">
        <w:rPr>
          <w:b/>
          <w:bCs/>
          <w:sz w:val="28"/>
          <w:szCs w:val="28"/>
        </w:rPr>
        <w:t>2. Priekšlikums Eiropas Parlamenta un Padomes direktīvai par kriminālajām sankcijām par iekšējās informācijas ļaunprātīgu izmantošanu un tirgus manipulācijām</w:t>
      </w:r>
    </w:p>
    <w:p w:rsidR="006533B0" w:rsidRPr="00744101" w:rsidRDefault="006533B0" w:rsidP="006533B0">
      <w:pPr>
        <w:ind w:firstLine="720"/>
        <w:jc w:val="both"/>
        <w:rPr>
          <w:sz w:val="28"/>
          <w:szCs w:val="28"/>
        </w:rPr>
      </w:pPr>
    </w:p>
    <w:p w:rsidR="006533B0" w:rsidRPr="00744101" w:rsidRDefault="00E624EC" w:rsidP="006533B0">
      <w:pPr>
        <w:ind w:firstLine="720"/>
        <w:jc w:val="both"/>
        <w:rPr>
          <w:sz w:val="28"/>
          <w:szCs w:val="28"/>
        </w:rPr>
      </w:pPr>
      <w:r w:rsidRPr="00744101">
        <w:rPr>
          <w:sz w:val="28"/>
          <w:szCs w:val="28"/>
        </w:rPr>
        <w:t xml:space="preserve">   </w:t>
      </w:r>
      <w:r w:rsidR="006533B0" w:rsidRPr="00744101">
        <w:rPr>
          <w:sz w:val="28"/>
          <w:szCs w:val="28"/>
        </w:rPr>
        <w:t xml:space="preserve">Eiropas Komisija, ņemot vērā Līguma par ES darbību 83. panta 2. punktu un Eiropas Ekonomikas un sociālo lietu komitejas atzinumu, 2011.gada 11.oktobrī nāca klajā ar priekšlikumu direktīvai par kriminālsankcijām iekšējās informācijas ļaunprātīgas izmantošanas un tirgus manipulāciju gadījumā. </w:t>
      </w:r>
    </w:p>
    <w:p w:rsidR="006533B0" w:rsidRPr="00744101" w:rsidRDefault="006533B0" w:rsidP="006533B0">
      <w:pPr>
        <w:jc w:val="both"/>
        <w:rPr>
          <w:sz w:val="28"/>
          <w:szCs w:val="28"/>
          <w:lang w:eastAsia="fr-BE"/>
        </w:rPr>
      </w:pPr>
      <w:r w:rsidRPr="00744101">
        <w:rPr>
          <w:sz w:val="28"/>
          <w:szCs w:val="28"/>
          <w:lang w:eastAsia="fr-BE"/>
        </w:rPr>
        <w:t xml:space="preserve">              Priekšlikuma mērķis ir paredzēt minimālās prasības attiecībā uz kriminālajām sankcijām par smagākajiem noziegumiem finanšu tirgū (iekšējās informācijas ļaunprātīgā izmantošana un tirgus manipulācijas), papildinot ES līmenī pastāvošo 2003.gada regulējumu cīņā ar minētajām darbībām. Agrāk ES līmenī netika paredzēts, ka par minētajām darbībām dalībvalstīm ir jāparedz kriminālās sankcijas. </w:t>
      </w:r>
    </w:p>
    <w:p w:rsidR="006533B0" w:rsidRPr="00744101" w:rsidRDefault="006533B0" w:rsidP="006533B0">
      <w:pPr>
        <w:jc w:val="both"/>
        <w:rPr>
          <w:sz w:val="28"/>
          <w:szCs w:val="28"/>
          <w:lang w:eastAsia="fr-BE"/>
        </w:rPr>
      </w:pPr>
      <w:r w:rsidRPr="00744101">
        <w:rPr>
          <w:sz w:val="28"/>
          <w:szCs w:val="28"/>
          <w:lang w:eastAsia="fr-BE"/>
        </w:rPr>
        <w:t>              Priekšlikums ir jāskata ciešā kontekstā ar 2003.gadā pieņemto direktīvu par cīņu pret tirgus ļaunprātīgu izmantošanu</w:t>
      </w:r>
      <w:r w:rsidR="00E624EC" w:rsidRPr="00744101">
        <w:rPr>
          <w:sz w:val="28"/>
          <w:szCs w:val="28"/>
          <w:vertAlign w:val="superscript"/>
          <w:lang w:eastAsia="fr-BE"/>
        </w:rPr>
        <w:footnoteReference w:id="1"/>
      </w:r>
      <w:r w:rsidRPr="00744101">
        <w:rPr>
          <w:sz w:val="28"/>
          <w:szCs w:val="28"/>
          <w:lang w:eastAsia="fr-BE"/>
        </w:rPr>
        <w:t>. Šobrīd plānots š</w:t>
      </w:r>
      <w:r w:rsidR="004503D8" w:rsidRPr="00744101">
        <w:rPr>
          <w:sz w:val="28"/>
          <w:szCs w:val="28"/>
          <w:lang w:eastAsia="fr-BE"/>
        </w:rPr>
        <w:t>o</w:t>
      </w:r>
      <w:r w:rsidRPr="00744101">
        <w:rPr>
          <w:sz w:val="28"/>
          <w:szCs w:val="28"/>
          <w:lang w:eastAsia="fr-BE"/>
        </w:rPr>
        <w:t>s direktīvas noteikumus pilnveidot, un Eiropas Komisija jau ir nākusi klajā ar regulas projektu</w:t>
      </w:r>
      <w:r w:rsidR="00E624EC" w:rsidRPr="00744101">
        <w:rPr>
          <w:sz w:val="28"/>
          <w:szCs w:val="28"/>
          <w:vertAlign w:val="superscript"/>
          <w:lang w:eastAsia="fr-BE"/>
        </w:rPr>
        <w:footnoteReference w:id="2"/>
      </w:r>
      <w:r w:rsidRPr="00744101">
        <w:rPr>
          <w:sz w:val="28"/>
          <w:szCs w:val="28"/>
          <w:lang w:eastAsia="fr-BE"/>
        </w:rPr>
        <w:t xml:space="preserve">, kas aizstās 2003.gada regulējumu. Priekšlikums ir ciešā saiknē ar minēto regulas projektu un ir tam pakārtots. </w:t>
      </w:r>
    </w:p>
    <w:p w:rsidR="006533B0" w:rsidRPr="00744101" w:rsidRDefault="006533B0" w:rsidP="006533B0">
      <w:pPr>
        <w:jc w:val="both"/>
        <w:rPr>
          <w:sz w:val="28"/>
          <w:szCs w:val="28"/>
        </w:rPr>
      </w:pPr>
      <w:r w:rsidRPr="00744101">
        <w:rPr>
          <w:sz w:val="28"/>
          <w:szCs w:val="28"/>
          <w:lang w:eastAsia="fr-BE"/>
        </w:rPr>
        <w:t xml:space="preserve">              Priekšlikuma noteikumi tika apspriesti ekspertu līmenī ES Padomes Materiālo Krimināltiesību darba grupas ietvaros un </w:t>
      </w:r>
      <w:r w:rsidRPr="00744101">
        <w:rPr>
          <w:sz w:val="28"/>
          <w:szCs w:val="28"/>
        </w:rPr>
        <w:t xml:space="preserve">kopumā ir panākts ievērojams progress. Jautājumam par direktīvas projektā paredzēto sodu pielāgošanu ministri pieskārās arī ES Tieslietu un iekšlietu neformālās padomes sanāksmes ietvaros š.g. 26.-27.janvārī. </w:t>
      </w:r>
    </w:p>
    <w:p w:rsidR="006533B0" w:rsidRPr="00744101" w:rsidRDefault="006533B0" w:rsidP="006533B0">
      <w:pPr>
        <w:jc w:val="both"/>
        <w:rPr>
          <w:sz w:val="28"/>
          <w:szCs w:val="28"/>
        </w:rPr>
      </w:pPr>
      <w:r w:rsidRPr="00744101">
        <w:rPr>
          <w:sz w:val="28"/>
          <w:szCs w:val="28"/>
        </w:rPr>
        <w:lastRenderedPageBreak/>
        <w:t xml:space="preserve">              Šīs </w:t>
      </w:r>
      <w:r w:rsidR="004503D8" w:rsidRPr="00744101">
        <w:rPr>
          <w:sz w:val="28"/>
          <w:szCs w:val="28"/>
        </w:rPr>
        <w:t>P</w:t>
      </w:r>
      <w:r w:rsidRPr="00744101">
        <w:rPr>
          <w:sz w:val="28"/>
          <w:szCs w:val="28"/>
        </w:rPr>
        <w:t>adomes sanāksmes ietvaros dalībvalstu ministri ir aicināti apstiprināt vispārējo pieeju attiecībā uz priekšlikuma 5.-12.pantu (uzkūdīšana, atbalstīšana, līdzdalība un mēģinājums; kriminālās sankcijas; juridisko personu atbildība; sankcijas juridiskām personām un citi tehniskā rakstura noteikumi tādi kā direktīvas noteikumu pārņemšana, stāšanās spēkā). Priekšlikuma 1.- 4. pants (direktīvas priekšmets, darbības joma, definīcijas, proti, iekšējās informācijas ļaunprātīga izmantošana un tirgus manipulācijas) šobrīd netiek izskatīti, jo tie ir pakārtoti regulas projektam,  kas tiek izskatīts citos ES Padomes formātos. Lai diskutētu par priekšlikuma 1.- 4.pantu, nepieciešama virzība diskusijās par regulas projektu. Tiklīdz šāda virzība tiks īstenota, krimināltiesību eksperti, kā arī ES Tieslietu un iekšlietu ministru padome diskutēs par priekšlikuma 1.- 4. pantu.</w:t>
      </w:r>
    </w:p>
    <w:p w:rsidR="006533B0" w:rsidRPr="00744101" w:rsidRDefault="006533B0" w:rsidP="00575008">
      <w:pPr>
        <w:ind w:firstLine="720"/>
        <w:jc w:val="both"/>
        <w:rPr>
          <w:b/>
          <w:sz w:val="28"/>
          <w:szCs w:val="28"/>
        </w:rPr>
      </w:pPr>
    </w:p>
    <w:p w:rsidR="00A43000" w:rsidRPr="00744101" w:rsidRDefault="00A43000" w:rsidP="00A43000">
      <w:pPr>
        <w:rPr>
          <w:b/>
          <w:sz w:val="28"/>
          <w:szCs w:val="28"/>
          <w:u w:val="single"/>
        </w:rPr>
      </w:pPr>
      <w:r w:rsidRPr="00744101">
        <w:rPr>
          <w:b/>
          <w:sz w:val="28"/>
          <w:szCs w:val="28"/>
          <w:u w:val="single"/>
        </w:rPr>
        <w:t>III Citi Padomes sanāksmē izskatāmie jautājumi</w:t>
      </w:r>
    </w:p>
    <w:p w:rsidR="000A7AE4" w:rsidRPr="00744101" w:rsidRDefault="000A7AE4" w:rsidP="001A5A85">
      <w:pPr>
        <w:jc w:val="both"/>
        <w:rPr>
          <w:sz w:val="28"/>
          <w:szCs w:val="28"/>
        </w:rPr>
      </w:pPr>
    </w:p>
    <w:p w:rsidR="00870F3E" w:rsidRPr="00744101" w:rsidRDefault="000A7AE4" w:rsidP="00870F3E">
      <w:pPr>
        <w:ind w:firstLine="720"/>
        <w:jc w:val="both"/>
        <w:rPr>
          <w:b/>
          <w:sz w:val="28"/>
          <w:szCs w:val="28"/>
        </w:rPr>
      </w:pPr>
      <w:r w:rsidRPr="00744101">
        <w:rPr>
          <w:b/>
          <w:sz w:val="28"/>
          <w:szCs w:val="28"/>
        </w:rPr>
        <w:t>3.</w:t>
      </w:r>
      <w:r w:rsidRPr="00744101">
        <w:rPr>
          <w:sz w:val="28"/>
          <w:szCs w:val="28"/>
        </w:rPr>
        <w:t> </w:t>
      </w:r>
      <w:r w:rsidRPr="00744101">
        <w:rPr>
          <w:b/>
          <w:sz w:val="28"/>
          <w:szCs w:val="28"/>
        </w:rPr>
        <w:t>Priekšlikums Eiropas Parlamenta un Padomes direktīvai par noziedzīgi iegūto līdzekļu iesaldēšanu un konfiskāciju</w:t>
      </w:r>
      <w:r w:rsidR="00870F3E" w:rsidRPr="00744101">
        <w:rPr>
          <w:b/>
          <w:sz w:val="28"/>
          <w:szCs w:val="28"/>
        </w:rPr>
        <w:t xml:space="preserve"> </w:t>
      </w:r>
    </w:p>
    <w:p w:rsidR="00870F3E" w:rsidRPr="00744101" w:rsidRDefault="00870F3E" w:rsidP="00870F3E">
      <w:pPr>
        <w:ind w:firstLine="720"/>
        <w:jc w:val="both"/>
        <w:rPr>
          <w:b/>
          <w:sz w:val="28"/>
          <w:szCs w:val="28"/>
        </w:rPr>
      </w:pPr>
    </w:p>
    <w:p w:rsidR="00300718" w:rsidRPr="00744101" w:rsidRDefault="00300718" w:rsidP="00870F3E">
      <w:pPr>
        <w:ind w:firstLine="720"/>
        <w:jc w:val="both"/>
        <w:rPr>
          <w:sz w:val="28"/>
          <w:szCs w:val="28"/>
          <w:lang w:eastAsia="fr-BE"/>
        </w:rPr>
      </w:pPr>
      <w:r w:rsidRPr="00744101">
        <w:rPr>
          <w:sz w:val="28"/>
          <w:szCs w:val="28"/>
          <w:lang w:eastAsia="lv-LV"/>
        </w:rPr>
        <w:t>Š.g. 12. martā E</w:t>
      </w:r>
      <w:r w:rsidR="00870F3E" w:rsidRPr="00744101">
        <w:rPr>
          <w:sz w:val="28"/>
          <w:szCs w:val="28"/>
          <w:lang w:eastAsia="lv-LV"/>
        </w:rPr>
        <w:t xml:space="preserve">iropas </w:t>
      </w:r>
      <w:r w:rsidRPr="00744101">
        <w:rPr>
          <w:sz w:val="28"/>
          <w:szCs w:val="28"/>
          <w:lang w:eastAsia="lv-LV"/>
        </w:rPr>
        <w:t>K</w:t>
      </w:r>
      <w:r w:rsidR="00870F3E" w:rsidRPr="00744101">
        <w:rPr>
          <w:sz w:val="28"/>
          <w:szCs w:val="28"/>
          <w:lang w:eastAsia="lv-LV"/>
        </w:rPr>
        <w:t>omisija</w:t>
      </w:r>
      <w:r w:rsidRPr="00744101">
        <w:rPr>
          <w:sz w:val="28"/>
          <w:szCs w:val="28"/>
          <w:lang w:eastAsia="lv-LV"/>
        </w:rPr>
        <w:t xml:space="preserve"> ir nākusi klajā ar </w:t>
      </w:r>
      <w:r w:rsidR="00870F3E" w:rsidRPr="00744101">
        <w:rPr>
          <w:sz w:val="28"/>
          <w:szCs w:val="28"/>
          <w:lang w:eastAsia="lv-LV"/>
        </w:rPr>
        <w:t>priekšlikumu, kas d</w:t>
      </w:r>
      <w:r w:rsidRPr="00744101">
        <w:rPr>
          <w:sz w:val="28"/>
          <w:szCs w:val="28"/>
          <w:lang w:eastAsia="lv-LV"/>
        </w:rPr>
        <w:t>alībvalstīm tiks prezentēts</w:t>
      </w:r>
      <w:r w:rsidR="00870F3E" w:rsidRPr="00744101">
        <w:rPr>
          <w:sz w:val="28"/>
          <w:szCs w:val="28"/>
          <w:lang w:eastAsia="lv-LV"/>
        </w:rPr>
        <w:t xml:space="preserve"> šajā</w:t>
      </w:r>
      <w:r w:rsidRPr="00744101">
        <w:rPr>
          <w:sz w:val="28"/>
          <w:szCs w:val="28"/>
          <w:lang w:eastAsia="lv-LV"/>
        </w:rPr>
        <w:t xml:space="preserve"> </w:t>
      </w:r>
      <w:r w:rsidR="00870F3E" w:rsidRPr="00744101">
        <w:rPr>
          <w:sz w:val="28"/>
          <w:szCs w:val="28"/>
          <w:lang w:eastAsia="lv-LV"/>
        </w:rPr>
        <w:t>ES</w:t>
      </w:r>
      <w:r w:rsidRPr="00744101">
        <w:rPr>
          <w:sz w:val="28"/>
          <w:szCs w:val="28"/>
          <w:lang w:eastAsia="lv-LV"/>
        </w:rPr>
        <w:t xml:space="preserve"> Tieslietu un iekšlietu ministru padomes sanāksmē. </w:t>
      </w:r>
      <w:r w:rsidR="00870F3E" w:rsidRPr="00744101">
        <w:rPr>
          <w:sz w:val="28"/>
          <w:szCs w:val="28"/>
          <w:lang w:eastAsia="lv-LV"/>
        </w:rPr>
        <w:t xml:space="preserve">Š.g. maijā ir plānots uzsākt priekšlikuma izskatīšanu pēc būtības. Tā mērķis ir </w:t>
      </w:r>
      <w:r w:rsidRPr="00744101">
        <w:rPr>
          <w:sz w:val="28"/>
          <w:szCs w:val="28"/>
          <w:lang w:eastAsia="fr-BE"/>
        </w:rPr>
        <w:t>atvieglot ES dalībvalstu iestādēm iespēju konfiscēt un atgūt peļņu, ko nozie</w:t>
      </w:r>
      <w:r w:rsidR="004503D8" w:rsidRPr="00744101">
        <w:rPr>
          <w:sz w:val="28"/>
          <w:szCs w:val="28"/>
          <w:lang w:eastAsia="fr-BE"/>
        </w:rPr>
        <w:t>g</w:t>
      </w:r>
      <w:r w:rsidRPr="00744101">
        <w:rPr>
          <w:sz w:val="28"/>
          <w:szCs w:val="28"/>
          <w:lang w:eastAsia="fr-BE"/>
        </w:rPr>
        <w:t xml:space="preserve">uma izdarītāji gūst smagu un organizētu noziegumu rezultātā. </w:t>
      </w:r>
      <w:r w:rsidR="00870F3E" w:rsidRPr="00744101">
        <w:rPr>
          <w:sz w:val="28"/>
          <w:szCs w:val="28"/>
          <w:lang w:eastAsia="fr-BE"/>
        </w:rPr>
        <w:t xml:space="preserve"> </w:t>
      </w:r>
    </w:p>
    <w:p w:rsidR="00300718" w:rsidRPr="00744101" w:rsidRDefault="00870F3E" w:rsidP="00300718">
      <w:pPr>
        <w:tabs>
          <w:tab w:val="left" w:pos="284"/>
          <w:tab w:val="left" w:pos="567"/>
          <w:tab w:val="left" w:pos="851"/>
          <w:tab w:val="left" w:pos="1134"/>
          <w:tab w:val="left" w:pos="1418"/>
        </w:tabs>
        <w:jc w:val="both"/>
        <w:rPr>
          <w:sz w:val="28"/>
          <w:szCs w:val="28"/>
          <w:lang w:eastAsia="fr-BE"/>
        </w:rPr>
      </w:pPr>
      <w:r w:rsidRPr="00744101">
        <w:rPr>
          <w:sz w:val="28"/>
          <w:szCs w:val="28"/>
          <w:lang w:eastAsia="fr-BE"/>
        </w:rPr>
        <w:tab/>
      </w:r>
      <w:r w:rsidRPr="00744101">
        <w:rPr>
          <w:sz w:val="28"/>
          <w:szCs w:val="28"/>
          <w:lang w:eastAsia="fr-BE"/>
        </w:rPr>
        <w:tab/>
      </w:r>
      <w:r w:rsidR="00300718" w:rsidRPr="00744101">
        <w:rPr>
          <w:sz w:val="28"/>
          <w:szCs w:val="28"/>
          <w:lang w:eastAsia="fr-BE"/>
        </w:rPr>
        <w:t>Šī brīža ES līmeņa tiesisko regulējumu attiecībā uz noziedzīgi iegūtu līdzekļu iesaldēšanu un konfiskāciju veido vairāki Pamatlēmumi, kas pieņemti laika periodā no 2001.</w:t>
      </w:r>
      <w:r w:rsidRPr="00744101">
        <w:rPr>
          <w:sz w:val="28"/>
          <w:szCs w:val="28"/>
          <w:lang w:eastAsia="fr-BE"/>
        </w:rPr>
        <w:t> </w:t>
      </w:r>
      <w:r w:rsidR="00300718" w:rsidRPr="00744101">
        <w:rPr>
          <w:sz w:val="28"/>
          <w:szCs w:val="28"/>
          <w:lang w:eastAsia="fr-BE"/>
        </w:rPr>
        <w:t>līdz 2007.gadam</w:t>
      </w:r>
      <w:r w:rsidR="00300718" w:rsidRPr="00744101">
        <w:rPr>
          <w:sz w:val="28"/>
          <w:szCs w:val="28"/>
          <w:vertAlign w:val="superscript"/>
          <w:lang w:eastAsia="fr-BE"/>
        </w:rPr>
        <w:footnoteReference w:id="3"/>
      </w:r>
      <w:r w:rsidR="00300718" w:rsidRPr="00744101">
        <w:rPr>
          <w:sz w:val="28"/>
          <w:szCs w:val="28"/>
          <w:lang w:eastAsia="fr-BE"/>
        </w:rPr>
        <w:t>. Tomēr E</w:t>
      </w:r>
      <w:r w:rsidRPr="00744101">
        <w:rPr>
          <w:sz w:val="28"/>
          <w:szCs w:val="28"/>
          <w:lang w:eastAsia="fr-BE"/>
        </w:rPr>
        <w:t xml:space="preserve">iropas </w:t>
      </w:r>
      <w:r w:rsidR="00300718" w:rsidRPr="00744101">
        <w:rPr>
          <w:sz w:val="28"/>
          <w:szCs w:val="28"/>
          <w:lang w:eastAsia="fr-BE"/>
        </w:rPr>
        <w:t>K</w:t>
      </w:r>
      <w:r w:rsidRPr="00744101">
        <w:rPr>
          <w:sz w:val="28"/>
          <w:szCs w:val="28"/>
          <w:lang w:eastAsia="fr-BE"/>
        </w:rPr>
        <w:t>omisija</w:t>
      </w:r>
      <w:r w:rsidR="00300718" w:rsidRPr="00744101">
        <w:rPr>
          <w:sz w:val="28"/>
          <w:szCs w:val="28"/>
          <w:lang w:eastAsia="fr-BE"/>
        </w:rPr>
        <w:t xml:space="preserve"> atzīst, ka, ņemot vērā atšķirīgo pieeju to ieviešanā ES dalībvalstīs, kā arī to, ka dalībvalstis kopumā ar to nesteidzas, būtu nepieciešama efektīvāka ES rīcība. </w:t>
      </w:r>
    </w:p>
    <w:p w:rsidR="00300718" w:rsidRPr="00744101" w:rsidRDefault="00870F3E" w:rsidP="00300718">
      <w:pPr>
        <w:ind w:firstLine="720"/>
        <w:jc w:val="both"/>
        <w:rPr>
          <w:sz w:val="28"/>
          <w:szCs w:val="28"/>
        </w:rPr>
      </w:pPr>
      <w:r w:rsidRPr="00744101">
        <w:rPr>
          <w:sz w:val="28"/>
          <w:szCs w:val="28"/>
          <w:lang w:eastAsia="lv-LV"/>
        </w:rPr>
        <w:t xml:space="preserve">Priekšlikums </w:t>
      </w:r>
      <w:r w:rsidR="00300718" w:rsidRPr="00744101">
        <w:rPr>
          <w:sz w:val="28"/>
          <w:szCs w:val="28"/>
          <w:lang w:eastAsia="lv-LV"/>
        </w:rPr>
        <w:t xml:space="preserve">paredz noteikt dalībvalstīm noteikumu minimumu attiecībā uz noziedzīgi iegūtu </w:t>
      </w:r>
      <w:r w:rsidR="006533B0" w:rsidRPr="00744101">
        <w:rPr>
          <w:sz w:val="28"/>
          <w:szCs w:val="28"/>
          <w:lang w:eastAsia="lv-LV"/>
        </w:rPr>
        <w:t>līdz</w:t>
      </w:r>
      <w:r w:rsidR="00300718" w:rsidRPr="00744101">
        <w:rPr>
          <w:sz w:val="28"/>
          <w:szCs w:val="28"/>
          <w:lang w:eastAsia="lv-LV"/>
        </w:rPr>
        <w:t>e</w:t>
      </w:r>
      <w:r w:rsidR="006533B0" w:rsidRPr="00744101">
        <w:rPr>
          <w:sz w:val="28"/>
          <w:szCs w:val="28"/>
          <w:lang w:eastAsia="lv-LV"/>
        </w:rPr>
        <w:t>k</w:t>
      </w:r>
      <w:r w:rsidR="00300718" w:rsidRPr="00744101">
        <w:rPr>
          <w:sz w:val="28"/>
          <w:szCs w:val="28"/>
          <w:lang w:eastAsia="lv-LV"/>
        </w:rPr>
        <w:t>ļu iesaldēšanu un konfiskāciju, ko veic, izmantojot tiešu konfiskāciju, vērtību konfiskāciju, paplašinātu konfiskāciju, konfiskāciju bez notiesājoša sprieduma (noteiktajos gadījumos) un</w:t>
      </w:r>
      <w:r w:rsidR="006533B0" w:rsidRPr="00744101">
        <w:rPr>
          <w:sz w:val="28"/>
          <w:szCs w:val="28"/>
          <w:lang w:eastAsia="lv-LV"/>
        </w:rPr>
        <w:t xml:space="preserve"> konfiskāciju, ko piemēro trešajai</w:t>
      </w:r>
      <w:r w:rsidR="00300718" w:rsidRPr="00744101">
        <w:rPr>
          <w:sz w:val="28"/>
          <w:szCs w:val="28"/>
          <w:lang w:eastAsia="lv-LV"/>
        </w:rPr>
        <w:t xml:space="preserve"> personai. Šādu noteikumu minimuma pieņemšana ļaus turpināt līdzekļu iesaldēšanas un konfiskācijas režīmu saskaņošanu dalībvalstīs.</w:t>
      </w:r>
      <w:r w:rsidR="006533B0" w:rsidRPr="00744101">
        <w:rPr>
          <w:sz w:val="28"/>
          <w:szCs w:val="28"/>
          <w:lang w:eastAsia="lv-LV"/>
        </w:rPr>
        <w:t xml:space="preserve"> </w:t>
      </w:r>
    </w:p>
    <w:p w:rsidR="006711E6" w:rsidRPr="00744101" w:rsidRDefault="006711E6" w:rsidP="000A7AE4">
      <w:pPr>
        <w:ind w:firstLine="720"/>
        <w:jc w:val="both"/>
        <w:rPr>
          <w:b/>
          <w:sz w:val="28"/>
          <w:szCs w:val="28"/>
        </w:rPr>
      </w:pPr>
    </w:p>
    <w:p w:rsidR="000A7AE4" w:rsidRPr="00744101" w:rsidRDefault="000A7AE4" w:rsidP="000A7AE4">
      <w:pPr>
        <w:ind w:firstLine="720"/>
        <w:jc w:val="both"/>
        <w:rPr>
          <w:b/>
          <w:sz w:val="28"/>
          <w:szCs w:val="28"/>
        </w:rPr>
      </w:pPr>
      <w:r w:rsidRPr="00744101">
        <w:rPr>
          <w:b/>
          <w:sz w:val="28"/>
          <w:szCs w:val="28"/>
        </w:rPr>
        <w:t>4. ES pievienošanās Eiropas Cilvēktiesību un pamatbrīvību aizsardzības konvencijai</w:t>
      </w:r>
    </w:p>
    <w:p w:rsidR="00DC20C5" w:rsidRPr="00744101" w:rsidRDefault="00DC20C5" w:rsidP="00DC20C5">
      <w:pPr>
        <w:jc w:val="both"/>
        <w:rPr>
          <w:bCs/>
          <w:sz w:val="28"/>
          <w:szCs w:val="28"/>
        </w:rPr>
      </w:pPr>
      <w:r w:rsidRPr="00744101">
        <w:rPr>
          <w:b/>
          <w:sz w:val="28"/>
          <w:szCs w:val="28"/>
        </w:rPr>
        <w:lastRenderedPageBreak/>
        <w:tab/>
      </w:r>
      <w:r w:rsidRPr="00744101">
        <w:rPr>
          <w:sz w:val="28"/>
          <w:szCs w:val="28"/>
        </w:rPr>
        <w:t>Šajā ES Tieslietu un iekšlietu ministru padomes sanāksmē dalībvalstu ministri tiks informēti par ekspertu līmenī notik</w:t>
      </w:r>
      <w:r w:rsidRPr="00744101">
        <w:rPr>
          <w:bCs/>
          <w:sz w:val="28"/>
          <w:szCs w:val="28"/>
        </w:rPr>
        <w:t xml:space="preserve">ušajām diskusijām par priekšlikumiem iespējamiem uzlabojumiem (grozījumiem) ES pievienošanās </w:t>
      </w:r>
      <w:r w:rsidRPr="00744101">
        <w:rPr>
          <w:sz w:val="28"/>
          <w:szCs w:val="28"/>
        </w:rPr>
        <w:t>Eiropas Cilvēktiesību un pamatbrīvību aizsardzības konvencijai</w:t>
      </w:r>
      <w:r w:rsidRPr="00744101">
        <w:rPr>
          <w:bCs/>
          <w:sz w:val="28"/>
          <w:szCs w:val="28"/>
        </w:rPr>
        <w:t xml:space="preserve"> līguma projektā un ar to saistītajā dokumentu paketē (turpmāk – Līgums). </w:t>
      </w:r>
    </w:p>
    <w:p w:rsidR="00DC20C5" w:rsidRPr="00744101" w:rsidRDefault="00DC20C5" w:rsidP="00DC20C5">
      <w:pPr>
        <w:pStyle w:val="BodyText2"/>
        <w:tabs>
          <w:tab w:val="left" w:pos="9288"/>
        </w:tabs>
        <w:jc w:val="both"/>
        <w:rPr>
          <w:bCs/>
          <w:sz w:val="28"/>
          <w:szCs w:val="28"/>
        </w:rPr>
      </w:pPr>
      <w:r w:rsidRPr="00744101">
        <w:rPr>
          <w:bCs/>
          <w:sz w:val="28"/>
          <w:szCs w:val="28"/>
        </w:rPr>
        <w:t xml:space="preserve">            Prezidentūra vēl</w:t>
      </w:r>
      <w:r w:rsidR="004503D8" w:rsidRPr="00744101">
        <w:rPr>
          <w:bCs/>
          <w:sz w:val="28"/>
          <w:szCs w:val="28"/>
        </w:rPr>
        <w:t>a</w:t>
      </w:r>
      <w:r w:rsidRPr="00744101">
        <w:rPr>
          <w:bCs/>
          <w:sz w:val="28"/>
          <w:szCs w:val="28"/>
        </w:rPr>
        <w:t>s viedokļu apmaiņu par turpmākajiem soļiem. Šobrīd gandrīz visas dalībvalstis atbalsta priekšlikumu nodot ES Padomes ietvaros ekspertu izstrādātos priekšlikumus uzlabojumiem (grozījumiem) Līgumā sarunu vedējam (</w:t>
      </w:r>
      <w:r w:rsidR="004F0A3A" w:rsidRPr="00744101">
        <w:rPr>
          <w:bCs/>
          <w:sz w:val="28"/>
          <w:szCs w:val="28"/>
        </w:rPr>
        <w:t xml:space="preserve">Eiropas </w:t>
      </w:r>
      <w:r w:rsidRPr="00744101">
        <w:rPr>
          <w:bCs/>
          <w:sz w:val="28"/>
          <w:szCs w:val="28"/>
        </w:rPr>
        <w:t>Komisijai), lai atsāktu diskusijas Eiropas Padomes līmenī Strasbūrā.</w:t>
      </w:r>
      <w:proofErr w:type="gramStart"/>
      <w:r w:rsidRPr="00744101">
        <w:rPr>
          <w:bCs/>
          <w:sz w:val="28"/>
          <w:szCs w:val="28"/>
        </w:rPr>
        <w:t xml:space="preserve">  </w:t>
      </w:r>
      <w:proofErr w:type="gramEnd"/>
      <w:r w:rsidRPr="00744101">
        <w:rPr>
          <w:bCs/>
          <w:sz w:val="28"/>
          <w:szCs w:val="28"/>
        </w:rPr>
        <w:t xml:space="preserve">Ekspertu izstrādātie priekšlikumi pietiekamā mērā skar ES svarīgos diskusijas aspektus, kā arī paredz rīcības brīvību </w:t>
      </w:r>
      <w:r w:rsidR="004F0A3A" w:rsidRPr="00744101">
        <w:rPr>
          <w:bCs/>
          <w:sz w:val="28"/>
          <w:szCs w:val="28"/>
        </w:rPr>
        <w:t xml:space="preserve">Eiropas </w:t>
      </w:r>
      <w:r w:rsidRPr="00744101">
        <w:rPr>
          <w:bCs/>
          <w:sz w:val="28"/>
          <w:szCs w:val="28"/>
        </w:rPr>
        <w:t>Komisijai sarunās Eiropas Padomē, kurā</w:t>
      </w:r>
      <w:r w:rsidR="0036725D" w:rsidRPr="00744101">
        <w:rPr>
          <w:bCs/>
          <w:sz w:val="28"/>
          <w:szCs w:val="28"/>
        </w:rPr>
        <w:t>s</w:t>
      </w:r>
      <w:r w:rsidRPr="00744101">
        <w:rPr>
          <w:bCs/>
          <w:sz w:val="28"/>
          <w:szCs w:val="28"/>
        </w:rPr>
        <w:t xml:space="preserve"> piedalīsies Eiropas Padomes</w:t>
      </w:r>
      <w:r w:rsidR="0036725D" w:rsidRPr="00744101">
        <w:rPr>
          <w:bCs/>
          <w:sz w:val="28"/>
          <w:szCs w:val="28"/>
        </w:rPr>
        <w:t xml:space="preserve"> dalībvalstis un E</w:t>
      </w:r>
      <w:r w:rsidRPr="00744101">
        <w:rPr>
          <w:bCs/>
          <w:sz w:val="28"/>
          <w:szCs w:val="28"/>
        </w:rPr>
        <w:t>iropas Cilvēktiesību tiesa</w:t>
      </w:r>
      <w:r w:rsidR="0036725D" w:rsidRPr="00744101">
        <w:rPr>
          <w:bCs/>
          <w:sz w:val="28"/>
          <w:szCs w:val="28"/>
        </w:rPr>
        <w:t xml:space="preserve">. </w:t>
      </w:r>
      <w:r w:rsidRPr="00744101">
        <w:rPr>
          <w:bCs/>
          <w:sz w:val="28"/>
          <w:szCs w:val="28"/>
        </w:rPr>
        <w:t xml:space="preserve"> </w:t>
      </w:r>
    </w:p>
    <w:p w:rsidR="00521BF9" w:rsidRPr="00744101" w:rsidRDefault="00521BF9" w:rsidP="007316C5">
      <w:pPr>
        <w:pStyle w:val="BodyText2"/>
        <w:ind w:firstLine="709"/>
        <w:jc w:val="both"/>
        <w:rPr>
          <w:sz w:val="28"/>
          <w:szCs w:val="28"/>
        </w:rPr>
      </w:pPr>
    </w:p>
    <w:p w:rsidR="00521BF9" w:rsidRPr="00744101" w:rsidRDefault="00521BF9" w:rsidP="007316C5">
      <w:pPr>
        <w:pStyle w:val="BodyText2"/>
        <w:ind w:firstLine="709"/>
        <w:jc w:val="both"/>
        <w:rPr>
          <w:b/>
          <w:sz w:val="28"/>
          <w:szCs w:val="28"/>
        </w:rPr>
      </w:pPr>
      <w:r w:rsidRPr="00744101">
        <w:rPr>
          <w:b/>
          <w:sz w:val="28"/>
          <w:szCs w:val="28"/>
        </w:rPr>
        <w:t xml:space="preserve">5. Totalitāro režīmu upuru piemiņa </w:t>
      </w:r>
    </w:p>
    <w:p w:rsidR="006711E6" w:rsidRPr="00744101" w:rsidRDefault="004503D8" w:rsidP="006711E6">
      <w:pPr>
        <w:ind w:firstLine="709"/>
        <w:jc w:val="both"/>
        <w:rPr>
          <w:sz w:val="28"/>
          <w:szCs w:val="28"/>
        </w:rPr>
      </w:pPr>
      <w:r w:rsidRPr="00744101">
        <w:rPr>
          <w:sz w:val="28"/>
          <w:szCs w:val="28"/>
        </w:rPr>
        <w:t xml:space="preserve">ES Tieslietu un iekšlietu ministru padomes sanāksmes </w:t>
      </w:r>
      <w:r w:rsidR="006711E6" w:rsidRPr="00744101">
        <w:rPr>
          <w:sz w:val="28"/>
          <w:szCs w:val="28"/>
        </w:rPr>
        <w:t xml:space="preserve">laikā Ungārija plāno informēt ES dalībvalstu tieslietu ministrus, ka 2012.gada 23.augustā tā organizēs ES līmeņa atceres dienu totalitāro režīmu upuru piemiņai. </w:t>
      </w:r>
    </w:p>
    <w:p w:rsidR="006711E6" w:rsidRPr="00744101" w:rsidRDefault="00F4424E" w:rsidP="00406059">
      <w:pPr>
        <w:ind w:firstLine="709"/>
        <w:jc w:val="both"/>
        <w:rPr>
          <w:sz w:val="28"/>
          <w:szCs w:val="28"/>
        </w:rPr>
      </w:pPr>
      <w:r w:rsidRPr="00744101">
        <w:rPr>
          <w:sz w:val="28"/>
          <w:szCs w:val="28"/>
        </w:rPr>
        <w:t xml:space="preserve">Eiropas Parlaments </w:t>
      </w:r>
      <w:r w:rsidR="006711E6" w:rsidRPr="00744101">
        <w:rPr>
          <w:sz w:val="28"/>
          <w:szCs w:val="28"/>
        </w:rPr>
        <w:t>ar 2009. gada 2. aprīļa rezolūciju ir aicinājis visā Eiropā pasludināt 23. augustu par Visu totalitāro un nedemokrātisko režīmu upuru atceres dienu</w:t>
      </w:r>
      <w:r w:rsidRPr="00744101">
        <w:rPr>
          <w:sz w:val="28"/>
          <w:szCs w:val="28"/>
        </w:rPr>
        <w:t xml:space="preserve">. Saskaņā ar </w:t>
      </w:r>
      <w:r w:rsidR="006711E6" w:rsidRPr="00744101">
        <w:rPr>
          <w:sz w:val="28"/>
          <w:szCs w:val="28"/>
        </w:rPr>
        <w:t>2011.gada Padomes secinājumiem par atmiņām par totalitāro režīmu pastrādātajiem noziegumiem Eiropā</w:t>
      </w:r>
      <w:r w:rsidRPr="00744101">
        <w:rPr>
          <w:sz w:val="28"/>
          <w:szCs w:val="28"/>
        </w:rPr>
        <w:t>,</w:t>
      </w:r>
      <w:r w:rsidR="006711E6" w:rsidRPr="00744101">
        <w:rPr>
          <w:sz w:val="28"/>
          <w:szCs w:val="28"/>
        </w:rPr>
        <w:t xml:space="preserve"> 2011.gada 23.augustā ES prezidējošajā valstī Polijā notika pirmā konference, kas bija veltīta Eiropas mēroga dienai totalitāro režīmu upuru piemiņai. Konferences dalībnieki pieņēma un parakstīja Varšavas deklarāciju</w:t>
      </w:r>
      <w:r w:rsidR="00F91274" w:rsidRPr="00744101">
        <w:rPr>
          <w:sz w:val="28"/>
          <w:szCs w:val="28"/>
        </w:rPr>
        <w:t xml:space="preserve">, lai pieminētu Eiropas </w:t>
      </w:r>
      <w:r w:rsidR="006711E6" w:rsidRPr="00744101">
        <w:rPr>
          <w:sz w:val="28"/>
          <w:szCs w:val="28"/>
        </w:rPr>
        <w:t>totalitāro režīmu upuru atceres dien</w:t>
      </w:r>
      <w:r w:rsidR="00F91274" w:rsidRPr="00744101">
        <w:rPr>
          <w:sz w:val="28"/>
          <w:szCs w:val="28"/>
        </w:rPr>
        <w:t>u</w:t>
      </w:r>
      <w:r w:rsidR="006711E6" w:rsidRPr="00744101">
        <w:rPr>
          <w:sz w:val="28"/>
          <w:szCs w:val="28"/>
        </w:rPr>
        <w:t>. Deklarācijā pausts atbalsts totalitāro režīmu upuriem, nodrošinot, ka viņu ciešanas netiks aizmirstas</w:t>
      </w:r>
      <w:r w:rsidR="004503D8" w:rsidRPr="00744101">
        <w:rPr>
          <w:sz w:val="28"/>
          <w:szCs w:val="28"/>
        </w:rPr>
        <w:t>,</w:t>
      </w:r>
      <w:r w:rsidR="006711E6" w:rsidRPr="00744101">
        <w:rPr>
          <w:sz w:val="28"/>
          <w:szCs w:val="28"/>
        </w:rPr>
        <w:t xml:space="preserve"> un noziegumu vaininieki tiks saukti pie atbildības. Deklarācijas parakstītāji aicina ES Padomi un Komisiju atbalstīt nevalstisko organizāciju aktivitātes, iesaistot Austrumu kaimiņvalstu organizācijas, kuras ir aktīvi iesaistītas dokumentu par totalitārajiem režīmiem apkopošanā un veicina vēsturiskās izpratnes veidošanos.</w:t>
      </w:r>
    </w:p>
    <w:p w:rsidR="00C95D33" w:rsidRPr="00744101" w:rsidRDefault="006711E6" w:rsidP="006711E6">
      <w:pPr>
        <w:ind w:firstLine="720"/>
        <w:jc w:val="both"/>
        <w:rPr>
          <w:b/>
          <w:sz w:val="28"/>
          <w:szCs w:val="28"/>
        </w:rPr>
      </w:pPr>
      <w:r w:rsidRPr="00744101">
        <w:rPr>
          <w:sz w:val="28"/>
          <w:szCs w:val="28"/>
        </w:rPr>
        <w:t xml:space="preserve">2014.gada 23.augustā </w:t>
      </w:r>
      <w:r w:rsidR="00FF2323" w:rsidRPr="00744101">
        <w:rPr>
          <w:sz w:val="28"/>
          <w:szCs w:val="28"/>
        </w:rPr>
        <w:t>Latvija</w:t>
      </w:r>
      <w:r w:rsidRPr="00744101">
        <w:rPr>
          <w:sz w:val="28"/>
          <w:szCs w:val="28"/>
        </w:rPr>
        <w:t xml:space="preserve"> plāno organizēt ES līmeņa konferenci, lai </w:t>
      </w:r>
      <w:r w:rsidR="00FF2323" w:rsidRPr="00744101">
        <w:rPr>
          <w:sz w:val="28"/>
          <w:szCs w:val="28"/>
        </w:rPr>
        <w:t xml:space="preserve">pieminētu </w:t>
      </w:r>
      <w:r w:rsidRPr="00744101">
        <w:rPr>
          <w:sz w:val="28"/>
          <w:szCs w:val="28"/>
        </w:rPr>
        <w:t xml:space="preserve">Eiropas </w:t>
      </w:r>
      <w:r w:rsidR="00FF2323" w:rsidRPr="00744101">
        <w:rPr>
          <w:sz w:val="28"/>
          <w:szCs w:val="28"/>
        </w:rPr>
        <w:t>totalitāro režīmu upuru atceres dienu</w:t>
      </w:r>
      <w:r w:rsidRPr="00744101">
        <w:rPr>
          <w:sz w:val="28"/>
          <w:szCs w:val="28"/>
        </w:rPr>
        <w:t>.</w:t>
      </w:r>
    </w:p>
    <w:p w:rsidR="00F4424E" w:rsidRPr="00744101" w:rsidRDefault="00F4424E" w:rsidP="00F107E6">
      <w:pPr>
        <w:jc w:val="both"/>
        <w:rPr>
          <w:b/>
          <w:sz w:val="28"/>
          <w:szCs w:val="28"/>
        </w:rPr>
      </w:pPr>
      <w:bookmarkStart w:id="8" w:name="_GoBack"/>
      <w:bookmarkEnd w:id="8"/>
    </w:p>
    <w:p w:rsidR="001A5A85" w:rsidRDefault="001A5A85" w:rsidP="001C09DB">
      <w:pPr>
        <w:jc w:val="both"/>
        <w:rPr>
          <w:b/>
          <w:sz w:val="28"/>
          <w:szCs w:val="28"/>
          <w:u w:val="single"/>
        </w:rPr>
      </w:pPr>
    </w:p>
    <w:p w:rsidR="001C09DB" w:rsidRPr="00744101" w:rsidRDefault="001C09DB" w:rsidP="001C09DB">
      <w:pPr>
        <w:jc w:val="both"/>
        <w:rPr>
          <w:sz w:val="28"/>
          <w:szCs w:val="28"/>
        </w:rPr>
      </w:pPr>
      <w:r w:rsidRPr="00744101">
        <w:rPr>
          <w:b/>
          <w:sz w:val="28"/>
          <w:szCs w:val="28"/>
          <w:u w:val="single"/>
        </w:rPr>
        <w:t>III Latvijas delegācija</w:t>
      </w:r>
    </w:p>
    <w:p w:rsidR="001C09DB" w:rsidRPr="00744101" w:rsidRDefault="001C09DB" w:rsidP="001C09DB">
      <w:pPr>
        <w:pStyle w:val="BodyText2"/>
        <w:jc w:val="both"/>
        <w:rPr>
          <w:sz w:val="28"/>
          <w:szCs w:val="28"/>
        </w:rPr>
      </w:pPr>
    </w:p>
    <w:p w:rsidR="001C09DB" w:rsidRPr="00744101" w:rsidRDefault="001C09DB" w:rsidP="001C09DB">
      <w:pPr>
        <w:pStyle w:val="BodyText2"/>
        <w:jc w:val="both"/>
        <w:rPr>
          <w:sz w:val="28"/>
          <w:szCs w:val="28"/>
        </w:rPr>
      </w:pPr>
      <w:r w:rsidRPr="00744101">
        <w:rPr>
          <w:sz w:val="28"/>
          <w:szCs w:val="28"/>
        </w:rPr>
        <w:t>Delegācijas vadītājs:</w:t>
      </w:r>
    </w:p>
    <w:p w:rsidR="001C09DB" w:rsidRPr="00744101" w:rsidRDefault="001C09DB" w:rsidP="001C09DB">
      <w:pPr>
        <w:pStyle w:val="BodyText2"/>
        <w:ind w:left="2977" w:hanging="2171"/>
        <w:jc w:val="both"/>
        <w:rPr>
          <w:bCs/>
          <w:sz w:val="28"/>
          <w:szCs w:val="28"/>
        </w:rPr>
      </w:pPr>
      <w:r w:rsidRPr="00744101">
        <w:rPr>
          <w:b/>
          <w:bCs/>
          <w:sz w:val="28"/>
          <w:szCs w:val="28"/>
        </w:rPr>
        <w:t xml:space="preserve"> </w:t>
      </w:r>
      <w:r w:rsidR="00E75886" w:rsidRPr="00744101">
        <w:rPr>
          <w:b/>
          <w:bCs/>
          <w:sz w:val="28"/>
          <w:szCs w:val="28"/>
        </w:rPr>
        <w:t xml:space="preserve">  </w:t>
      </w:r>
      <w:r w:rsidR="001A5A85">
        <w:rPr>
          <w:b/>
          <w:bCs/>
          <w:sz w:val="28"/>
          <w:szCs w:val="28"/>
        </w:rPr>
        <w:t xml:space="preserve">                          </w:t>
      </w:r>
      <w:r w:rsidR="00575008" w:rsidRPr="00744101">
        <w:rPr>
          <w:b/>
          <w:bCs/>
          <w:sz w:val="28"/>
          <w:szCs w:val="28"/>
        </w:rPr>
        <w:t>Mārtiņš Lazdovskis</w:t>
      </w:r>
      <w:r w:rsidRPr="00744101">
        <w:rPr>
          <w:sz w:val="28"/>
          <w:szCs w:val="28"/>
        </w:rPr>
        <w:t>, </w:t>
      </w:r>
      <w:r w:rsidR="00575008" w:rsidRPr="00744101">
        <w:rPr>
          <w:sz w:val="28"/>
          <w:szCs w:val="28"/>
        </w:rPr>
        <w:t>valsts sekretārs</w:t>
      </w:r>
      <w:r w:rsidRPr="00744101">
        <w:rPr>
          <w:sz w:val="28"/>
          <w:szCs w:val="28"/>
        </w:rPr>
        <w:t xml:space="preserve">. </w:t>
      </w:r>
    </w:p>
    <w:p w:rsidR="001C09DB" w:rsidRPr="00744101" w:rsidRDefault="001C09DB" w:rsidP="001C09DB">
      <w:pPr>
        <w:pStyle w:val="BodyText2"/>
        <w:ind w:left="2520" w:hanging="2520"/>
        <w:jc w:val="both"/>
        <w:rPr>
          <w:sz w:val="28"/>
          <w:szCs w:val="28"/>
        </w:rPr>
      </w:pPr>
    </w:p>
    <w:p w:rsidR="00521BF9" w:rsidRPr="00744101" w:rsidRDefault="001C09DB" w:rsidP="00521BF9">
      <w:pPr>
        <w:ind w:left="2977" w:hanging="2977"/>
        <w:jc w:val="both"/>
        <w:rPr>
          <w:sz w:val="28"/>
          <w:szCs w:val="28"/>
        </w:rPr>
      </w:pPr>
      <w:r w:rsidRPr="00744101">
        <w:rPr>
          <w:sz w:val="28"/>
          <w:szCs w:val="28"/>
        </w:rPr>
        <w:t>Delegācijas dalībnieki:</w:t>
      </w:r>
      <w:r w:rsidRPr="00744101">
        <w:rPr>
          <w:sz w:val="28"/>
          <w:szCs w:val="28"/>
        </w:rPr>
        <w:tab/>
      </w:r>
      <w:r w:rsidR="00521BF9" w:rsidRPr="00744101">
        <w:rPr>
          <w:b/>
          <w:sz w:val="28"/>
          <w:szCs w:val="28"/>
        </w:rPr>
        <w:t xml:space="preserve">Ilze </w:t>
      </w:r>
      <w:proofErr w:type="spellStart"/>
      <w:r w:rsidR="00521BF9" w:rsidRPr="00744101">
        <w:rPr>
          <w:b/>
          <w:sz w:val="28"/>
          <w:szCs w:val="28"/>
        </w:rPr>
        <w:t>Juhansone</w:t>
      </w:r>
      <w:proofErr w:type="spellEnd"/>
      <w:r w:rsidR="00521BF9" w:rsidRPr="00744101">
        <w:rPr>
          <w:sz w:val="28"/>
          <w:szCs w:val="28"/>
        </w:rPr>
        <w:t>, ā</w:t>
      </w:r>
      <w:r w:rsidR="00521BF9" w:rsidRPr="00744101">
        <w:rPr>
          <w:bCs/>
          <w:sz w:val="28"/>
          <w:szCs w:val="28"/>
        </w:rPr>
        <w:t>rkārtējā un pilnvarotā vēstniece Latvijas Republikas Pastāvīgajā pārstāvniecībā ES</w:t>
      </w:r>
      <w:r w:rsidR="00521BF9" w:rsidRPr="00744101">
        <w:rPr>
          <w:sz w:val="28"/>
          <w:szCs w:val="28"/>
        </w:rPr>
        <w:t xml:space="preserve">; </w:t>
      </w:r>
    </w:p>
    <w:p w:rsidR="001C09DB" w:rsidRPr="00744101" w:rsidRDefault="001C09DB" w:rsidP="001C09DB">
      <w:pPr>
        <w:ind w:left="2977" w:hanging="2977"/>
        <w:jc w:val="both"/>
        <w:rPr>
          <w:sz w:val="28"/>
          <w:szCs w:val="28"/>
        </w:rPr>
      </w:pPr>
      <w:r w:rsidRPr="00744101">
        <w:rPr>
          <w:sz w:val="28"/>
          <w:szCs w:val="28"/>
        </w:rPr>
        <w:lastRenderedPageBreak/>
        <w:t xml:space="preserve">                </w:t>
      </w:r>
      <w:r w:rsidR="00E75886" w:rsidRPr="00744101">
        <w:rPr>
          <w:sz w:val="28"/>
          <w:szCs w:val="28"/>
        </w:rPr>
        <w:t xml:space="preserve">                          </w:t>
      </w:r>
      <w:r w:rsidR="000A7AE4" w:rsidRPr="00744101">
        <w:rPr>
          <w:b/>
          <w:bCs/>
          <w:sz w:val="28"/>
          <w:szCs w:val="28"/>
        </w:rPr>
        <w:t>Inguss Kalniņš</w:t>
      </w:r>
      <w:r w:rsidRPr="00744101">
        <w:rPr>
          <w:sz w:val="28"/>
          <w:szCs w:val="28"/>
        </w:rPr>
        <w:t>, Tieslietu ministr</w:t>
      </w:r>
      <w:r w:rsidR="000A7AE4" w:rsidRPr="00744101">
        <w:rPr>
          <w:sz w:val="28"/>
          <w:szCs w:val="28"/>
        </w:rPr>
        <w:t xml:space="preserve">ijas valsts sekretāra vietnieks </w:t>
      </w:r>
      <w:r w:rsidRPr="00744101">
        <w:rPr>
          <w:sz w:val="28"/>
          <w:szCs w:val="28"/>
        </w:rPr>
        <w:t>stratēģijas jautājumos;</w:t>
      </w:r>
    </w:p>
    <w:p w:rsidR="001C09DB" w:rsidRPr="00744101" w:rsidRDefault="001C09DB" w:rsidP="001C09DB">
      <w:pPr>
        <w:ind w:left="2977"/>
        <w:jc w:val="both"/>
        <w:rPr>
          <w:sz w:val="28"/>
          <w:szCs w:val="28"/>
        </w:rPr>
      </w:pPr>
      <w:r w:rsidRPr="00744101">
        <w:rPr>
          <w:b/>
          <w:sz w:val="28"/>
          <w:szCs w:val="28"/>
        </w:rPr>
        <w:t>Vita Sliede</w:t>
      </w:r>
      <w:r w:rsidRPr="00744101">
        <w:rPr>
          <w:sz w:val="28"/>
          <w:szCs w:val="28"/>
        </w:rPr>
        <w:t xml:space="preserve">, tieslietu nozares padomniece Latvijas Republikas </w:t>
      </w:r>
      <w:r w:rsidRPr="00744101">
        <w:rPr>
          <w:rStyle w:val="Strong"/>
          <w:b w:val="0"/>
          <w:sz w:val="28"/>
          <w:szCs w:val="28"/>
        </w:rPr>
        <w:t>Pastāvīgajā</w:t>
      </w:r>
      <w:r w:rsidRPr="00744101">
        <w:rPr>
          <w:sz w:val="28"/>
          <w:szCs w:val="28"/>
        </w:rPr>
        <w:t xml:space="preserve"> pārstāvniecībā ES; </w:t>
      </w:r>
    </w:p>
    <w:p w:rsidR="001C09DB" w:rsidRPr="00744101" w:rsidRDefault="001C09DB" w:rsidP="001C09DB">
      <w:pPr>
        <w:ind w:left="2977"/>
        <w:jc w:val="both"/>
        <w:rPr>
          <w:sz w:val="28"/>
          <w:szCs w:val="28"/>
        </w:rPr>
      </w:pPr>
      <w:r w:rsidRPr="00744101">
        <w:rPr>
          <w:b/>
          <w:sz w:val="28"/>
          <w:szCs w:val="28"/>
        </w:rPr>
        <w:t>Sandris Laganovskis</w:t>
      </w:r>
      <w:r w:rsidRPr="00744101">
        <w:rPr>
          <w:sz w:val="28"/>
          <w:szCs w:val="28"/>
        </w:rPr>
        <w:t xml:space="preserve">, tieslietu nozares padomnieks Latvijas Republikas </w:t>
      </w:r>
      <w:r w:rsidRPr="00744101">
        <w:rPr>
          <w:rStyle w:val="Strong"/>
          <w:b w:val="0"/>
          <w:sz w:val="28"/>
          <w:szCs w:val="28"/>
        </w:rPr>
        <w:t>Pastāvīgajā</w:t>
      </w:r>
      <w:r w:rsidRPr="00744101">
        <w:rPr>
          <w:sz w:val="28"/>
          <w:szCs w:val="28"/>
        </w:rPr>
        <w:t xml:space="preserve"> pārstāvniecībā ES. </w:t>
      </w:r>
    </w:p>
    <w:p w:rsidR="001C09DB" w:rsidRPr="00744101" w:rsidRDefault="001C09DB" w:rsidP="001C09DB">
      <w:pPr>
        <w:jc w:val="both"/>
        <w:rPr>
          <w:sz w:val="28"/>
          <w:szCs w:val="28"/>
        </w:rPr>
      </w:pPr>
    </w:p>
    <w:p w:rsidR="00A24B59" w:rsidRPr="00744101" w:rsidRDefault="00A24B59" w:rsidP="001C09DB">
      <w:pPr>
        <w:jc w:val="both"/>
        <w:rPr>
          <w:sz w:val="28"/>
          <w:szCs w:val="28"/>
        </w:rPr>
      </w:pPr>
    </w:p>
    <w:p w:rsidR="00A24B59" w:rsidRPr="00744101" w:rsidRDefault="00A24B59" w:rsidP="001C09DB">
      <w:pPr>
        <w:jc w:val="both"/>
        <w:rPr>
          <w:sz w:val="28"/>
          <w:szCs w:val="28"/>
        </w:rPr>
      </w:pPr>
    </w:p>
    <w:p w:rsidR="001C09DB" w:rsidRPr="00744101" w:rsidRDefault="001C09DB" w:rsidP="001C09DB">
      <w:pPr>
        <w:jc w:val="both"/>
        <w:rPr>
          <w:sz w:val="28"/>
          <w:szCs w:val="28"/>
        </w:rPr>
      </w:pPr>
      <w:r w:rsidRPr="00744101">
        <w:rPr>
          <w:sz w:val="28"/>
          <w:szCs w:val="28"/>
        </w:rPr>
        <w:t>Tieslietu ministrs</w:t>
      </w:r>
      <w:r w:rsidRPr="00744101">
        <w:rPr>
          <w:sz w:val="28"/>
          <w:szCs w:val="28"/>
        </w:rPr>
        <w:tab/>
      </w:r>
      <w:r w:rsidRPr="00744101">
        <w:rPr>
          <w:sz w:val="28"/>
          <w:szCs w:val="28"/>
        </w:rPr>
        <w:tab/>
      </w:r>
      <w:r w:rsidRPr="00744101">
        <w:rPr>
          <w:sz w:val="28"/>
          <w:szCs w:val="28"/>
        </w:rPr>
        <w:tab/>
      </w:r>
      <w:proofErr w:type="gramStart"/>
      <w:r w:rsidRPr="00744101">
        <w:rPr>
          <w:sz w:val="28"/>
          <w:szCs w:val="28"/>
        </w:rPr>
        <w:t xml:space="preserve">    </w:t>
      </w:r>
      <w:proofErr w:type="gramEnd"/>
      <w:r w:rsidRPr="00744101">
        <w:rPr>
          <w:sz w:val="28"/>
          <w:szCs w:val="28"/>
        </w:rPr>
        <w:tab/>
      </w:r>
      <w:r w:rsidRPr="00744101">
        <w:rPr>
          <w:sz w:val="28"/>
          <w:szCs w:val="28"/>
        </w:rPr>
        <w:tab/>
        <w:t xml:space="preserve">                                     </w:t>
      </w:r>
      <w:r w:rsidR="00F107E6">
        <w:rPr>
          <w:sz w:val="28"/>
          <w:szCs w:val="28"/>
        </w:rPr>
        <w:t xml:space="preserve">   </w:t>
      </w:r>
      <w:r w:rsidR="003544B9" w:rsidRPr="00744101">
        <w:rPr>
          <w:sz w:val="28"/>
          <w:szCs w:val="28"/>
        </w:rPr>
        <w:t>G</w:t>
      </w:r>
      <w:r w:rsidRPr="00744101">
        <w:rPr>
          <w:sz w:val="28"/>
          <w:szCs w:val="28"/>
        </w:rPr>
        <w:t xml:space="preserve">. </w:t>
      </w:r>
      <w:r w:rsidR="003544B9" w:rsidRPr="00744101">
        <w:rPr>
          <w:sz w:val="28"/>
          <w:szCs w:val="28"/>
        </w:rPr>
        <w:t>Bērziņš</w:t>
      </w:r>
      <w:r w:rsidRPr="00744101">
        <w:rPr>
          <w:sz w:val="28"/>
          <w:szCs w:val="28"/>
        </w:rPr>
        <w:t xml:space="preserve"> </w:t>
      </w:r>
    </w:p>
    <w:p w:rsidR="002173ED" w:rsidRPr="00744101" w:rsidRDefault="002173ED" w:rsidP="001C09DB">
      <w:pPr>
        <w:jc w:val="both"/>
        <w:rPr>
          <w:sz w:val="28"/>
          <w:szCs w:val="28"/>
        </w:rPr>
      </w:pPr>
    </w:p>
    <w:p w:rsidR="00A24B59" w:rsidRPr="00744101" w:rsidRDefault="00A24B59" w:rsidP="001C09DB">
      <w:pPr>
        <w:jc w:val="both"/>
        <w:rPr>
          <w:sz w:val="28"/>
          <w:szCs w:val="28"/>
        </w:rPr>
      </w:pPr>
    </w:p>
    <w:p w:rsidR="00DC20C5" w:rsidRPr="00744101" w:rsidRDefault="00DC20C5" w:rsidP="001C09DB">
      <w:pPr>
        <w:jc w:val="both"/>
        <w:rPr>
          <w:sz w:val="28"/>
          <w:szCs w:val="28"/>
        </w:rPr>
      </w:pPr>
    </w:p>
    <w:p w:rsidR="001C09DB" w:rsidRPr="00F107E6" w:rsidRDefault="000A7AE4" w:rsidP="001C09DB">
      <w:pPr>
        <w:jc w:val="both"/>
        <w:rPr>
          <w:sz w:val="22"/>
          <w:szCs w:val="22"/>
        </w:rPr>
      </w:pPr>
      <w:r w:rsidRPr="00F107E6">
        <w:rPr>
          <w:sz w:val="22"/>
          <w:szCs w:val="22"/>
        </w:rPr>
        <w:t>2</w:t>
      </w:r>
      <w:r w:rsidR="00573E54" w:rsidRPr="00F107E6">
        <w:rPr>
          <w:sz w:val="22"/>
          <w:szCs w:val="22"/>
        </w:rPr>
        <w:t>3</w:t>
      </w:r>
      <w:r w:rsidR="001C09DB" w:rsidRPr="00F107E6">
        <w:rPr>
          <w:sz w:val="22"/>
          <w:szCs w:val="22"/>
        </w:rPr>
        <w:t>.</w:t>
      </w:r>
      <w:r w:rsidRPr="00F107E6">
        <w:rPr>
          <w:sz w:val="22"/>
          <w:szCs w:val="22"/>
        </w:rPr>
        <w:t>04</w:t>
      </w:r>
      <w:r w:rsidR="001C09DB" w:rsidRPr="00F107E6">
        <w:rPr>
          <w:sz w:val="22"/>
          <w:szCs w:val="22"/>
        </w:rPr>
        <w:t>.201</w:t>
      </w:r>
      <w:r w:rsidRPr="00F107E6">
        <w:rPr>
          <w:sz w:val="22"/>
          <w:szCs w:val="22"/>
        </w:rPr>
        <w:t>2</w:t>
      </w:r>
      <w:r w:rsidR="001C09DB" w:rsidRPr="00F107E6">
        <w:rPr>
          <w:sz w:val="22"/>
          <w:szCs w:val="22"/>
        </w:rPr>
        <w:t xml:space="preserve"> </w:t>
      </w:r>
      <w:r w:rsidR="00F107E6">
        <w:rPr>
          <w:sz w:val="22"/>
          <w:szCs w:val="22"/>
        </w:rPr>
        <w:t>10:</w:t>
      </w:r>
      <w:r w:rsidR="004248BD">
        <w:rPr>
          <w:sz w:val="22"/>
          <w:szCs w:val="22"/>
        </w:rPr>
        <w:t>43</w:t>
      </w:r>
    </w:p>
    <w:p w:rsidR="001C09DB" w:rsidRPr="00F107E6" w:rsidRDefault="00375217" w:rsidP="001C09DB">
      <w:pPr>
        <w:jc w:val="both"/>
        <w:rPr>
          <w:sz w:val="22"/>
          <w:szCs w:val="22"/>
        </w:rPr>
      </w:pPr>
      <w:r w:rsidRPr="00F107E6">
        <w:rPr>
          <w:sz w:val="22"/>
          <w:szCs w:val="22"/>
        </w:rPr>
        <w:t>129</w:t>
      </w:r>
      <w:r w:rsidR="00F107E6">
        <w:rPr>
          <w:sz w:val="22"/>
          <w:szCs w:val="22"/>
        </w:rPr>
        <w:t>5</w:t>
      </w:r>
    </w:p>
    <w:p w:rsidR="002A0044" w:rsidRPr="00F107E6" w:rsidRDefault="002A0044" w:rsidP="001C09DB">
      <w:pPr>
        <w:jc w:val="both"/>
        <w:rPr>
          <w:sz w:val="22"/>
          <w:szCs w:val="22"/>
        </w:rPr>
      </w:pPr>
      <w:r w:rsidRPr="00F107E6">
        <w:rPr>
          <w:sz w:val="22"/>
          <w:szCs w:val="22"/>
        </w:rPr>
        <w:t xml:space="preserve">Anna Skrjabina </w:t>
      </w:r>
    </w:p>
    <w:p w:rsidR="002A0044" w:rsidRPr="00F107E6" w:rsidRDefault="002A0044" w:rsidP="001C09DB">
      <w:pPr>
        <w:jc w:val="both"/>
        <w:rPr>
          <w:sz w:val="22"/>
          <w:szCs w:val="22"/>
        </w:rPr>
      </w:pPr>
      <w:r w:rsidRPr="00F107E6">
        <w:rPr>
          <w:sz w:val="22"/>
          <w:szCs w:val="22"/>
        </w:rPr>
        <w:t xml:space="preserve">67036915, </w:t>
      </w:r>
      <w:hyperlink r:id="rId8" w:history="1">
        <w:r w:rsidRPr="00F107E6">
          <w:rPr>
            <w:rStyle w:val="Hyperlink"/>
            <w:sz w:val="22"/>
            <w:szCs w:val="22"/>
          </w:rPr>
          <w:t>Anna.Skrjabina@tm.gov.lv</w:t>
        </w:r>
      </w:hyperlink>
      <w:r w:rsidRPr="00F107E6">
        <w:rPr>
          <w:sz w:val="22"/>
          <w:szCs w:val="22"/>
        </w:rPr>
        <w:t xml:space="preserve"> </w:t>
      </w:r>
    </w:p>
    <w:p w:rsidR="00521BF9" w:rsidRPr="00F107E6" w:rsidRDefault="00521BF9" w:rsidP="001C09DB">
      <w:pPr>
        <w:jc w:val="both"/>
        <w:rPr>
          <w:sz w:val="22"/>
          <w:szCs w:val="22"/>
        </w:rPr>
      </w:pPr>
      <w:r w:rsidRPr="00F107E6">
        <w:rPr>
          <w:sz w:val="22"/>
          <w:szCs w:val="22"/>
        </w:rPr>
        <w:t>Kristīne Pommere</w:t>
      </w:r>
    </w:p>
    <w:p w:rsidR="00521BF9" w:rsidRPr="00F107E6" w:rsidRDefault="00521BF9" w:rsidP="001C09DB">
      <w:pPr>
        <w:jc w:val="both"/>
        <w:rPr>
          <w:sz w:val="22"/>
          <w:szCs w:val="22"/>
        </w:rPr>
      </w:pPr>
      <w:r w:rsidRPr="00F107E6">
        <w:rPr>
          <w:sz w:val="22"/>
          <w:szCs w:val="22"/>
        </w:rPr>
        <w:t xml:space="preserve">67036911, </w:t>
      </w:r>
      <w:hyperlink r:id="rId9" w:history="1">
        <w:r w:rsidRPr="00F107E6">
          <w:rPr>
            <w:rStyle w:val="Hyperlink"/>
            <w:sz w:val="22"/>
            <w:szCs w:val="22"/>
          </w:rPr>
          <w:t>Kristine.Pommere@tm.gov.lv</w:t>
        </w:r>
      </w:hyperlink>
      <w:r w:rsidRPr="00F107E6">
        <w:rPr>
          <w:sz w:val="22"/>
          <w:szCs w:val="22"/>
        </w:rPr>
        <w:t xml:space="preserve"> </w:t>
      </w:r>
    </w:p>
    <w:sectPr w:rsidR="00521BF9" w:rsidRPr="00F107E6" w:rsidSect="00F107E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38" w:rsidRDefault="00895038" w:rsidP="001C09DB">
      <w:r>
        <w:separator/>
      </w:r>
    </w:p>
  </w:endnote>
  <w:endnote w:type="continuationSeparator" w:id="0">
    <w:p w:rsidR="00895038" w:rsidRDefault="00895038" w:rsidP="001C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E6" w:rsidRDefault="00F10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6" w:rsidRDefault="00FD28B6" w:rsidP="00FD28B6">
    <w:pPr>
      <w:jc w:val="both"/>
    </w:pPr>
    <w:r>
      <w:rPr>
        <w:i/>
        <w:sz w:val="20"/>
        <w:szCs w:val="20"/>
      </w:rPr>
      <w:t>TMzino_200412</w:t>
    </w:r>
    <w:r w:rsidRPr="000531E0">
      <w:rPr>
        <w:i/>
        <w:sz w:val="20"/>
        <w:szCs w:val="20"/>
      </w:rPr>
      <w:t xml:space="preserve">_JHAC; informatīvais </w:t>
    </w:r>
    <w:smartTag w:uri="schemas-tilde-lv/tildestengine" w:element="veidnes">
      <w:smartTagPr>
        <w:attr w:name="text" w:val="ziņojums"/>
        <w:attr w:name="baseform" w:val="ziņojums"/>
        <w:attr w:name="id" w:val="-1"/>
      </w:smartTagPr>
      <w:r w:rsidRPr="000531E0">
        <w:rPr>
          <w:i/>
          <w:sz w:val="20"/>
          <w:szCs w:val="20"/>
        </w:rPr>
        <w:t>ziņojums</w:t>
      </w:r>
    </w:smartTag>
    <w:r w:rsidRPr="000531E0">
      <w:rPr>
        <w:i/>
        <w:sz w:val="20"/>
        <w:szCs w:val="20"/>
      </w:rPr>
      <w:t xml:space="preserve"> </w:t>
    </w:r>
    <w:r w:rsidRPr="000531E0">
      <w:rPr>
        <w:bCs/>
        <w:i/>
        <w:sz w:val="20"/>
        <w:szCs w:val="20"/>
      </w:rPr>
      <w:t xml:space="preserve">par </w:t>
    </w:r>
    <w:r w:rsidR="00F107E6">
      <w:rPr>
        <w:bCs/>
        <w:i/>
        <w:sz w:val="20"/>
        <w:szCs w:val="20"/>
      </w:rPr>
      <w:t xml:space="preserve">Eiropas Savienības </w:t>
    </w:r>
    <w:r w:rsidRPr="000531E0">
      <w:rPr>
        <w:i/>
        <w:sz w:val="20"/>
        <w:szCs w:val="20"/>
      </w:rPr>
      <w:t xml:space="preserve">Tieslietu un iekšlietu ministru padomes </w:t>
    </w:r>
    <w:r w:rsidRPr="000531E0">
      <w:rPr>
        <w:bCs/>
        <w:i/>
        <w:sz w:val="20"/>
        <w:szCs w:val="20"/>
      </w:rPr>
      <w:t>201</w:t>
    </w:r>
    <w:r>
      <w:rPr>
        <w:bCs/>
        <w:i/>
        <w:sz w:val="20"/>
        <w:szCs w:val="20"/>
      </w:rPr>
      <w:t>2</w:t>
    </w:r>
    <w:r w:rsidRPr="000531E0">
      <w:rPr>
        <w:bCs/>
        <w:i/>
        <w:sz w:val="20"/>
        <w:szCs w:val="20"/>
      </w:rPr>
      <w:t xml:space="preserve">. gada </w:t>
    </w:r>
    <w:r>
      <w:rPr>
        <w:i/>
        <w:sz w:val="20"/>
        <w:szCs w:val="20"/>
      </w:rPr>
      <w:t>26</w:t>
    </w:r>
    <w:r w:rsidRPr="000531E0">
      <w:rPr>
        <w:i/>
        <w:sz w:val="20"/>
        <w:szCs w:val="20"/>
      </w:rPr>
      <w:t>.-</w:t>
    </w:r>
    <w:r>
      <w:rPr>
        <w:i/>
        <w:sz w:val="20"/>
        <w:szCs w:val="20"/>
      </w:rPr>
      <w:t>27</w:t>
    </w:r>
    <w:r w:rsidRPr="000531E0">
      <w:rPr>
        <w:i/>
        <w:sz w:val="20"/>
        <w:szCs w:val="20"/>
      </w:rPr>
      <w:t>. </w:t>
    </w:r>
    <w:r>
      <w:rPr>
        <w:i/>
        <w:sz w:val="20"/>
        <w:szCs w:val="20"/>
      </w:rPr>
      <w:t>aprīļa</w:t>
    </w:r>
    <w:r w:rsidRPr="000531E0">
      <w:rPr>
        <w:bCs/>
        <w:i/>
        <w:sz w:val="20"/>
        <w:szCs w:val="20"/>
      </w:rPr>
      <w:t xml:space="preserve"> </w:t>
    </w:r>
    <w:r w:rsidRPr="000531E0">
      <w:rPr>
        <w:i/>
        <w:sz w:val="20"/>
        <w:szCs w:val="20"/>
      </w:rPr>
      <w:t>sanāksm</w:t>
    </w:r>
    <w:r w:rsidRPr="000531E0">
      <w:rPr>
        <w:bCs/>
        <w:i/>
        <w:sz w:val="20"/>
        <w:szCs w:val="20"/>
      </w:rPr>
      <w:t>ē izskatāmajiem jautājumiem</w:t>
    </w:r>
    <w:r w:rsidRPr="00582F4E">
      <w:rPr>
        <w:bCs/>
        <w:i/>
        <w:sz w:val="20"/>
        <w:szCs w:val="20"/>
      </w:rPr>
      <w:t xml:space="preserve"> </w:t>
    </w:r>
  </w:p>
  <w:p w:rsidR="00C969EA" w:rsidRPr="00FD28B6" w:rsidRDefault="00C969EA" w:rsidP="00FD28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A" w:rsidRDefault="00575008">
    <w:pPr>
      <w:jc w:val="both"/>
    </w:pPr>
    <w:r>
      <w:rPr>
        <w:i/>
        <w:sz w:val="20"/>
        <w:szCs w:val="20"/>
      </w:rPr>
      <w:t>TMzino_200412</w:t>
    </w:r>
    <w:r w:rsidR="00453322" w:rsidRPr="000531E0">
      <w:rPr>
        <w:i/>
        <w:sz w:val="20"/>
        <w:szCs w:val="20"/>
      </w:rPr>
      <w:t xml:space="preserve">_JHAC; informatīvais </w:t>
    </w:r>
    <w:smartTag w:uri="schemas-tilde-lv/tildestengine" w:element="veidnes">
      <w:smartTagPr>
        <w:attr w:name="text" w:val="ziņojums"/>
        <w:attr w:name="baseform" w:val="ziņojums"/>
        <w:attr w:name="id" w:val="-1"/>
      </w:smartTagPr>
      <w:r w:rsidR="00453322" w:rsidRPr="000531E0">
        <w:rPr>
          <w:i/>
          <w:sz w:val="20"/>
          <w:szCs w:val="20"/>
        </w:rPr>
        <w:t>ziņojums</w:t>
      </w:r>
    </w:smartTag>
    <w:r w:rsidR="00453322" w:rsidRPr="000531E0">
      <w:rPr>
        <w:i/>
        <w:sz w:val="20"/>
        <w:szCs w:val="20"/>
      </w:rPr>
      <w:t xml:space="preserve"> </w:t>
    </w:r>
    <w:r w:rsidR="00453322" w:rsidRPr="000531E0">
      <w:rPr>
        <w:bCs/>
        <w:i/>
        <w:sz w:val="20"/>
        <w:szCs w:val="20"/>
      </w:rPr>
      <w:t xml:space="preserve">par </w:t>
    </w:r>
    <w:r w:rsidR="00F107E6">
      <w:rPr>
        <w:bCs/>
        <w:i/>
        <w:sz w:val="20"/>
        <w:szCs w:val="20"/>
      </w:rPr>
      <w:t xml:space="preserve">Eiropas Savienības </w:t>
    </w:r>
    <w:r w:rsidR="00453322" w:rsidRPr="000531E0">
      <w:rPr>
        <w:i/>
        <w:sz w:val="20"/>
        <w:szCs w:val="20"/>
      </w:rPr>
      <w:t xml:space="preserve">Tieslietu un iekšlietu ministru padomes </w:t>
    </w:r>
    <w:r w:rsidR="00453322" w:rsidRPr="000531E0">
      <w:rPr>
        <w:bCs/>
        <w:i/>
        <w:sz w:val="20"/>
        <w:szCs w:val="20"/>
      </w:rPr>
      <w:t>201</w:t>
    </w:r>
    <w:r w:rsidR="003948E1">
      <w:rPr>
        <w:bCs/>
        <w:i/>
        <w:sz w:val="20"/>
        <w:szCs w:val="20"/>
      </w:rPr>
      <w:t>2</w:t>
    </w:r>
    <w:r w:rsidR="00453322" w:rsidRPr="000531E0">
      <w:rPr>
        <w:bCs/>
        <w:i/>
        <w:sz w:val="20"/>
        <w:szCs w:val="20"/>
      </w:rPr>
      <w:t xml:space="preserve">. gada </w:t>
    </w:r>
    <w:r w:rsidR="003948E1">
      <w:rPr>
        <w:i/>
        <w:sz w:val="20"/>
        <w:szCs w:val="20"/>
      </w:rPr>
      <w:t>26</w:t>
    </w:r>
    <w:r w:rsidR="00453322" w:rsidRPr="000531E0">
      <w:rPr>
        <w:i/>
        <w:sz w:val="20"/>
        <w:szCs w:val="20"/>
      </w:rPr>
      <w:t>.-</w:t>
    </w:r>
    <w:r w:rsidR="003948E1">
      <w:rPr>
        <w:i/>
        <w:sz w:val="20"/>
        <w:szCs w:val="20"/>
      </w:rPr>
      <w:t>27</w:t>
    </w:r>
    <w:r w:rsidR="00453322" w:rsidRPr="000531E0">
      <w:rPr>
        <w:i/>
        <w:sz w:val="20"/>
        <w:szCs w:val="20"/>
      </w:rPr>
      <w:t>. </w:t>
    </w:r>
    <w:r w:rsidR="003948E1">
      <w:rPr>
        <w:i/>
        <w:sz w:val="20"/>
        <w:szCs w:val="20"/>
      </w:rPr>
      <w:t>aprīļa</w:t>
    </w:r>
    <w:r w:rsidR="00453322" w:rsidRPr="000531E0">
      <w:rPr>
        <w:bCs/>
        <w:i/>
        <w:sz w:val="20"/>
        <w:szCs w:val="20"/>
      </w:rPr>
      <w:t xml:space="preserve"> </w:t>
    </w:r>
    <w:r w:rsidR="00453322" w:rsidRPr="000531E0">
      <w:rPr>
        <w:i/>
        <w:sz w:val="20"/>
        <w:szCs w:val="20"/>
      </w:rPr>
      <w:t>sanāksm</w:t>
    </w:r>
    <w:r w:rsidR="00453322" w:rsidRPr="000531E0">
      <w:rPr>
        <w:bCs/>
        <w:i/>
        <w:sz w:val="20"/>
        <w:szCs w:val="20"/>
      </w:rPr>
      <w:t>ē izskatāmajiem jautājumiem</w:t>
    </w:r>
    <w:r w:rsidR="00453322" w:rsidRPr="00582F4E">
      <w:rPr>
        <w:bCs/>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38" w:rsidRDefault="00895038" w:rsidP="001C09DB">
      <w:r>
        <w:separator/>
      </w:r>
    </w:p>
  </w:footnote>
  <w:footnote w:type="continuationSeparator" w:id="0">
    <w:p w:rsidR="00895038" w:rsidRDefault="00895038" w:rsidP="001C09DB">
      <w:r>
        <w:continuationSeparator/>
      </w:r>
    </w:p>
  </w:footnote>
  <w:footnote w:id="1">
    <w:p w:rsidR="00E624EC" w:rsidRDefault="00E624EC" w:rsidP="00E624EC">
      <w:pPr>
        <w:pStyle w:val="FootnoteText"/>
        <w:ind w:left="284" w:hanging="284"/>
      </w:pPr>
      <w:r>
        <w:rPr>
          <w:rStyle w:val="FootnoteReference"/>
        </w:rPr>
        <w:footnoteRef/>
      </w:r>
      <w:r>
        <w:t xml:space="preserve">  </w:t>
      </w:r>
      <w:r w:rsidR="00EA4C5F">
        <w:t xml:space="preserve"> </w:t>
      </w:r>
      <w:r>
        <w:t xml:space="preserve">Eiropas Parlamenta un Padomes 2003. gada 28. janvāra direktīva 2003/6/EK par iekšējās informācijas ļaunprātīgu izmantošanu un tirgus manipulācijām (tirgus ļaunprātīgu izmantošanu) </w:t>
      </w:r>
    </w:p>
  </w:footnote>
  <w:footnote w:id="2">
    <w:p w:rsidR="00E624EC" w:rsidRDefault="00E624EC" w:rsidP="00E624EC">
      <w:pPr>
        <w:pStyle w:val="FootnoteText"/>
        <w:ind w:left="284" w:hanging="295"/>
      </w:pPr>
      <w:r>
        <w:rPr>
          <w:rStyle w:val="FootnoteReference"/>
        </w:rPr>
        <w:footnoteRef/>
      </w:r>
      <w:r>
        <w:t xml:space="preserve">  2011.gada 20.oktobra Priekšlikumu Eiropas Parlamenta un Padomes regulai par iekšējās informācijas ļaunprātīgu izmantošanu un tirgus manipulācijām (tirgus ļaunprātīgu izmantošanu) COM (2011) 651 </w:t>
      </w:r>
      <w:proofErr w:type="spellStart"/>
      <w:r>
        <w:t>final</w:t>
      </w:r>
      <w:proofErr w:type="spellEnd"/>
      <w:r>
        <w:t xml:space="preserve"> </w:t>
      </w:r>
    </w:p>
  </w:footnote>
  <w:footnote w:id="3">
    <w:p w:rsidR="00300718" w:rsidRPr="00870F3E" w:rsidRDefault="00300718" w:rsidP="00870F3E">
      <w:pPr>
        <w:pStyle w:val="Bullet0"/>
        <w:numPr>
          <w:ilvl w:val="0"/>
          <w:numId w:val="0"/>
        </w:numPr>
        <w:spacing w:before="0" w:after="0"/>
        <w:ind w:left="284" w:right="-1" w:hanging="284"/>
        <w:rPr>
          <w:noProof/>
          <w:sz w:val="20"/>
          <w:szCs w:val="20"/>
        </w:rPr>
      </w:pPr>
      <w:r w:rsidRPr="00152783">
        <w:rPr>
          <w:rStyle w:val="FootnoteReference"/>
          <w:sz w:val="20"/>
          <w:szCs w:val="20"/>
        </w:rPr>
        <w:footnoteRef/>
      </w:r>
      <w:r w:rsidRPr="00152783">
        <w:rPr>
          <w:sz w:val="20"/>
          <w:szCs w:val="20"/>
        </w:rPr>
        <w:t xml:space="preserve"> </w:t>
      </w:r>
      <w:r w:rsidR="00870F3E">
        <w:rPr>
          <w:sz w:val="20"/>
          <w:szCs w:val="20"/>
        </w:rPr>
        <w:t xml:space="preserve">  </w:t>
      </w:r>
      <w:r w:rsidRPr="00152783">
        <w:rPr>
          <w:noProof/>
          <w:sz w:val="20"/>
          <w:szCs w:val="20"/>
        </w:rPr>
        <w:t xml:space="preserve">Pamatlēmums 2001/500/TI, ar kuru saskaņā dalībvalstīm ir pienākums sekmēt konfiskāciju tā, lai varētu konfiscēt vērtības; Pamatlēmums 2005/212/TI, kas paredz saskaņot tiesību aktus par konfiskāciju; Pamatlēmums 2003/577/TI, kas paredz iesaldēšanas rīkojumu savstarpēju atzīšanu; Pamatlēmums 2006/783/TI, kas paredz iesaldēšanas </w:t>
      </w:r>
      <w:r w:rsidRPr="00870F3E">
        <w:rPr>
          <w:noProof/>
          <w:sz w:val="20"/>
          <w:szCs w:val="20"/>
        </w:rPr>
        <w:t xml:space="preserve">rīkojumu savstarpēju atzīšanu; Padomes Lēmums 2007/845/TI par informācijas apmaiņu un sadarbību starp </w:t>
      </w:r>
      <w:r w:rsidRPr="00870F3E">
        <w:rPr>
          <w:rStyle w:val="Strong"/>
          <w:b w:val="0"/>
          <w:noProof/>
          <w:sz w:val="20"/>
          <w:szCs w:val="20"/>
        </w:rPr>
        <w:t>dalībvalstu līdzekļu atguves dienestiem</w:t>
      </w:r>
      <w:r w:rsidRPr="00870F3E">
        <w:rPr>
          <w:noProof/>
          <w:sz w:val="20"/>
          <w:szCs w:val="20"/>
        </w:rPr>
        <w:t xml:space="preserve">. </w:t>
      </w:r>
    </w:p>
    <w:p w:rsidR="00300718" w:rsidRPr="00870F3E" w:rsidRDefault="00300718" w:rsidP="0030071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E6" w:rsidRDefault="00F10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22" w:rsidRDefault="00AF0689">
    <w:pPr>
      <w:pStyle w:val="Header"/>
      <w:framePr w:wrap="auto" w:vAnchor="text" w:hAnchor="margin" w:xAlign="center" w:y="1"/>
      <w:rPr>
        <w:rStyle w:val="PageNumber"/>
      </w:rPr>
    </w:pPr>
    <w:r>
      <w:rPr>
        <w:rStyle w:val="PageNumber"/>
      </w:rPr>
      <w:fldChar w:fldCharType="begin"/>
    </w:r>
    <w:r w:rsidR="00453322">
      <w:rPr>
        <w:rStyle w:val="PageNumber"/>
      </w:rPr>
      <w:instrText xml:space="preserve">PAGE  </w:instrText>
    </w:r>
    <w:r>
      <w:rPr>
        <w:rStyle w:val="PageNumber"/>
      </w:rPr>
      <w:fldChar w:fldCharType="separate"/>
    </w:r>
    <w:r w:rsidR="004248BD">
      <w:rPr>
        <w:rStyle w:val="PageNumber"/>
        <w:noProof/>
      </w:rPr>
      <w:t>5</w:t>
    </w:r>
    <w:r>
      <w:rPr>
        <w:rStyle w:val="PageNumber"/>
      </w:rPr>
      <w:fldChar w:fldCharType="end"/>
    </w:r>
  </w:p>
  <w:p w:rsidR="00453322" w:rsidRDefault="0045332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E6" w:rsidRDefault="00F10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F6"/>
    <w:multiLevelType w:val="hybridMultilevel"/>
    <w:tmpl w:val="F582211A"/>
    <w:lvl w:ilvl="0" w:tplc="D360BCB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6646C7D"/>
    <w:multiLevelType w:val="hybridMultilevel"/>
    <w:tmpl w:val="68CE06C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BFD13D4"/>
    <w:multiLevelType w:val="hybridMultilevel"/>
    <w:tmpl w:val="92AC67BA"/>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FA1484F"/>
    <w:multiLevelType w:val="hybridMultilevel"/>
    <w:tmpl w:val="74BA7A2C"/>
    <w:lvl w:ilvl="0" w:tplc="97B0D3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D649E4"/>
    <w:multiLevelType w:val="hybridMultilevel"/>
    <w:tmpl w:val="79FE96F6"/>
    <w:lvl w:ilvl="0" w:tplc="B120C7BE">
      <w:start w:val="1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6F4360"/>
    <w:multiLevelType w:val="hybridMultilevel"/>
    <w:tmpl w:val="15B06E8C"/>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A3F1BF4"/>
    <w:multiLevelType w:val="hybridMultilevel"/>
    <w:tmpl w:val="109474CA"/>
    <w:lvl w:ilvl="0" w:tplc="873C8EC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8">
    <w:nsid w:val="2AB766AB"/>
    <w:multiLevelType w:val="hybridMultilevel"/>
    <w:tmpl w:val="129073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E25A4"/>
    <w:multiLevelType w:val="hybridMultilevel"/>
    <w:tmpl w:val="F06620BC"/>
    <w:lvl w:ilvl="0" w:tplc="28A0E0E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E4103FD"/>
    <w:multiLevelType w:val="hybridMultilevel"/>
    <w:tmpl w:val="1E48F256"/>
    <w:lvl w:ilvl="0" w:tplc="752A3C28">
      <w:start w:val="4"/>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2">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65123CA0"/>
    <w:multiLevelType w:val="hybridMultilevel"/>
    <w:tmpl w:val="0974030A"/>
    <w:lvl w:ilvl="0" w:tplc="080C000F">
      <w:start w:val="1"/>
      <w:numFmt w:val="decimal"/>
      <w:lvlText w:val="%1."/>
      <w:lvlJc w:val="left"/>
      <w:pPr>
        <w:tabs>
          <w:tab w:val="num" w:pos="720"/>
        </w:tabs>
        <w:ind w:left="720" w:hanging="360"/>
      </w:pPr>
    </w:lvl>
    <w:lvl w:ilvl="1" w:tplc="4570510E">
      <w:numFmt w:val="bullet"/>
      <w:lvlText w:val="–"/>
      <w:lvlJc w:val="left"/>
      <w:pPr>
        <w:tabs>
          <w:tab w:val="num" w:pos="1650"/>
        </w:tabs>
        <w:ind w:left="1650" w:hanging="570"/>
      </w:pPr>
      <w:rPr>
        <w:rFonts w:ascii="Times New Roman" w:eastAsia="Times New Roman" w:hAnsi="Times New Roman" w:hint="default"/>
      </w:rPr>
    </w:lvl>
    <w:lvl w:ilvl="2" w:tplc="EA3CAF66">
      <w:start w:val="1"/>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6">
    <w:nsid w:val="78523140"/>
    <w:multiLevelType w:val="hybridMultilevel"/>
    <w:tmpl w:val="EDAC6750"/>
    <w:lvl w:ilvl="0" w:tplc="46ACADB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7F762880"/>
    <w:multiLevelType w:val="hybridMultilevel"/>
    <w:tmpl w:val="4AB698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16"/>
  </w:num>
  <w:num w:numId="7">
    <w:abstractNumId w:val="3"/>
  </w:num>
  <w:num w:numId="8">
    <w:abstractNumId w:val="1"/>
  </w:num>
  <w:num w:numId="9">
    <w:abstractNumId w:val="15"/>
  </w:num>
  <w:num w:numId="10">
    <w:abstractNumId w:val="11"/>
  </w:num>
  <w:num w:numId="11">
    <w:abstractNumId w:val="8"/>
  </w:num>
  <w:num w:numId="12">
    <w:abstractNumId w:val="6"/>
  </w:num>
  <w:num w:numId="13">
    <w:abstractNumId w:val="9"/>
  </w:num>
  <w:num w:numId="14">
    <w:abstractNumId w:val="12"/>
  </w:num>
  <w:num w:numId="15">
    <w:abstractNumId w:val="14"/>
  </w:num>
  <w:num w:numId="16">
    <w:abstractNumId w:val="2"/>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9DB"/>
    <w:rsid w:val="00026A38"/>
    <w:rsid w:val="00035797"/>
    <w:rsid w:val="0007626D"/>
    <w:rsid w:val="00076D7E"/>
    <w:rsid w:val="00087190"/>
    <w:rsid w:val="000A7AE4"/>
    <w:rsid w:val="000B43F3"/>
    <w:rsid w:val="000B7430"/>
    <w:rsid w:val="000B7872"/>
    <w:rsid w:val="000C2318"/>
    <w:rsid w:val="000C3BBE"/>
    <w:rsid w:val="000D7BCD"/>
    <w:rsid w:val="000E6911"/>
    <w:rsid w:val="000F6FA0"/>
    <w:rsid w:val="00104C2A"/>
    <w:rsid w:val="001310C6"/>
    <w:rsid w:val="00143BD0"/>
    <w:rsid w:val="00177A0E"/>
    <w:rsid w:val="0018209C"/>
    <w:rsid w:val="001A5A85"/>
    <w:rsid w:val="001C09DB"/>
    <w:rsid w:val="001C0A1D"/>
    <w:rsid w:val="001D259F"/>
    <w:rsid w:val="001D608D"/>
    <w:rsid w:val="001D70EE"/>
    <w:rsid w:val="001E761A"/>
    <w:rsid w:val="00200692"/>
    <w:rsid w:val="002033D4"/>
    <w:rsid w:val="00203860"/>
    <w:rsid w:val="002173ED"/>
    <w:rsid w:val="00217BB8"/>
    <w:rsid w:val="00237F45"/>
    <w:rsid w:val="002723B1"/>
    <w:rsid w:val="002724AB"/>
    <w:rsid w:val="002A0044"/>
    <w:rsid w:val="002B7DB3"/>
    <w:rsid w:val="002C3FA3"/>
    <w:rsid w:val="002D0C6A"/>
    <w:rsid w:val="002D695B"/>
    <w:rsid w:val="002F480A"/>
    <w:rsid w:val="00300718"/>
    <w:rsid w:val="003014B5"/>
    <w:rsid w:val="00311702"/>
    <w:rsid w:val="0031264A"/>
    <w:rsid w:val="003442F3"/>
    <w:rsid w:val="003525CE"/>
    <w:rsid w:val="003544B9"/>
    <w:rsid w:val="0036725D"/>
    <w:rsid w:val="00375217"/>
    <w:rsid w:val="003755BC"/>
    <w:rsid w:val="00390EA8"/>
    <w:rsid w:val="003948E1"/>
    <w:rsid w:val="003A0959"/>
    <w:rsid w:val="003C6FC3"/>
    <w:rsid w:val="003D2C23"/>
    <w:rsid w:val="003E6689"/>
    <w:rsid w:val="003F27E7"/>
    <w:rsid w:val="00406059"/>
    <w:rsid w:val="004248BD"/>
    <w:rsid w:val="00442D16"/>
    <w:rsid w:val="004503D8"/>
    <w:rsid w:val="00453322"/>
    <w:rsid w:val="0046459C"/>
    <w:rsid w:val="0047133C"/>
    <w:rsid w:val="00474822"/>
    <w:rsid w:val="004917AA"/>
    <w:rsid w:val="004C6EC4"/>
    <w:rsid w:val="004F0A3A"/>
    <w:rsid w:val="005208EF"/>
    <w:rsid w:val="00521BF9"/>
    <w:rsid w:val="00526ED1"/>
    <w:rsid w:val="005358AD"/>
    <w:rsid w:val="005415C7"/>
    <w:rsid w:val="00541B59"/>
    <w:rsid w:val="00567CDC"/>
    <w:rsid w:val="00573E54"/>
    <w:rsid w:val="00575008"/>
    <w:rsid w:val="00585B91"/>
    <w:rsid w:val="005A37A4"/>
    <w:rsid w:val="005B07CE"/>
    <w:rsid w:val="005B636B"/>
    <w:rsid w:val="005E1990"/>
    <w:rsid w:val="005F6EBC"/>
    <w:rsid w:val="0061600E"/>
    <w:rsid w:val="00641C2C"/>
    <w:rsid w:val="006533B0"/>
    <w:rsid w:val="0065623D"/>
    <w:rsid w:val="00660F1E"/>
    <w:rsid w:val="00662C4E"/>
    <w:rsid w:val="0066675D"/>
    <w:rsid w:val="006711E6"/>
    <w:rsid w:val="00675EE3"/>
    <w:rsid w:val="00682A23"/>
    <w:rsid w:val="00687F6E"/>
    <w:rsid w:val="006912D7"/>
    <w:rsid w:val="006A29F8"/>
    <w:rsid w:val="006A37CD"/>
    <w:rsid w:val="006D746C"/>
    <w:rsid w:val="006F52C0"/>
    <w:rsid w:val="00701BFD"/>
    <w:rsid w:val="00704EB8"/>
    <w:rsid w:val="007316C5"/>
    <w:rsid w:val="00744101"/>
    <w:rsid w:val="00780AB4"/>
    <w:rsid w:val="007F1F80"/>
    <w:rsid w:val="00800F2B"/>
    <w:rsid w:val="0082768C"/>
    <w:rsid w:val="00836448"/>
    <w:rsid w:val="00870F3E"/>
    <w:rsid w:val="00874792"/>
    <w:rsid w:val="00875FBC"/>
    <w:rsid w:val="00881BF8"/>
    <w:rsid w:val="00895038"/>
    <w:rsid w:val="008A6FFF"/>
    <w:rsid w:val="008B4146"/>
    <w:rsid w:val="008E5E54"/>
    <w:rsid w:val="008F4244"/>
    <w:rsid w:val="008F797B"/>
    <w:rsid w:val="00917A2A"/>
    <w:rsid w:val="00923B0D"/>
    <w:rsid w:val="0094026E"/>
    <w:rsid w:val="0094252F"/>
    <w:rsid w:val="00973065"/>
    <w:rsid w:val="009B0EF1"/>
    <w:rsid w:val="009B22CD"/>
    <w:rsid w:val="009C5A1D"/>
    <w:rsid w:val="00A21B0E"/>
    <w:rsid w:val="00A24B59"/>
    <w:rsid w:val="00A43000"/>
    <w:rsid w:val="00A435EB"/>
    <w:rsid w:val="00A62115"/>
    <w:rsid w:val="00A81D7E"/>
    <w:rsid w:val="00A90A89"/>
    <w:rsid w:val="00AA0557"/>
    <w:rsid w:val="00AA7A34"/>
    <w:rsid w:val="00AB1A95"/>
    <w:rsid w:val="00AB7017"/>
    <w:rsid w:val="00AF0689"/>
    <w:rsid w:val="00B2549C"/>
    <w:rsid w:val="00B25E71"/>
    <w:rsid w:val="00B32916"/>
    <w:rsid w:val="00B37166"/>
    <w:rsid w:val="00B63BCC"/>
    <w:rsid w:val="00B65FAA"/>
    <w:rsid w:val="00B707D4"/>
    <w:rsid w:val="00B84F75"/>
    <w:rsid w:val="00BB5987"/>
    <w:rsid w:val="00BD1BC9"/>
    <w:rsid w:val="00BE4119"/>
    <w:rsid w:val="00C17362"/>
    <w:rsid w:val="00C76C4E"/>
    <w:rsid w:val="00C8666E"/>
    <w:rsid w:val="00C93320"/>
    <w:rsid w:val="00C95D33"/>
    <w:rsid w:val="00C969EA"/>
    <w:rsid w:val="00CD76F3"/>
    <w:rsid w:val="00CE6A45"/>
    <w:rsid w:val="00CF2403"/>
    <w:rsid w:val="00D20712"/>
    <w:rsid w:val="00D33816"/>
    <w:rsid w:val="00D43D8E"/>
    <w:rsid w:val="00D923AA"/>
    <w:rsid w:val="00DC20C5"/>
    <w:rsid w:val="00DC62A4"/>
    <w:rsid w:val="00DE5920"/>
    <w:rsid w:val="00E24A10"/>
    <w:rsid w:val="00E3776B"/>
    <w:rsid w:val="00E6192D"/>
    <w:rsid w:val="00E624EC"/>
    <w:rsid w:val="00E65E30"/>
    <w:rsid w:val="00E75886"/>
    <w:rsid w:val="00E760EB"/>
    <w:rsid w:val="00EA45C2"/>
    <w:rsid w:val="00EA4C5F"/>
    <w:rsid w:val="00EB09AC"/>
    <w:rsid w:val="00ED26C0"/>
    <w:rsid w:val="00EE3A5F"/>
    <w:rsid w:val="00F02E3B"/>
    <w:rsid w:val="00F107E6"/>
    <w:rsid w:val="00F4424E"/>
    <w:rsid w:val="00F44A03"/>
    <w:rsid w:val="00F47DEC"/>
    <w:rsid w:val="00F737E8"/>
    <w:rsid w:val="00F91274"/>
    <w:rsid w:val="00FA5156"/>
    <w:rsid w:val="00FB66D8"/>
    <w:rsid w:val="00FC1592"/>
    <w:rsid w:val="00FD28B6"/>
    <w:rsid w:val="00FD4E85"/>
    <w:rsid w:val="00FE6F85"/>
    <w:rsid w:val="00FF23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C09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09DB"/>
    <w:rPr>
      <w:rFonts w:ascii="Times New Roman" w:eastAsia="Times New Roman" w:hAnsi="Times New Roman" w:cs="Times New Roman"/>
      <w:b/>
      <w:bCs/>
      <w:sz w:val="24"/>
      <w:szCs w:val="24"/>
      <w:u w:val="single"/>
    </w:rPr>
  </w:style>
  <w:style w:type="paragraph" w:styleId="Footer">
    <w:name w:val="footer"/>
    <w:basedOn w:val="Normal"/>
    <w:link w:val="FooterChar"/>
    <w:rsid w:val="001C09DB"/>
    <w:pPr>
      <w:tabs>
        <w:tab w:val="center" w:pos="4320"/>
        <w:tab w:val="right" w:pos="8640"/>
      </w:tabs>
    </w:pPr>
    <w:rPr>
      <w:lang w:val="en-US"/>
    </w:rPr>
  </w:style>
  <w:style w:type="character" w:customStyle="1" w:styleId="FooterChar">
    <w:name w:val="Footer Char"/>
    <w:basedOn w:val="DefaultParagraphFont"/>
    <w:link w:val="Footer"/>
    <w:rsid w:val="001C09DB"/>
    <w:rPr>
      <w:rFonts w:ascii="Times New Roman" w:eastAsia="Times New Roman" w:hAnsi="Times New Roman" w:cs="Times New Roman"/>
      <w:sz w:val="24"/>
      <w:szCs w:val="24"/>
      <w:lang w:val="en-US"/>
    </w:rPr>
  </w:style>
  <w:style w:type="paragraph" w:styleId="Header">
    <w:name w:val="header"/>
    <w:basedOn w:val="Normal"/>
    <w:link w:val="HeaderChar"/>
    <w:rsid w:val="001C09DB"/>
    <w:pPr>
      <w:tabs>
        <w:tab w:val="center" w:pos="4153"/>
        <w:tab w:val="right" w:pos="8306"/>
      </w:tabs>
    </w:pPr>
  </w:style>
  <w:style w:type="character" w:customStyle="1" w:styleId="HeaderChar">
    <w:name w:val="Header Char"/>
    <w:basedOn w:val="DefaultParagraphFont"/>
    <w:link w:val="Header"/>
    <w:rsid w:val="001C09DB"/>
    <w:rPr>
      <w:rFonts w:ascii="Times New Roman" w:eastAsia="Times New Roman" w:hAnsi="Times New Roman" w:cs="Times New Roman"/>
      <w:sz w:val="24"/>
      <w:szCs w:val="24"/>
    </w:rPr>
  </w:style>
  <w:style w:type="paragraph" w:styleId="BodyText2">
    <w:name w:val="Body Text 2"/>
    <w:basedOn w:val="Normal"/>
    <w:link w:val="BodyText2Char"/>
    <w:rsid w:val="001C09DB"/>
    <w:pPr>
      <w:jc w:val="center"/>
    </w:pPr>
    <w:rPr>
      <w:sz w:val="32"/>
      <w:szCs w:val="32"/>
    </w:rPr>
  </w:style>
  <w:style w:type="character" w:customStyle="1" w:styleId="BodyText2Char">
    <w:name w:val="Body Text 2 Char"/>
    <w:basedOn w:val="DefaultParagraphFont"/>
    <w:link w:val="BodyText2"/>
    <w:rsid w:val="001C09DB"/>
    <w:rPr>
      <w:rFonts w:ascii="Times New Roman" w:eastAsia="Times New Roman" w:hAnsi="Times New Roman" w:cs="Times New Roman"/>
      <w:sz w:val="32"/>
      <w:szCs w:val="32"/>
    </w:rPr>
  </w:style>
  <w:style w:type="character" w:styleId="PageNumber">
    <w:name w:val="page number"/>
    <w:basedOn w:val="DefaultParagraphFont"/>
    <w:rsid w:val="001C09DB"/>
    <w:rPr>
      <w:rFonts w:cs="Times New Roman"/>
    </w:rPr>
  </w:style>
  <w:style w:type="paragraph" w:styleId="Title">
    <w:name w:val="Title"/>
    <w:basedOn w:val="Normal"/>
    <w:link w:val="TitleChar"/>
    <w:qFormat/>
    <w:rsid w:val="001C09DB"/>
    <w:pPr>
      <w:jc w:val="center"/>
    </w:pPr>
    <w:rPr>
      <w:b/>
      <w:bCs/>
    </w:rPr>
  </w:style>
  <w:style w:type="character" w:customStyle="1" w:styleId="TitleChar">
    <w:name w:val="Title Char"/>
    <w:basedOn w:val="DefaultParagraphFont"/>
    <w:link w:val="Title"/>
    <w:rsid w:val="001C09DB"/>
    <w:rPr>
      <w:rFonts w:ascii="Times New Roman" w:eastAsia="Times New Roman" w:hAnsi="Times New Roman" w:cs="Times New Roman"/>
      <w:b/>
      <w:bCs/>
      <w:sz w:val="24"/>
      <w:szCs w:val="24"/>
    </w:rPr>
  </w:style>
  <w:style w:type="paragraph" w:styleId="ListParagraph">
    <w:name w:val="List Paragraph"/>
    <w:basedOn w:val="Normal"/>
    <w:uiPriority w:val="34"/>
    <w:qFormat/>
    <w:rsid w:val="001C09DB"/>
    <w:pPr>
      <w:ind w:left="720"/>
      <w:contextualSpacing/>
    </w:pPr>
  </w:style>
  <w:style w:type="character" w:styleId="Hyperlink">
    <w:name w:val="Hyperlink"/>
    <w:basedOn w:val="DefaultParagraphFont"/>
    <w:uiPriority w:val="99"/>
    <w:unhideWhenUsed/>
    <w:rsid w:val="001C09DB"/>
    <w:rPr>
      <w:color w:val="0000FF" w:themeColor="hyperlink"/>
      <w:u w:val="single"/>
    </w:rPr>
  </w:style>
  <w:style w:type="paragraph" w:styleId="FootnoteText">
    <w:name w:val="footnote text"/>
    <w:basedOn w:val="Normal"/>
    <w:link w:val="FootnoteTextChar"/>
    <w:uiPriority w:val="99"/>
    <w:rsid w:val="001C09DB"/>
    <w:pPr>
      <w:suppressAutoHyphens/>
      <w:ind w:left="720" w:hanging="720"/>
      <w:jc w:val="both"/>
    </w:pPr>
    <w:rPr>
      <w:sz w:val="20"/>
      <w:szCs w:val="20"/>
      <w:lang w:eastAsia="ar-SA"/>
    </w:rPr>
  </w:style>
  <w:style w:type="character" w:customStyle="1" w:styleId="FootnoteTextChar">
    <w:name w:val="Footnote Text Char"/>
    <w:basedOn w:val="DefaultParagraphFont"/>
    <w:link w:val="FootnoteText"/>
    <w:uiPriority w:val="99"/>
    <w:rsid w:val="001C09D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1C09DB"/>
    <w:rPr>
      <w:vertAlign w:val="superscript"/>
    </w:rPr>
  </w:style>
  <w:style w:type="character" w:styleId="Strong">
    <w:name w:val="Strong"/>
    <w:basedOn w:val="DefaultParagraphFont"/>
    <w:uiPriority w:val="22"/>
    <w:qFormat/>
    <w:rsid w:val="001C09DB"/>
    <w:rPr>
      <w:b/>
      <w:bCs/>
    </w:rPr>
  </w:style>
  <w:style w:type="paragraph" w:styleId="NoSpacing">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Normal"/>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DefaultParagraphFont"/>
    <w:rsid w:val="00EB09AC"/>
    <w:rPr>
      <w:sz w:val="20"/>
      <w:szCs w:val="20"/>
    </w:rPr>
  </w:style>
  <w:style w:type="paragraph" w:styleId="BalloonText">
    <w:name w:val="Balloon Text"/>
    <w:basedOn w:val="Normal"/>
    <w:link w:val="BalloonTextChar"/>
    <w:uiPriority w:val="99"/>
    <w:semiHidden/>
    <w:unhideWhenUsed/>
    <w:rsid w:val="00A24B59"/>
    <w:rPr>
      <w:rFonts w:ascii="Tahoma" w:hAnsi="Tahoma" w:cs="Tahoma"/>
      <w:sz w:val="16"/>
      <w:szCs w:val="16"/>
    </w:rPr>
  </w:style>
  <w:style w:type="character" w:customStyle="1" w:styleId="BalloonTextChar">
    <w:name w:val="Balloon Text Char"/>
    <w:basedOn w:val="DefaultParagraphFont"/>
    <w:link w:val="BalloonText"/>
    <w:uiPriority w:val="99"/>
    <w:semiHidden/>
    <w:rsid w:val="00A24B59"/>
    <w:rPr>
      <w:rFonts w:ascii="Tahoma" w:eastAsia="Times New Roman" w:hAnsi="Tahoma" w:cs="Tahoma"/>
      <w:sz w:val="16"/>
      <w:szCs w:val="16"/>
    </w:rPr>
  </w:style>
  <w:style w:type="paragraph" w:customStyle="1" w:styleId="Text1">
    <w:name w:val="Text 1"/>
    <w:basedOn w:val="Normal"/>
    <w:rsid w:val="008F797B"/>
    <w:pPr>
      <w:spacing w:before="120" w:after="120"/>
      <w:ind w:left="850"/>
      <w:jc w:val="both"/>
    </w:pPr>
    <w:rPr>
      <w:lang w:eastAsia="en-GB"/>
    </w:rPr>
  </w:style>
  <w:style w:type="paragraph" w:customStyle="1" w:styleId="ListDash">
    <w:name w:val="List Dash"/>
    <w:basedOn w:val="Normal"/>
    <w:rsid w:val="00300718"/>
    <w:pPr>
      <w:numPr>
        <w:numId w:val="14"/>
      </w:numPr>
      <w:spacing w:before="120" w:after="120"/>
      <w:jc w:val="both"/>
    </w:pPr>
    <w:rPr>
      <w:lang w:eastAsia="de-DE"/>
    </w:rPr>
  </w:style>
  <w:style w:type="paragraph" w:customStyle="1" w:styleId="Bullet0">
    <w:name w:val="Bullet 0"/>
    <w:basedOn w:val="Normal"/>
    <w:rsid w:val="00300718"/>
    <w:pPr>
      <w:numPr>
        <w:numId w:val="15"/>
      </w:numPr>
      <w:spacing w:before="120" w:after="120"/>
      <w:jc w:val="both"/>
    </w:pPr>
    <w:rPr>
      <w:snapToGrid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499244">
      <w:bodyDiv w:val="1"/>
      <w:marLeft w:val="0"/>
      <w:marRight w:val="0"/>
      <w:marTop w:val="0"/>
      <w:marBottom w:val="0"/>
      <w:divBdr>
        <w:top w:val="none" w:sz="0" w:space="0" w:color="auto"/>
        <w:left w:val="none" w:sz="0" w:space="0" w:color="auto"/>
        <w:bottom w:val="none" w:sz="0" w:space="0" w:color="auto"/>
        <w:right w:val="none" w:sz="0" w:space="0" w:color="auto"/>
      </w:divBdr>
    </w:div>
    <w:div w:id="14446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ommere@t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7054E-EE6D-4BD6-A3FF-47543247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6557</Words>
  <Characters>3738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Anna.Skrjabina@TM.GOV.LV</dc:creator>
  <cp:lastModifiedBy>lj1201</cp:lastModifiedBy>
  <cp:revision>41</cp:revision>
  <cp:lastPrinted>2012-04-20T11:34:00Z</cp:lastPrinted>
  <dcterms:created xsi:type="dcterms:W3CDTF">2011-12-08T08:07:00Z</dcterms:created>
  <dcterms:modified xsi:type="dcterms:W3CDTF">2012-04-23T07:43:00Z</dcterms:modified>
</cp:coreProperties>
</file>