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DB" w:rsidRPr="0019675C" w:rsidRDefault="001C09DB" w:rsidP="001C09DB">
      <w:pPr>
        <w:pStyle w:val="Nosaukums"/>
        <w:outlineLvl w:val="0"/>
      </w:pPr>
      <w:bookmarkStart w:id="0" w:name="OLE_LINK7"/>
      <w:bookmarkStart w:id="1" w:name="OLE_LINK8"/>
      <w:bookmarkStart w:id="2" w:name="OLE_LINK9"/>
      <w:bookmarkStart w:id="3" w:name="OLE_LINK10"/>
      <w:bookmarkStart w:id="4" w:name="OLE_LINK2"/>
      <w:r w:rsidRPr="0019675C">
        <w:t>Informatīvais ziņojums</w:t>
      </w:r>
    </w:p>
    <w:p w:rsidR="001C09DB" w:rsidRPr="0019675C" w:rsidRDefault="00F107E6" w:rsidP="001C09DB">
      <w:pPr>
        <w:jc w:val="center"/>
        <w:rPr>
          <w:b/>
          <w:bCs/>
        </w:rPr>
      </w:pPr>
      <w:bookmarkStart w:id="5" w:name="OLE_LINK5"/>
      <w:bookmarkStart w:id="6" w:name="OLE_LINK6"/>
      <w:bookmarkStart w:id="7" w:name="OLE_LINK1"/>
      <w:bookmarkEnd w:id="0"/>
      <w:bookmarkEnd w:id="1"/>
      <w:r w:rsidRPr="0019675C">
        <w:rPr>
          <w:b/>
          <w:bCs/>
        </w:rPr>
        <w:t xml:space="preserve">par Eiropas Savienības </w:t>
      </w:r>
      <w:r w:rsidR="001C09DB" w:rsidRPr="0019675C">
        <w:rPr>
          <w:b/>
        </w:rPr>
        <w:t xml:space="preserve">Tieslietu un iekšlietu ministru padomes </w:t>
      </w:r>
      <w:r w:rsidR="001C09DB" w:rsidRPr="0019675C">
        <w:rPr>
          <w:b/>
          <w:bCs/>
        </w:rPr>
        <w:t>201</w:t>
      </w:r>
      <w:r w:rsidR="005208EF" w:rsidRPr="0019675C">
        <w:rPr>
          <w:b/>
          <w:bCs/>
        </w:rPr>
        <w:t>2</w:t>
      </w:r>
      <w:r w:rsidR="001C09DB" w:rsidRPr="0019675C">
        <w:rPr>
          <w:b/>
          <w:bCs/>
        </w:rPr>
        <w:t xml:space="preserve">. gada </w:t>
      </w:r>
      <w:r w:rsidR="00B43820" w:rsidRPr="0019675C">
        <w:rPr>
          <w:b/>
          <w:bCs/>
        </w:rPr>
        <w:t>25.-26.oktobra</w:t>
      </w:r>
      <w:r w:rsidR="001C09DB" w:rsidRPr="0019675C">
        <w:rPr>
          <w:b/>
          <w:bCs/>
        </w:rPr>
        <w:t xml:space="preserve"> </w:t>
      </w:r>
      <w:r w:rsidR="001C09DB" w:rsidRPr="0019675C">
        <w:rPr>
          <w:b/>
        </w:rPr>
        <w:t>sanāksm</w:t>
      </w:r>
      <w:r w:rsidR="001C09DB" w:rsidRPr="0019675C">
        <w:rPr>
          <w:b/>
          <w:bCs/>
        </w:rPr>
        <w:t xml:space="preserve">ē izskatāmajiem jautājumiem </w:t>
      </w:r>
    </w:p>
    <w:bookmarkEnd w:id="2"/>
    <w:bookmarkEnd w:id="3"/>
    <w:bookmarkEnd w:id="4"/>
    <w:bookmarkEnd w:id="5"/>
    <w:bookmarkEnd w:id="6"/>
    <w:bookmarkEnd w:id="7"/>
    <w:p w:rsidR="001C09DB" w:rsidRPr="0019675C" w:rsidRDefault="001C09DB" w:rsidP="001C09DB">
      <w:pPr>
        <w:jc w:val="center"/>
      </w:pPr>
    </w:p>
    <w:p w:rsidR="001C09DB" w:rsidRPr="0019675C" w:rsidRDefault="001C09DB" w:rsidP="001C09DB">
      <w:pPr>
        <w:pStyle w:val="Virsraksts5"/>
        <w:jc w:val="both"/>
      </w:pPr>
      <w:r w:rsidRPr="0019675C">
        <w:t>I Ministru padomes sanāksmes darba kārtība</w:t>
      </w:r>
    </w:p>
    <w:p w:rsidR="001C09DB" w:rsidRPr="0019675C" w:rsidRDefault="001C09DB" w:rsidP="002B7DB3">
      <w:pPr>
        <w:jc w:val="both"/>
      </w:pPr>
    </w:p>
    <w:p w:rsidR="001C09DB" w:rsidRPr="0019675C" w:rsidRDefault="005208EF" w:rsidP="002B7DB3">
      <w:pPr>
        <w:ind w:firstLine="720"/>
        <w:jc w:val="both"/>
      </w:pPr>
      <w:r w:rsidRPr="0019675C">
        <w:t>Luksemburgā,</w:t>
      </w:r>
      <w:r w:rsidR="001C09DB" w:rsidRPr="0019675C">
        <w:t xml:space="preserve"> 201</w:t>
      </w:r>
      <w:r w:rsidRPr="0019675C">
        <w:t>2</w:t>
      </w:r>
      <w:r w:rsidR="001C09DB" w:rsidRPr="0019675C">
        <w:t>.</w:t>
      </w:r>
      <w:r w:rsidR="0019675C">
        <w:t> </w:t>
      </w:r>
      <w:r w:rsidR="001C09DB" w:rsidRPr="0019675C">
        <w:rPr>
          <w:bCs/>
        </w:rPr>
        <w:t xml:space="preserve">gada </w:t>
      </w:r>
      <w:r w:rsidR="006D7643" w:rsidRPr="0019675C">
        <w:rPr>
          <w:bCs/>
        </w:rPr>
        <w:t>25.-26.</w:t>
      </w:r>
      <w:r w:rsidR="0019675C">
        <w:rPr>
          <w:bCs/>
        </w:rPr>
        <w:t> </w:t>
      </w:r>
      <w:r w:rsidR="006D7643" w:rsidRPr="0019675C">
        <w:rPr>
          <w:bCs/>
        </w:rPr>
        <w:t>oktobrī</w:t>
      </w:r>
      <w:r w:rsidRPr="0019675C">
        <w:rPr>
          <w:bCs/>
        </w:rPr>
        <w:t xml:space="preserve">, </w:t>
      </w:r>
      <w:r w:rsidR="001C09DB" w:rsidRPr="0019675C">
        <w:t>notiks kārtējā Eiropas Savienības (turpmāk – ES) Tieslietu un iekšlietu ministru padomes sanāksme</w:t>
      </w:r>
      <w:r w:rsidR="00EB5E3D" w:rsidRPr="0019675C">
        <w:t xml:space="preserve"> (turpmāk – Padomes sanāksme)</w:t>
      </w:r>
      <w:r w:rsidR="001C09DB" w:rsidRPr="0019675C">
        <w:t>, kuras darba kārtībā ir ietverti šādi Tieslietu ministrijas</w:t>
      </w:r>
      <w:r w:rsidRPr="0019675C">
        <w:t xml:space="preserve"> </w:t>
      </w:r>
      <w:r w:rsidR="001C09DB" w:rsidRPr="0019675C">
        <w:t xml:space="preserve">kompetencē esošie jautājumi: </w:t>
      </w:r>
    </w:p>
    <w:p w:rsidR="001C09DB" w:rsidRPr="0019675C" w:rsidRDefault="001C09DB" w:rsidP="002B7DB3">
      <w:pPr>
        <w:ind w:firstLine="720"/>
        <w:jc w:val="both"/>
      </w:pPr>
    </w:p>
    <w:p w:rsidR="00B43820" w:rsidRPr="0019675C" w:rsidRDefault="00575008" w:rsidP="00B43820">
      <w:pPr>
        <w:ind w:right="-11" w:firstLine="709"/>
        <w:jc w:val="both"/>
      </w:pPr>
      <w:r w:rsidRPr="0019675C">
        <w:t>1.</w:t>
      </w:r>
      <w:r w:rsidR="006D7643" w:rsidRPr="0019675C">
        <w:t> </w:t>
      </w:r>
      <w:r w:rsidR="00B43820" w:rsidRPr="0019675C">
        <w:t>P</w:t>
      </w:r>
      <w:r w:rsidR="006D7643" w:rsidRPr="0019675C">
        <w:t>riekšlikums</w:t>
      </w:r>
      <w:r w:rsidR="00B43820" w:rsidRPr="0019675C">
        <w:t xml:space="preserve"> Eiropas Parlamenta un Padomes direktīvai par noziedzīgi iegūtu līdzekļu iesaldēšanu un konfiskāciju </w:t>
      </w:r>
      <w:r w:rsidR="006D7643" w:rsidRPr="0019675C">
        <w:t>ES</w:t>
      </w:r>
      <w:r w:rsidR="00B43820" w:rsidRPr="0019675C">
        <w:t xml:space="preserve">; </w:t>
      </w:r>
    </w:p>
    <w:p w:rsidR="00B43820" w:rsidRPr="0019675C" w:rsidRDefault="00B43820" w:rsidP="00B43820">
      <w:pPr>
        <w:ind w:right="-11" w:firstLine="709"/>
        <w:jc w:val="both"/>
      </w:pPr>
      <w:r w:rsidRPr="0019675C">
        <w:t>2.</w:t>
      </w:r>
      <w:r w:rsidR="006D7643" w:rsidRPr="0019675C">
        <w:t> </w:t>
      </w:r>
      <w:r w:rsidRPr="0019675C">
        <w:t>Priekšlikums Eiropas Parlamenta un Padomes direktīvai par kriminālajām sankcijām par iekšējās informācijas ļaunprātīgu izmantošanu un tirgus manipulācijām</w:t>
      </w:r>
      <w:r w:rsidR="006D7643" w:rsidRPr="0019675C">
        <w:t>;</w:t>
      </w:r>
      <w:r w:rsidRPr="0019675C">
        <w:rPr>
          <w:i/>
        </w:rPr>
        <w:t xml:space="preserve"> </w:t>
      </w:r>
    </w:p>
    <w:p w:rsidR="00B43820" w:rsidRPr="0019675C" w:rsidRDefault="00B43820" w:rsidP="002B7DB3">
      <w:pPr>
        <w:ind w:firstLine="720"/>
        <w:jc w:val="both"/>
      </w:pPr>
      <w:r w:rsidRPr="0019675C">
        <w:t>3</w:t>
      </w:r>
      <w:r w:rsidR="00525979" w:rsidRPr="0019675C">
        <w:t>.</w:t>
      </w:r>
      <w:r w:rsidR="006D7643" w:rsidRPr="0019675C">
        <w:t> Priekšlikums</w:t>
      </w:r>
      <w:r w:rsidRPr="0019675C">
        <w:t xml:space="preserve"> Eiropas Parlamenta un Padomes direktīvai par cīņu pret krāpšanu, kas skar Savienības finanšu intereses, izmantojot krimināltiesības;</w:t>
      </w:r>
    </w:p>
    <w:p w:rsidR="00B43820" w:rsidRPr="0019675C" w:rsidRDefault="00B43820" w:rsidP="008329B4">
      <w:pPr>
        <w:ind w:firstLine="720"/>
        <w:jc w:val="both"/>
        <w:rPr>
          <w:iCs/>
        </w:rPr>
      </w:pPr>
      <w:r w:rsidRPr="0019675C">
        <w:t>4</w:t>
      </w:r>
      <w:r w:rsidR="00525979" w:rsidRPr="0019675C">
        <w:t>.</w:t>
      </w:r>
      <w:r w:rsidR="006D7643" w:rsidRPr="0019675C">
        <w:t> Priekšlikums</w:t>
      </w:r>
      <w:r w:rsidRPr="0019675C">
        <w:t xml:space="preserve"> </w:t>
      </w:r>
      <w:r w:rsidRPr="0019675C">
        <w:rPr>
          <w:rStyle w:val="hps"/>
        </w:rPr>
        <w:t>Eiropas Parlamenta</w:t>
      </w:r>
      <w:r w:rsidRPr="0019675C">
        <w:t xml:space="preserve"> </w:t>
      </w:r>
      <w:r w:rsidRPr="0019675C">
        <w:rPr>
          <w:rStyle w:val="hps"/>
        </w:rPr>
        <w:t>un</w:t>
      </w:r>
      <w:r w:rsidRPr="0019675C">
        <w:t xml:space="preserve"> </w:t>
      </w:r>
      <w:r w:rsidRPr="0019675C">
        <w:rPr>
          <w:rStyle w:val="hps"/>
        </w:rPr>
        <w:t>Padomes regulai par</w:t>
      </w:r>
      <w:r w:rsidRPr="0019675C">
        <w:t xml:space="preserve"> </w:t>
      </w:r>
      <w:r w:rsidR="000959B3">
        <w:t xml:space="preserve">fizisku </w:t>
      </w:r>
      <w:r w:rsidRPr="0019675C">
        <w:rPr>
          <w:rStyle w:val="hps"/>
        </w:rPr>
        <w:t>person</w:t>
      </w:r>
      <w:r w:rsidR="000959B3">
        <w:rPr>
          <w:rStyle w:val="hps"/>
        </w:rPr>
        <w:t>u</w:t>
      </w:r>
      <w:r w:rsidRPr="0019675C">
        <w:rPr>
          <w:rStyle w:val="hps"/>
        </w:rPr>
        <w:t xml:space="preserve"> aizsardzību</w:t>
      </w:r>
      <w:r w:rsidRPr="0019675C">
        <w:t xml:space="preserve"> </w:t>
      </w:r>
      <w:r w:rsidRPr="0019675C">
        <w:rPr>
          <w:rStyle w:val="hps"/>
        </w:rPr>
        <w:t>attiecībā uz</w:t>
      </w:r>
      <w:r w:rsidRPr="0019675C">
        <w:t xml:space="preserve"> </w:t>
      </w:r>
      <w:r w:rsidRPr="0019675C">
        <w:rPr>
          <w:rStyle w:val="hps"/>
        </w:rPr>
        <w:t>personas datu apstrādi</w:t>
      </w:r>
      <w:r w:rsidRPr="0019675C">
        <w:t xml:space="preserve"> </w:t>
      </w:r>
      <w:r w:rsidRPr="0019675C">
        <w:rPr>
          <w:rStyle w:val="hps"/>
        </w:rPr>
        <w:t>un to brīvu</w:t>
      </w:r>
      <w:r w:rsidRPr="0019675C">
        <w:t xml:space="preserve"> </w:t>
      </w:r>
      <w:r w:rsidRPr="0019675C">
        <w:rPr>
          <w:rStyle w:val="hps"/>
        </w:rPr>
        <w:t>apriti</w:t>
      </w:r>
      <w:r w:rsidR="006D7643" w:rsidRPr="0019675C">
        <w:rPr>
          <w:rStyle w:val="hps"/>
        </w:rPr>
        <w:t xml:space="preserve">. </w:t>
      </w:r>
      <w:r w:rsidRPr="0019675C">
        <w:rPr>
          <w:iCs/>
        </w:rPr>
        <w:t xml:space="preserve"> </w:t>
      </w:r>
    </w:p>
    <w:p w:rsidR="006D7643" w:rsidRPr="0019675C" w:rsidRDefault="006D7643" w:rsidP="008329B4">
      <w:pPr>
        <w:ind w:firstLine="720"/>
        <w:jc w:val="both"/>
        <w:rPr>
          <w:iCs/>
        </w:rPr>
      </w:pPr>
    </w:p>
    <w:p w:rsidR="006D7643" w:rsidRPr="0019675C" w:rsidRDefault="006D7643" w:rsidP="006D7643">
      <w:pPr>
        <w:ind w:firstLine="720"/>
        <w:jc w:val="both"/>
        <w:rPr>
          <w:iCs/>
        </w:rPr>
      </w:pPr>
      <w:r w:rsidRPr="0019675C">
        <w:rPr>
          <w:iCs/>
        </w:rPr>
        <w:t xml:space="preserve">Ņemot vērā jautājumu izskatīšanas būtību un ministriem uzdotos jautājumus, Latvijas nacionālās pozīcijas ir sagatavotas attiecībā uz pirmajiem diviem </w:t>
      </w:r>
      <w:r w:rsidR="00DF5079" w:rsidRPr="0019675C">
        <w:rPr>
          <w:iCs/>
        </w:rPr>
        <w:t>priekšlikumiem</w:t>
      </w:r>
      <w:r w:rsidRPr="0019675C">
        <w:rPr>
          <w:iCs/>
        </w:rPr>
        <w:t xml:space="preserve">. </w:t>
      </w:r>
    </w:p>
    <w:p w:rsidR="00525979" w:rsidRPr="0019675C" w:rsidRDefault="00525979" w:rsidP="002B7DB3">
      <w:pPr>
        <w:ind w:firstLine="720"/>
        <w:jc w:val="both"/>
        <w:rPr>
          <w:iCs/>
        </w:rPr>
      </w:pPr>
    </w:p>
    <w:p w:rsidR="001C09DB" w:rsidRPr="0019675C" w:rsidRDefault="001C09DB" w:rsidP="001C09DB">
      <w:pPr>
        <w:pStyle w:val="Pamatteksts2"/>
        <w:jc w:val="both"/>
        <w:rPr>
          <w:b/>
          <w:bCs/>
          <w:sz w:val="24"/>
          <w:szCs w:val="24"/>
          <w:u w:val="single"/>
        </w:rPr>
      </w:pPr>
      <w:r w:rsidRPr="0019675C">
        <w:rPr>
          <w:b/>
          <w:bCs/>
          <w:sz w:val="24"/>
          <w:szCs w:val="24"/>
          <w:u w:val="single"/>
        </w:rPr>
        <w:t xml:space="preserve">II </w:t>
      </w:r>
      <w:r w:rsidR="00A43000" w:rsidRPr="0019675C">
        <w:rPr>
          <w:b/>
          <w:bCs/>
          <w:sz w:val="24"/>
          <w:szCs w:val="24"/>
          <w:u w:val="single"/>
        </w:rPr>
        <w:t xml:space="preserve">Latvijas nacionālās pozīcijas </w:t>
      </w:r>
      <w:r w:rsidRPr="0019675C">
        <w:rPr>
          <w:b/>
          <w:bCs/>
          <w:sz w:val="24"/>
          <w:szCs w:val="24"/>
          <w:u w:val="single"/>
        </w:rPr>
        <w:t xml:space="preserve"> </w:t>
      </w:r>
    </w:p>
    <w:p w:rsidR="00525979" w:rsidRPr="0019675C" w:rsidRDefault="00525979" w:rsidP="001C09DB">
      <w:pPr>
        <w:pStyle w:val="Pamatteksts2"/>
        <w:jc w:val="both"/>
        <w:rPr>
          <w:b/>
          <w:bCs/>
          <w:sz w:val="24"/>
          <w:szCs w:val="24"/>
          <w:u w:val="single"/>
        </w:rPr>
      </w:pPr>
    </w:p>
    <w:p w:rsidR="00B43820" w:rsidRPr="0019675C" w:rsidRDefault="00525979" w:rsidP="00B43820">
      <w:pPr>
        <w:ind w:right="-11" w:firstLine="709"/>
        <w:jc w:val="both"/>
      </w:pPr>
      <w:r w:rsidRPr="0019675C">
        <w:rPr>
          <w:b/>
        </w:rPr>
        <w:t>1.</w:t>
      </w:r>
      <w:r w:rsidR="006D7643" w:rsidRPr="0019675C">
        <w:rPr>
          <w:b/>
        </w:rPr>
        <w:t xml:space="preserve"> Priekšlikums</w:t>
      </w:r>
      <w:r w:rsidR="00B43820" w:rsidRPr="0019675C">
        <w:rPr>
          <w:b/>
        </w:rPr>
        <w:t xml:space="preserve"> Eiropas Parlamenta un Padomes direktīvai par noziedzīgi iegūtu līdzekļu iesaldēšanu un konfiskāciju E</w:t>
      </w:r>
      <w:r w:rsidR="006D7643" w:rsidRPr="0019675C">
        <w:rPr>
          <w:b/>
        </w:rPr>
        <w:t>S</w:t>
      </w:r>
    </w:p>
    <w:p w:rsidR="00855B58" w:rsidRPr="0019675C" w:rsidRDefault="00855B58" w:rsidP="00855B58">
      <w:pPr>
        <w:pStyle w:val="EntEmet"/>
        <w:spacing w:before="0"/>
        <w:jc w:val="both"/>
        <w:rPr>
          <w:szCs w:val="24"/>
        </w:rPr>
      </w:pPr>
      <w:r w:rsidRPr="0019675C">
        <w:rPr>
          <w:szCs w:val="24"/>
        </w:rPr>
        <w:tab/>
      </w:r>
      <w:r w:rsidRPr="0019675C">
        <w:rPr>
          <w:szCs w:val="24"/>
        </w:rPr>
        <w:tab/>
        <w:t xml:space="preserve">Priekšlikuma, ar ko Eiropas Komisija ir nākusi klajā š.g. 12. martā, mērķis ir konfiscēt un atgūt peļņu, ko nozieguma izdarītāji gūst smagu un organizētu noziegumu rezultātā. Šī brīža </w:t>
      </w:r>
      <w:r w:rsidR="00542A21" w:rsidRPr="0019675C">
        <w:rPr>
          <w:szCs w:val="24"/>
        </w:rPr>
        <w:t>ES</w:t>
      </w:r>
      <w:r w:rsidRPr="0019675C">
        <w:rPr>
          <w:szCs w:val="24"/>
        </w:rPr>
        <w:t xml:space="preserve"> līmeņa tiesisko regulējumu attiecībā uz noziedzīgi iegūtu līdzekļu iesaldēšanu un konfiskāciju veido vairāki Pamatlēmumi, kas pieņemti laika periodā no 2001. līdz 2007.</w:t>
      </w:r>
      <w:r w:rsidR="00DF5079" w:rsidRPr="0019675C">
        <w:rPr>
          <w:szCs w:val="24"/>
        </w:rPr>
        <w:t> </w:t>
      </w:r>
      <w:r w:rsidRPr="0019675C">
        <w:rPr>
          <w:szCs w:val="24"/>
        </w:rPr>
        <w:t>gadam</w:t>
      </w:r>
      <w:r w:rsidRPr="0019675C">
        <w:rPr>
          <w:rStyle w:val="Vresatsauce"/>
          <w:szCs w:val="24"/>
        </w:rPr>
        <w:footnoteReference w:id="1"/>
      </w:r>
      <w:r w:rsidRPr="0019675C">
        <w:rPr>
          <w:szCs w:val="24"/>
        </w:rPr>
        <w:t>, tomēr, ņemot vērā atšķirīgo pieeju to ieviešanā ES dalībvalstīs,</w:t>
      </w:r>
      <w:r w:rsidR="002A25AF" w:rsidRPr="0019675C">
        <w:rPr>
          <w:szCs w:val="24"/>
        </w:rPr>
        <w:t xml:space="preserve"> Eiropas Komisija ir secinājusi, ka</w:t>
      </w:r>
      <w:r w:rsidRPr="0019675C">
        <w:rPr>
          <w:szCs w:val="24"/>
        </w:rPr>
        <w:t xml:space="preserve"> ir nepieciešama efektīvāka ES rīcība. </w:t>
      </w:r>
    </w:p>
    <w:p w:rsidR="00855B58" w:rsidRPr="0019675C" w:rsidRDefault="00855B58" w:rsidP="00855B58">
      <w:pPr>
        <w:pStyle w:val="Text1"/>
        <w:spacing w:before="0" w:after="0"/>
        <w:ind w:left="0" w:firstLine="720"/>
      </w:pPr>
      <w:r w:rsidRPr="0019675C">
        <w:t xml:space="preserve">Priekšlikums paredz noteikt dalībvalstīm noteikumu minimumu attiecībā uz noziedzīgi iegūtu līdzekļu iesaldēšanu un konfiskāciju, ko veic, izmantojot tiešu konfiskāciju, vērtību konfiskāciju, paplašinātu konfiskāciju, konfiskāciju bez notiesājoša sprieduma (noteiktajos gadījumos) un konfiskāciju, ko piemēro trešajai personai. Šādu noteikumu minimuma pieņemšana ļaus turpināt līdzekļu iesaldēšanas un konfiskācijas režīmu saskaņošanu dalībvalstīs. </w:t>
      </w:r>
    </w:p>
    <w:p w:rsidR="008116D1" w:rsidRPr="0019675C" w:rsidRDefault="006D7643" w:rsidP="008116D1">
      <w:pPr>
        <w:ind w:firstLine="720"/>
        <w:jc w:val="both"/>
        <w:rPr>
          <w:b/>
        </w:rPr>
      </w:pPr>
      <w:r w:rsidRPr="0019675C">
        <w:t>Šobrīd notiek Priekšlikuma izskatīšana</w:t>
      </w:r>
      <w:r w:rsidR="00DF5079" w:rsidRPr="0019675C">
        <w:t xml:space="preserve"> ES Padomē - diskusijas</w:t>
      </w:r>
      <w:r w:rsidRPr="0019675C">
        <w:t xml:space="preserve"> ekspertu līmenī. </w:t>
      </w:r>
      <w:r w:rsidR="00DF5079" w:rsidRPr="0019675C">
        <w:t>Viens no aktuālākiem diskusiju jautājumiem ir paplašinātā konfiskācija, proti, ekspertu līmenī nav panākts kompromiss par paplašinātās konfiskācijas tvērumu - uz cik plašu gadījumu loku būtu attiecināma paplašinātā konfiskācija. Tādējādi, Padomes sanāksmē ministri tiek aicināti diskutēt par kritērijiem, kādi būtu izvirzāmi paplašinātās konfiskācijas piemērošanai, lai nodrošinātu proporcionalitātes principa ievērošanu un savstarpēju atzīšanu.</w:t>
      </w:r>
      <w:r w:rsidR="00DF5079" w:rsidRPr="0019675C">
        <w:rPr>
          <w:b/>
        </w:rPr>
        <w:t xml:space="preserve"> </w:t>
      </w:r>
    </w:p>
    <w:p w:rsidR="00855B58" w:rsidRPr="0019675C" w:rsidRDefault="006D7643" w:rsidP="00DF5079">
      <w:pPr>
        <w:ind w:firstLine="720"/>
        <w:jc w:val="both"/>
      </w:pPr>
      <w:r w:rsidRPr="0019675C">
        <w:t xml:space="preserve">Latvija konceptuāli atbalsta Priekšlikumu, jo uzskata to par būtisku instrumentu savstarpējās atzīšanas un savstarpējās sadarbības veicināšanai. </w:t>
      </w:r>
      <w:r w:rsidR="00855B58" w:rsidRPr="0019675C">
        <w:t xml:space="preserve">Latvija piekrīt, ka Priekšlikumā ir nepieciešams ietvert normu par paplašināto konfiskāciju un ka šī panta </w:t>
      </w:r>
      <w:r w:rsidR="00855B58" w:rsidRPr="0019675C">
        <w:lastRenderedPageBreak/>
        <w:t>piemērošanas jomai jābūt skaidri noteiktai un to nevar attiecināt uz mazāk smagiem noziegumiem. Turpmāko diskusiju ietvaros Latvija atbalstītu tādu kritēriju noteikšanu, kā</w:t>
      </w:r>
      <w:r w:rsidR="00542A21" w:rsidRPr="0019675C">
        <w:t>,</w:t>
      </w:r>
      <w:r w:rsidR="00855B58" w:rsidRPr="0019675C">
        <w:t xml:space="preserve"> piemēram, noziegums vērsts uz materiāla labuma gūšanu un par noziegumu paredzēts brīvības atņemšanas sods.</w:t>
      </w:r>
    </w:p>
    <w:p w:rsidR="00B43820" w:rsidRPr="0019675C" w:rsidRDefault="00B43820" w:rsidP="00B43820">
      <w:pPr>
        <w:ind w:right="-11" w:firstLine="709"/>
        <w:jc w:val="both"/>
      </w:pPr>
    </w:p>
    <w:p w:rsidR="00525979" w:rsidRPr="0019675C" w:rsidRDefault="00B43820" w:rsidP="00525979">
      <w:pPr>
        <w:ind w:firstLine="720"/>
        <w:jc w:val="both"/>
        <w:rPr>
          <w:b/>
        </w:rPr>
      </w:pPr>
      <w:r w:rsidRPr="0019675C">
        <w:rPr>
          <w:b/>
        </w:rPr>
        <w:t>2.Priekšlikums Eiropas Parlamenta un Padomes direktīvai par kriminālajām sankcijām par iekšējās informācijas ļaunprātīgu izmantošanu un tirgus manipulācijām</w:t>
      </w:r>
    </w:p>
    <w:p w:rsidR="00DF5079" w:rsidRPr="0019675C" w:rsidRDefault="00855B58" w:rsidP="00DF5079">
      <w:pPr>
        <w:pStyle w:val="Text1"/>
        <w:spacing w:before="0" w:after="0"/>
        <w:ind w:left="0"/>
      </w:pPr>
      <w:r w:rsidRPr="0019675C">
        <w:tab/>
      </w:r>
      <w:r w:rsidR="003C442C" w:rsidRPr="0019675C">
        <w:t>Direktīvas projekta mērķis ir palielināt ieguldītāju uzticību un tirgus integritāti, aizliedzot tiem, kam pieejama iekšēja informācija, tirgoties ar finanšu instrumentiem, kas saistīti ar iekšējo informāciju un aizliedzot tirgus manipulācijas, izplatot nepatiesu informāciju vai baumas un veicot darījumus, kuru rezultātā tiek noteiktas neatbilstošas cenas.</w:t>
      </w:r>
    </w:p>
    <w:p w:rsidR="003C442C" w:rsidRPr="0019675C" w:rsidRDefault="003C442C" w:rsidP="00DF5079">
      <w:pPr>
        <w:pStyle w:val="Text1"/>
        <w:spacing w:before="0" w:after="0"/>
        <w:ind w:left="0" w:firstLine="720"/>
      </w:pPr>
      <w:r w:rsidRPr="0019675C">
        <w:t xml:space="preserve">Priekšlikumi par administratīvo sankciju nostiprināšanu un saskaņas nodrošināšanu ir iekļauti </w:t>
      </w:r>
      <w:r w:rsidR="00DE660E">
        <w:t>Regulas projektā</w:t>
      </w:r>
      <w:r w:rsidR="00DE660E" w:rsidRPr="0019675C">
        <w:t xml:space="preserve"> par iekšējās informācijas ļaunprātīgu izmantošanu un tirgus manipulācijām (turpmāk – regulas projekts)</w:t>
      </w:r>
      <w:r w:rsidRPr="0019675C">
        <w:t>, kas arī paredz risināt citas būtiskas esošās sistēmas problēmas, bet direktīvas projekts</w:t>
      </w:r>
      <w:r w:rsidR="002A25AF" w:rsidRPr="0019675C">
        <w:t>, papildinot regulu,</w:t>
      </w:r>
      <w:r w:rsidRPr="0019675C">
        <w:t xml:space="preserve"> paredz prasību dalībvalstīm nodrošināt minimuma</w:t>
      </w:r>
      <w:r w:rsidR="002A25AF" w:rsidRPr="0019675C">
        <w:t xml:space="preserve"> krimināltiesiskos</w:t>
      </w:r>
      <w:r w:rsidRPr="0019675C">
        <w:t xml:space="preserve"> noteikumus smagāko tirgus ļaunprātīgas izmantošanas gadījumu definēšanai</w:t>
      </w:r>
      <w:r w:rsidR="002A25AF" w:rsidRPr="0019675C">
        <w:t xml:space="preserve">. </w:t>
      </w:r>
      <w:r w:rsidRPr="0019675C">
        <w:t xml:space="preserve"> </w:t>
      </w:r>
    </w:p>
    <w:p w:rsidR="00DF5079" w:rsidRPr="0019675C" w:rsidRDefault="003C442C" w:rsidP="00DF5079">
      <w:pPr>
        <w:tabs>
          <w:tab w:val="left" w:pos="0"/>
          <w:tab w:val="left" w:pos="709"/>
        </w:tabs>
        <w:jc w:val="both"/>
        <w:rPr>
          <w:b/>
        </w:rPr>
      </w:pPr>
      <w:r w:rsidRPr="0019675C">
        <w:tab/>
        <w:t xml:space="preserve">Dānijas prezidentūras laikā 2012.gada 26.-27. aprīlī ES Tieslietu un iekšlietu ministru padomes sanāksmē tika </w:t>
      </w:r>
      <w:r w:rsidR="00DF5079" w:rsidRPr="0019675C">
        <w:t>apstiprināta daļēja</w:t>
      </w:r>
      <w:r w:rsidRPr="0019675C">
        <w:t xml:space="preserve"> vispārējā pieeja par direktīvas projekta 5</w:t>
      </w:r>
      <w:r w:rsidR="000959B3" w:rsidRPr="0019675C">
        <w:t>.- 12</w:t>
      </w:r>
      <w:r w:rsidR="000959B3">
        <w:t>.</w:t>
      </w:r>
      <w:r w:rsidR="000959B3" w:rsidRPr="0019675C">
        <w:t xml:space="preserve"> pantam</w:t>
      </w:r>
      <w:r w:rsidRPr="0019675C">
        <w:rPr>
          <w:rFonts w:ascii="TimesNewRoman,Bold" w:eastAsia="Calibri" w:hAnsi="TimesNewRoman,Bold" w:cs="TimesNewRoman,Bold"/>
          <w:bCs/>
        </w:rPr>
        <w:t>: uzk</w:t>
      </w:r>
      <w:r w:rsidRPr="0019675C">
        <w:t>ūdīšana, atbalstīšana, līdzdalība un mēģinājums, kriminālsankcijas, juridisko personu atbildība</w:t>
      </w:r>
      <w:r w:rsidR="000959B3">
        <w:t>,</w:t>
      </w:r>
      <w:r w:rsidRPr="0019675C">
        <w:t xml:space="preserve"> sankcijas juridiskām personām, ziņojums, transponēšana, stāšanās spēkā</w:t>
      </w:r>
      <w:r w:rsidR="000959B3">
        <w:t xml:space="preserve"> un </w:t>
      </w:r>
      <w:r w:rsidRPr="0019675C">
        <w:t>adresāti.</w:t>
      </w:r>
      <w:r w:rsidRPr="0019675C">
        <w:rPr>
          <w:b/>
        </w:rPr>
        <w:t xml:space="preserve"> </w:t>
      </w:r>
    </w:p>
    <w:p w:rsidR="002A25AF" w:rsidRPr="0019675C" w:rsidRDefault="00DF5079" w:rsidP="00DF5079">
      <w:pPr>
        <w:tabs>
          <w:tab w:val="left" w:pos="0"/>
          <w:tab w:val="left" w:pos="709"/>
        </w:tabs>
        <w:jc w:val="both"/>
      </w:pPr>
      <w:r w:rsidRPr="0019675C">
        <w:rPr>
          <w:b/>
        </w:rPr>
        <w:tab/>
      </w:r>
      <w:r w:rsidRPr="0019675C">
        <w:t>Šobrīd</w:t>
      </w:r>
      <w:r w:rsidR="003C442C" w:rsidRPr="0019675C">
        <w:t xml:space="preserve"> ekspertu līmenī tiek turpināts darbs pie direktīvas projekta </w:t>
      </w:r>
      <w:r w:rsidR="00542A21" w:rsidRPr="0019675C">
        <w:t>pirmajiem četriem pantiem</w:t>
      </w:r>
      <w:r w:rsidR="003C442C" w:rsidRPr="0019675C">
        <w:t>, kā arī pēc Padomes Juridiskā dienesta viedokļa saņemšanas</w:t>
      </w:r>
      <w:r w:rsidR="003C442C" w:rsidRPr="0019675C">
        <w:rPr>
          <w:rStyle w:val="Vresatsauce"/>
        </w:rPr>
        <w:footnoteReference w:id="2"/>
      </w:r>
      <w:r w:rsidR="00D76EE8">
        <w:t>, aktualizējusie</w:t>
      </w:r>
      <w:r w:rsidR="003C442C" w:rsidRPr="0019675C">
        <w:t xml:space="preserve">s diskusija par </w:t>
      </w:r>
      <w:r w:rsidR="003C442C" w:rsidRPr="0019675C">
        <w:rPr>
          <w:i/>
        </w:rPr>
        <w:t xml:space="preserve">ne </w:t>
      </w:r>
      <w:proofErr w:type="spellStart"/>
      <w:r w:rsidR="003C442C" w:rsidRPr="0019675C">
        <w:rPr>
          <w:i/>
        </w:rPr>
        <w:t>bis</w:t>
      </w:r>
      <w:proofErr w:type="spellEnd"/>
      <w:r w:rsidR="003C442C" w:rsidRPr="0019675C">
        <w:rPr>
          <w:i/>
        </w:rPr>
        <w:t xml:space="preserve"> in </w:t>
      </w:r>
      <w:proofErr w:type="spellStart"/>
      <w:r w:rsidR="003C442C" w:rsidRPr="0019675C">
        <w:rPr>
          <w:i/>
        </w:rPr>
        <w:t>idem</w:t>
      </w:r>
      <w:proofErr w:type="spellEnd"/>
      <w:r w:rsidR="003C442C" w:rsidRPr="0019675C">
        <w:rPr>
          <w:i/>
        </w:rPr>
        <w:t xml:space="preserve"> </w:t>
      </w:r>
      <w:r w:rsidR="00542A21" w:rsidRPr="0019675C">
        <w:t>principa piemērošanu.</w:t>
      </w:r>
      <w:r w:rsidR="00247F48" w:rsidRPr="0019675C">
        <w:t xml:space="preserve"> </w:t>
      </w:r>
      <w:r w:rsidR="00247F48" w:rsidRPr="0019675C">
        <w:rPr>
          <w:i/>
        </w:rPr>
        <w:t xml:space="preserve">Ne </w:t>
      </w:r>
      <w:proofErr w:type="spellStart"/>
      <w:r w:rsidR="00247F48" w:rsidRPr="0019675C">
        <w:rPr>
          <w:i/>
        </w:rPr>
        <w:t>bis</w:t>
      </w:r>
      <w:proofErr w:type="spellEnd"/>
      <w:r w:rsidR="00247F48" w:rsidRPr="0019675C">
        <w:rPr>
          <w:i/>
        </w:rPr>
        <w:t xml:space="preserve"> in </w:t>
      </w:r>
      <w:proofErr w:type="spellStart"/>
      <w:r w:rsidR="00247F48" w:rsidRPr="0019675C">
        <w:rPr>
          <w:i/>
        </w:rPr>
        <w:t>idem</w:t>
      </w:r>
      <w:proofErr w:type="spellEnd"/>
      <w:r w:rsidR="00247F48" w:rsidRPr="0019675C">
        <w:rPr>
          <w:i/>
        </w:rPr>
        <w:t xml:space="preserve"> </w:t>
      </w:r>
      <w:r w:rsidR="00247F48" w:rsidRPr="0019675C">
        <w:t xml:space="preserve">principa piemērošana Priekšlikumā jāvērtē kopsakarā ar </w:t>
      </w:r>
      <w:r w:rsidR="00DE660E">
        <w:t>regulas projektu</w:t>
      </w:r>
      <w:r w:rsidR="00247F48" w:rsidRPr="0019675C">
        <w:t xml:space="preserve">. </w:t>
      </w:r>
      <w:r w:rsidR="002A25AF" w:rsidRPr="0019675C">
        <w:t xml:space="preserve">Ievērojot minētās diskusijas, Padomes sanāksmē ministri tiek aicināti izteikt savu viedokli par </w:t>
      </w:r>
      <w:r w:rsidR="002A25AF" w:rsidRPr="0019675C">
        <w:rPr>
          <w:i/>
        </w:rPr>
        <w:t xml:space="preserve">ne </w:t>
      </w:r>
      <w:proofErr w:type="spellStart"/>
      <w:r w:rsidR="002A25AF" w:rsidRPr="0019675C">
        <w:rPr>
          <w:i/>
        </w:rPr>
        <w:t>bis</w:t>
      </w:r>
      <w:proofErr w:type="spellEnd"/>
      <w:r w:rsidR="002A25AF" w:rsidRPr="0019675C">
        <w:rPr>
          <w:i/>
        </w:rPr>
        <w:t xml:space="preserve"> in </w:t>
      </w:r>
      <w:proofErr w:type="spellStart"/>
      <w:r w:rsidR="002A25AF" w:rsidRPr="0019675C">
        <w:rPr>
          <w:i/>
        </w:rPr>
        <w:t>idem</w:t>
      </w:r>
      <w:proofErr w:type="spellEnd"/>
      <w:r w:rsidR="002A25AF" w:rsidRPr="0019675C">
        <w:t xml:space="preserve"> principa aizsardzību, proti, vai </w:t>
      </w:r>
      <w:r w:rsidR="002A25AF" w:rsidRPr="0019675C">
        <w:rPr>
          <w:i/>
        </w:rPr>
        <w:t xml:space="preserve">ne </w:t>
      </w:r>
      <w:proofErr w:type="spellStart"/>
      <w:r w:rsidR="002A25AF" w:rsidRPr="0019675C">
        <w:rPr>
          <w:i/>
        </w:rPr>
        <w:t>bis</w:t>
      </w:r>
      <w:proofErr w:type="spellEnd"/>
      <w:r w:rsidR="002A25AF" w:rsidRPr="0019675C">
        <w:rPr>
          <w:i/>
        </w:rPr>
        <w:t xml:space="preserve"> in </w:t>
      </w:r>
      <w:proofErr w:type="spellStart"/>
      <w:r w:rsidR="002A25AF" w:rsidRPr="0019675C">
        <w:rPr>
          <w:i/>
        </w:rPr>
        <w:t>idem</w:t>
      </w:r>
      <w:proofErr w:type="spellEnd"/>
      <w:r w:rsidR="002A25AF" w:rsidRPr="0019675C">
        <w:t xml:space="preserve"> principa aizsardzība ir būtiska attiecībā uz direktīvas un regulas priekšlikumu un pozitīvas atbildes gadījumā, vai </w:t>
      </w:r>
      <w:r w:rsidR="002A25AF" w:rsidRPr="0019675C">
        <w:rPr>
          <w:i/>
        </w:rPr>
        <w:t xml:space="preserve">ne </w:t>
      </w:r>
      <w:proofErr w:type="spellStart"/>
      <w:r w:rsidR="002A25AF" w:rsidRPr="0019675C">
        <w:rPr>
          <w:i/>
        </w:rPr>
        <w:t>bis</w:t>
      </w:r>
      <w:proofErr w:type="spellEnd"/>
      <w:r w:rsidR="002A25AF" w:rsidRPr="0019675C">
        <w:rPr>
          <w:i/>
        </w:rPr>
        <w:t xml:space="preserve"> in </w:t>
      </w:r>
      <w:proofErr w:type="spellStart"/>
      <w:r w:rsidR="002A25AF" w:rsidRPr="0019675C">
        <w:rPr>
          <w:i/>
        </w:rPr>
        <w:t>idem</w:t>
      </w:r>
      <w:proofErr w:type="spellEnd"/>
      <w:r w:rsidR="002A25AF" w:rsidRPr="0019675C">
        <w:t xml:space="preserve"> principa aizsardzība būtu jāatstāj katras dalībvalsts ziņā, piemērojot direktīvu un regulu.</w:t>
      </w:r>
    </w:p>
    <w:p w:rsidR="00247F48" w:rsidRPr="0019675C" w:rsidRDefault="002A25AF" w:rsidP="00DF5079">
      <w:pPr>
        <w:tabs>
          <w:tab w:val="left" w:pos="0"/>
          <w:tab w:val="left" w:pos="709"/>
        </w:tabs>
        <w:jc w:val="both"/>
      </w:pPr>
      <w:r w:rsidRPr="0019675C">
        <w:tab/>
        <w:t xml:space="preserve">Latvija uzskata, ka svarīgi ir izslēgt iespēju, ka personai par vienu un to pašu nodarījumu varētu tikt piemēroti gan regulas projektā paredzētie finanšu sodi, gan direktīvas projektā paredzētie kriminālsodi par iekšējās informācijas izpaušanu un tirgus manipulāciju gadījumiem, kas būtu </w:t>
      </w:r>
      <w:r w:rsidRPr="0019675C">
        <w:rPr>
          <w:i/>
        </w:rPr>
        <w:t xml:space="preserve">ne </w:t>
      </w:r>
      <w:proofErr w:type="spellStart"/>
      <w:r w:rsidRPr="0019675C">
        <w:rPr>
          <w:i/>
        </w:rPr>
        <w:t>bis</w:t>
      </w:r>
      <w:proofErr w:type="spellEnd"/>
      <w:r w:rsidRPr="0019675C">
        <w:rPr>
          <w:i/>
        </w:rPr>
        <w:t xml:space="preserve"> in </w:t>
      </w:r>
      <w:proofErr w:type="spellStart"/>
      <w:r w:rsidRPr="0019675C">
        <w:rPr>
          <w:i/>
        </w:rPr>
        <w:t>idem</w:t>
      </w:r>
      <w:proofErr w:type="spellEnd"/>
      <w:r w:rsidRPr="0019675C">
        <w:t xml:space="preserve"> principa pārkāpums. </w:t>
      </w:r>
      <w:r w:rsidR="00247F48" w:rsidRPr="0019675C">
        <w:t xml:space="preserve">Tādējādi Latvija uzskata, ka </w:t>
      </w:r>
      <w:r w:rsidR="00247F48" w:rsidRPr="0019675C">
        <w:rPr>
          <w:i/>
        </w:rPr>
        <w:t xml:space="preserve">ne </w:t>
      </w:r>
      <w:proofErr w:type="spellStart"/>
      <w:r w:rsidR="00247F48" w:rsidRPr="0019675C">
        <w:rPr>
          <w:i/>
        </w:rPr>
        <w:t>bis</w:t>
      </w:r>
      <w:proofErr w:type="spellEnd"/>
      <w:r w:rsidR="00247F48" w:rsidRPr="0019675C">
        <w:rPr>
          <w:i/>
        </w:rPr>
        <w:t xml:space="preserve"> in </w:t>
      </w:r>
      <w:proofErr w:type="spellStart"/>
      <w:r w:rsidR="00247F48" w:rsidRPr="0019675C">
        <w:rPr>
          <w:i/>
        </w:rPr>
        <w:t>idem</w:t>
      </w:r>
      <w:proofErr w:type="spellEnd"/>
      <w:r w:rsidR="00247F48" w:rsidRPr="0019675C">
        <w:rPr>
          <w:i/>
        </w:rPr>
        <w:t xml:space="preserve"> </w:t>
      </w:r>
      <w:r w:rsidR="00247F48" w:rsidRPr="0019675C">
        <w:t xml:space="preserve">principa aizsardzība būtu jānodrošina </w:t>
      </w:r>
      <w:r w:rsidRPr="0019675C">
        <w:t>direktīvas projektā</w:t>
      </w:r>
      <w:r w:rsidR="00247F48" w:rsidRPr="0019675C">
        <w:t xml:space="preserve"> iekļaujot izslēdzošo normu. </w:t>
      </w:r>
    </w:p>
    <w:p w:rsidR="00622283" w:rsidRPr="0019675C" w:rsidRDefault="00622283" w:rsidP="00C75A34"/>
    <w:p w:rsidR="00C75A34" w:rsidRPr="0019675C" w:rsidRDefault="00C75A34" w:rsidP="00C75A34">
      <w:pPr>
        <w:rPr>
          <w:b/>
          <w:u w:val="single"/>
        </w:rPr>
      </w:pPr>
      <w:r w:rsidRPr="0019675C">
        <w:rPr>
          <w:b/>
          <w:u w:val="single"/>
        </w:rPr>
        <w:t>III Citi Padomes sanāksmē izskatāmie jautājumi</w:t>
      </w:r>
    </w:p>
    <w:p w:rsidR="009E44D8" w:rsidRPr="0019675C" w:rsidRDefault="009E44D8" w:rsidP="00C75A34">
      <w:pPr>
        <w:rPr>
          <w:b/>
          <w:u w:val="single"/>
        </w:rPr>
      </w:pPr>
    </w:p>
    <w:p w:rsidR="005859B4" w:rsidRPr="0019675C" w:rsidRDefault="00B43820" w:rsidP="005859B4">
      <w:pPr>
        <w:ind w:firstLine="720"/>
        <w:jc w:val="both"/>
        <w:rPr>
          <w:b/>
        </w:rPr>
      </w:pPr>
      <w:r w:rsidRPr="0019675C">
        <w:rPr>
          <w:b/>
        </w:rPr>
        <w:t>1</w:t>
      </w:r>
      <w:r w:rsidR="005859B4" w:rsidRPr="0019675C">
        <w:rPr>
          <w:b/>
        </w:rPr>
        <w:t>.</w:t>
      </w:r>
      <w:r w:rsidR="00DF5079" w:rsidRPr="0019675C">
        <w:rPr>
          <w:b/>
        </w:rPr>
        <w:t> </w:t>
      </w:r>
      <w:r w:rsidRPr="0019675C">
        <w:rPr>
          <w:b/>
        </w:rPr>
        <w:t>Priekšlikumu Eiropas Parlamenta un Padomes direktīvai par cīņu pret krāpšanu, kas skar Savienības finanšu intereses, izmantojot krimināltiesības</w:t>
      </w:r>
    </w:p>
    <w:p w:rsidR="0019675C" w:rsidRPr="0019675C" w:rsidRDefault="0051789C" w:rsidP="0051789C">
      <w:pPr>
        <w:autoSpaceDE w:val="0"/>
        <w:autoSpaceDN w:val="0"/>
        <w:adjustRightInd w:val="0"/>
        <w:ind w:firstLine="720"/>
        <w:jc w:val="both"/>
      </w:pPr>
      <w:r w:rsidRPr="0019675C">
        <w:t>Š.g.</w:t>
      </w:r>
      <w:r w:rsidR="00A16DF0" w:rsidRPr="0019675C">
        <w:t> </w:t>
      </w:r>
      <w:r w:rsidRPr="0019675C">
        <w:t>11.jūlijā Eiropas Komisija nāca</w:t>
      </w:r>
      <w:r w:rsidR="00542A21" w:rsidRPr="0019675C">
        <w:t xml:space="preserve"> klajā ar priekšlikumu Eiropas P</w:t>
      </w:r>
      <w:r w:rsidRPr="0019675C">
        <w:t>arlamenta un Padomes direktīvai par cīņu pret krāpšanu, kas skar Savienības finanšu intereses, izmantojot krimināltiesības</w:t>
      </w:r>
      <w:r w:rsidR="0019675C" w:rsidRPr="0019675C">
        <w:t>. Priekšlikums</w:t>
      </w:r>
      <w:r w:rsidRPr="0019675C">
        <w:t xml:space="preserve"> paredz pasākumus cīņā ar krāpšanu un citām prettiesiskām darbībām, kas ietekmē ES finanšu intereses, izmantojot krimināltiesības, proti, definējot noziedzīgos nodarījumus un nosakot sankcijas. </w:t>
      </w:r>
    </w:p>
    <w:p w:rsidR="0051789C" w:rsidRPr="0019675C" w:rsidRDefault="0019675C" w:rsidP="0051789C">
      <w:pPr>
        <w:autoSpaceDE w:val="0"/>
        <w:autoSpaceDN w:val="0"/>
        <w:adjustRightInd w:val="0"/>
        <w:ind w:firstLine="720"/>
        <w:jc w:val="both"/>
      </w:pPr>
      <w:r w:rsidRPr="0019675C">
        <w:t>Priekšlikumā</w:t>
      </w:r>
      <w:r w:rsidR="0051789C" w:rsidRPr="0019675C">
        <w:t xml:space="preserve"> tiek definēta ES finanšu interešu būtība, uzskaitīti noziedzīgi nodarījumi, kas ietekmē ES finanšu intereses, noteiktas minimālās sankcijas juridiskajām personām un sodi fiziskajām personām, </w:t>
      </w:r>
      <w:r w:rsidR="000959B3">
        <w:t xml:space="preserve">kā arī </w:t>
      </w:r>
      <w:r w:rsidR="0051789C" w:rsidRPr="0019675C">
        <w:t xml:space="preserve">atrunāti dalībvalstu jurisdikcijas jautājumi. </w:t>
      </w:r>
    </w:p>
    <w:p w:rsidR="0051789C" w:rsidRPr="0019675C" w:rsidRDefault="0051789C" w:rsidP="00542A21">
      <w:pPr>
        <w:pStyle w:val="Text1"/>
        <w:spacing w:before="0" w:after="0"/>
        <w:ind w:left="0" w:firstLine="720"/>
      </w:pPr>
      <w:r w:rsidRPr="0019675C">
        <w:lastRenderedPageBreak/>
        <w:t xml:space="preserve">Ar </w:t>
      </w:r>
      <w:r w:rsidR="0019675C" w:rsidRPr="0019675C">
        <w:t>direktīvas</w:t>
      </w:r>
      <w:r w:rsidRPr="0019675C">
        <w:t xml:space="preserve"> pieņemšanu tiek paredzēts, ka spēku zaudēs 1995. gada 26. jūlija Konvencija par Eiropas Kopienu finanšu interešu aizsardzību</w:t>
      </w:r>
      <w:r w:rsidRPr="0019675C">
        <w:rPr>
          <w:rStyle w:val="Vresatsauce"/>
        </w:rPr>
        <w:footnoteReference w:id="3"/>
      </w:r>
      <w:r w:rsidR="0019675C">
        <w:t xml:space="preserve"> (turpmāk – Konvencija)</w:t>
      </w:r>
      <w:r w:rsidRPr="0019675C">
        <w:t>, kas šobrīd ir vienīgais instruments, kas ir vērsts uz ES finanšu interešu aizsardzību, tostarp</w:t>
      </w:r>
      <w:r w:rsidR="000959B3">
        <w:t>,</w:t>
      </w:r>
      <w:r w:rsidRPr="0019675C">
        <w:t xml:space="preserve"> tās 1996. gada 27. septembra </w:t>
      </w:r>
      <w:smartTag w:uri="schemas-tilde-lv/tildestengine" w:element="veidnes">
        <w:smartTagPr>
          <w:attr w:name="text" w:val="protokols"/>
          <w:attr w:name="baseform" w:val="protokols"/>
          <w:attr w:name="id" w:val="-1"/>
        </w:smartTagPr>
        <w:r w:rsidRPr="0019675C">
          <w:t>protokols</w:t>
        </w:r>
      </w:smartTag>
      <w:r w:rsidRPr="0019675C">
        <w:t xml:space="preserve">, 1996. gada 29. novembra </w:t>
      </w:r>
      <w:smartTag w:uri="schemas-tilde-lv/tildestengine" w:element="veidnes">
        <w:smartTagPr>
          <w:attr w:name="text" w:val="protokols"/>
          <w:attr w:name="baseform" w:val="protokols"/>
          <w:attr w:name="id" w:val="-1"/>
        </w:smartTagPr>
        <w:r w:rsidRPr="0019675C">
          <w:t>protokols</w:t>
        </w:r>
      </w:smartTag>
      <w:r w:rsidRPr="0019675C">
        <w:t xml:space="preserve"> un 1997. gada 19. jūnija </w:t>
      </w:r>
      <w:smartTag w:uri="schemas-tilde-lv/tildestengine" w:element="veidnes">
        <w:smartTagPr>
          <w:attr w:name="text" w:val="protokols"/>
          <w:attr w:name="baseform" w:val="protokols"/>
          <w:attr w:name="id" w:val="-1"/>
        </w:smartTagPr>
        <w:r w:rsidRPr="0019675C">
          <w:t>protokols</w:t>
        </w:r>
      </w:smartTag>
      <w:r w:rsidRPr="0019675C">
        <w:t xml:space="preserve">. </w:t>
      </w:r>
    </w:p>
    <w:p w:rsidR="0019675C" w:rsidRDefault="0019675C" w:rsidP="0019675C">
      <w:pPr>
        <w:autoSpaceDE w:val="0"/>
        <w:autoSpaceDN w:val="0"/>
        <w:adjustRightInd w:val="0"/>
        <w:ind w:firstLine="720"/>
        <w:jc w:val="both"/>
      </w:pPr>
      <w:r w:rsidRPr="0019675C">
        <w:t>Paredzēts, ka Padomes sanāksmē Eiropas Komisija prezentēs priekšlikumu. Ņemot vērā to, ka diskusijas ekspe</w:t>
      </w:r>
      <w:r>
        <w:t>r</w:t>
      </w:r>
      <w:r w:rsidRPr="0019675C">
        <w:t xml:space="preserve">tu līmenī vēl nav uzsāktas, Latvija šobrīd turpina pētīt un analizēt instrumenta </w:t>
      </w:r>
      <w:r>
        <w:t>faktisko</w:t>
      </w:r>
      <w:r w:rsidRPr="0019675C">
        <w:t xml:space="preserve"> nepieciešamību</w:t>
      </w:r>
      <w:r>
        <w:t>,</w:t>
      </w:r>
      <w:r w:rsidRPr="0019675C">
        <w:t xml:space="preserve"> kā arī tā potenciālo lomu un ietekmi uz tie</w:t>
      </w:r>
      <w:r>
        <w:t>sī</w:t>
      </w:r>
      <w:r w:rsidRPr="0019675C">
        <w:t>bu normu harmoniz</w:t>
      </w:r>
      <w:r>
        <w:t xml:space="preserve">āciju ES. </w:t>
      </w:r>
    </w:p>
    <w:p w:rsidR="0019675C" w:rsidRDefault="0019675C" w:rsidP="0019675C">
      <w:pPr>
        <w:autoSpaceDE w:val="0"/>
        <w:autoSpaceDN w:val="0"/>
        <w:adjustRightInd w:val="0"/>
        <w:ind w:firstLine="720"/>
        <w:jc w:val="both"/>
      </w:pPr>
      <w:r>
        <w:t>Latvijā Konvencijas note</w:t>
      </w:r>
      <w:r w:rsidR="00D76EE8">
        <w:t>ikumi ir pārņemti Krimināllikumā</w:t>
      </w:r>
      <w:r w:rsidR="000959B3">
        <w:t>,</w:t>
      </w:r>
      <w:r>
        <w:t xml:space="preserve"> un šobrīd praksē nav kon</w:t>
      </w:r>
      <w:r>
        <w:rPr>
          <w:rFonts w:eastAsia="Calibri"/>
        </w:rPr>
        <w:t xml:space="preserve">statēti būtiski trūkumi noziedzīgo nodarījumu kvalifikācijā saskaņā ar spēkā esošo Krimināllikuma regulējumu. </w:t>
      </w:r>
      <w:r>
        <w:t>Esošā regulējuma piemērošana nav radījusi nepieciešamību izdalīt ES un Latvijas finanšu intereses, tādējādi visas intereses, ko apdraud konkrētais noziedzīgais nodarījums</w:t>
      </w:r>
      <w:r w:rsidR="000959B3">
        <w:t>,</w:t>
      </w:r>
      <w:r>
        <w:t xml:space="preserve"> tiek vērtētas vienlīdzīgi. </w:t>
      </w:r>
    </w:p>
    <w:p w:rsidR="0019675C" w:rsidRPr="0019675C" w:rsidRDefault="0019675C" w:rsidP="0019675C">
      <w:pPr>
        <w:autoSpaceDE w:val="0"/>
        <w:autoSpaceDN w:val="0"/>
        <w:adjustRightInd w:val="0"/>
        <w:ind w:firstLine="720"/>
        <w:jc w:val="both"/>
      </w:pPr>
      <w:r w:rsidRPr="0019675C">
        <w:t xml:space="preserve">Latvija uzskata, ka aizsardzības pasākumi </w:t>
      </w:r>
      <w:r w:rsidR="000959B3">
        <w:t>ES</w:t>
      </w:r>
      <w:r w:rsidRPr="0019675C">
        <w:t xml:space="preserve"> līme</w:t>
      </w:r>
      <w:r>
        <w:t>nī, izmantojot krimināltiesības,</w:t>
      </w:r>
      <w:r w:rsidRPr="0019675C">
        <w:t xml:space="preserve"> ir nepieciešami, ja </w:t>
      </w:r>
      <w:r w:rsidR="000959B3">
        <w:t>ES</w:t>
      </w:r>
      <w:r>
        <w:t xml:space="preserve"> līmenī </w:t>
      </w:r>
      <w:r w:rsidRPr="0019675C">
        <w:t xml:space="preserve">tiek secināts, ka praktiski </w:t>
      </w:r>
      <w:r>
        <w:t>priekšlikuma</w:t>
      </w:r>
      <w:r w:rsidRPr="0019675C">
        <w:t xml:space="preserve"> mērķi - noteikt nepieciešamos pasākumus krāpšanas un citu nelikumīgu darbību, kas apdraud </w:t>
      </w:r>
      <w:r w:rsidR="000959B3">
        <w:t>ES</w:t>
      </w:r>
      <w:r w:rsidRPr="0019675C">
        <w:t xml:space="preserve"> intereses</w:t>
      </w:r>
      <w:r w:rsidR="000959B3">
        <w:t>,</w:t>
      </w:r>
      <w:r w:rsidRPr="0019675C">
        <w:t xml:space="preserve"> apkarošanai, nav iespējams sasniegt izmantojot citus līdzekļus ārpus krimināltiesībām. </w:t>
      </w:r>
    </w:p>
    <w:p w:rsidR="002A25AF" w:rsidRPr="0019675C" w:rsidRDefault="0019675C" w:rsidP="0019675C">
      <w:pPr>
        <w:pStyle w:val="Text1"/>
        <w:spacing w:before="0" w:after="0"/>
        <w:ind w:left="0" w:firstLine="720"/>
      </w:pPr>
      <w:r>
        <w:t xml:space="preserve">Turklāt, ja </w:t>
      </w:r>
      <w:r w:rsidR="000959B3">
        <w:t>ES</w:t>
      </w:r>
      <w:r>
        <w:t xml:space="preserve"> līmenī tiek secināts, ka priekšlikums ir nepieciešams, tad šobrīd tā izdošanas juridiskais pamats nav atbilstošs tā saturam. Līguma par ES darbību (turpmāk - LESD) </w:t>
      </w:r>
      <w:r w:rsidRPr="0019675C">
        <w:t xml:space="preserve">325.panta 4.punkts, uz kura pamata ir izstrādāts </w:t>
      </w:r>
      <w:r>
        <w:rPr>
          <w:rStyle w:val="Izteiksmgs"/>
          <w:b w:val="0"/>
          <w:bCs w:val="0"/>
        </w:rPr>
        <w:t>priekšlikums</w:t>
      </w:r>
      <w:r w:rsidRPr="0019675C">
        <w:rPr>
          <w:rStyle w:val="Izteiksmgs"/>
          <w:b w:val="0"/>
          <w:bCs w:val="0"/>
        </w:rPr>
        <w:t xml:space="preserve">, neparedz Eiropas Parlamentam un Padomei pieņemt direktīvas saskaņā ar parasto likumdošanas procedūru, lai noteiktu noteikumu minimumu noziedzīgu nodarījumu un sankciju definēšanai attiecībā uz noziedzīgiem nodarījumiem, kas vērsti pret </w:t>
      </w:r>
      <w:r w:rsidR="000959B3">
        <w:t>ES</w:t>
      </w:r>
      <w:r w:rsidRPr="0019675C">
        <w:t xml:space="preserve"> finanšu interesēm, kā tas, piemēram, ir paredzēts minētā līguma 83.pantā.</w:t>
      </w:r>
      <w:r>
        <w:t xml:space="preserve"> </w:t>
      </w:r>
      <w:r w:rsidR="002A25AF" w:rsidRPr="0019675C">
        <w:t>LESD 83.panta 1.</w:t>
      </w:r>
      <w:r>
        <w:t> </w:t>
      </w:r>
      <w:r w:rsidR="002A25AF" w:rsidRPr="0019675C">
        <w:t>un 2.punkts, kam ir jābūt izmantotam par pa</w:t>
      </w:r>
      <w:r w:rsidR="000959B3">
        <w:t>matu priekšlikumam, tiek uzskatīt</w:t>
      </w:r>
      <w:r w:rsidR="002A25AF" w:rsidRPr="0019675C">
        <w:t xml:space="preserve">s par </w:t>
      </w:r>
      <w:proofErr w:type="spellStart"/>
      <w:r w:rsidR="002A25AF" w:rsidRPr="0019675C">
        <w:rPr>
          <w:i/>
        </w:rPr>
        <w:t>lex</w:t>
      </w:r>
      <w:proofErr w:type="spellEnd"/>
      <w:r w:rsidR="002A25AF" w:rsidRPr="0019675C">
        <w:rPr>
          <w:i/>
        </w:rPr>
        <w:t xml:space="preserve"> </w:t>
      </w:r>
      <w:proofErr w:type="spellStart"/>
      <w:r w:rsidR="002A25AF" w:rsidRPr="0019675C">
        <w:rPr>
          <w:i/>
        </w:rPr>
        <w:t>specialis</w:t>
      </w:r>
      <w:proofErr w:type="spellEnd"/>
      <w:r w:rsidR="002A25AF" w:rsidRPr="0019675C">
        <w:t xml:space="preserve"> attiecībā uz pārējo LESD kontekstā ar krimināltiesisko līdzekļu īstenošanu attiecībā uz noziegumiem, kuri ir uzskaitīti 83.panta 1.punktā un efektīvas harmonizācijas realizāciju 83.panta 2.punkta izpratnē. </w:t>
      </w:r>
    </w:p>
    <w:p w:rsidR="0019675C" w:rsidRPr="0019675C" w:rsidRDefault="002A25AF" w:rsidP="0019675C">
      <w:pPr>
        <w:autoSpaceDE w:val="0"/>
        <w:autoSpaceDN w:val="0"/>
        <w:adjustRightInd w:val="0"/>
        <w:jc w:val="both"/>
      </w:pPr>
      <w:r w:rsidRPr="0019675C">
        <w:t xml:space="preserve">            Latvija uzskata, ka krimināltiesību līdzekļiem ir jābūt izmantotiem tikai tad, kad tas </w:t>
      </w:r>
      <w:r w:rsidR="000959B3">
        <w:t xml:space="preserve">ir </w:t>
      </w:r>
      <w:r w:rsidRPr="0019675C">
        <w:t xml:space="preserve">būtiski, lai nodrošinātu attiecīgās </w:t>
      </w:r>
      <w:r w:rsidR="000959B3">
        <w:t>ES</w:t>
      </w:r>
      <w:r w:rsidRPr="0019675C">
        <w:t xml:space="preserve"> politikas īstenošanu. Krimināltiesību instrumentiem, kuri ir izdoti uz LESD 83.panta 2.punkta pamata ir jāpapildina jau pieņemtos instrumentus, kuri nodrošina harmonizāciju LESD noteiktajās jomās.      </w:t>
      </w:r>
      <w:r w:rsidRPr="0019675C">
        <w:rPr>
          <w:rStyle w:val="Izteiksmgs"/>
          <w:b w:val="0"/>
          <w:bCs w:val="0"/>
        </w:rPr>
        <w:t xml:space="preserve">      </w:t>
      </w:r>
    </w:p>
    <w:p w:rsidR="00542A21" w:rsidRPr="0019675C" w:rsidRDefault="00247F48" w:rsidP="00247F48">
      <w:pPr>
        <w:pStyle w:val="Text1"/>
        <w:spacing w:before="0" w:after="0"/>
        <w:ind w:left="0" w:firstLine="720"/>
      </w:pPr>
      <w:r w:rsidRPr="0019675C">
        <w:t xml:space="preserve">Vienlaicīgi Latvija vērš uzmanība, ka </w:t>
      </w:r>
      <w:r w:rsidR="0019675C">
        <w:rPr>
          <w:rStyle w:val="Izteiksmgs"/>
          <w:b w:val="0"/>
          <w:bCs w:val="0"/>
        </w:rPr>
        <w:t>priekšlikumā šobrīd ietverti atsevišķi</w:t>
      </w:r>
      <w:r w:rsidRPr="0019675C">
        <w:rPr>
          <w:rStyle w:val="Izteiksmgs"/>
          <w:b w:val="0"/>
          <w:bCs w:val="0"/>
        </w:rPr>
        <w:t xml:space="preserve"> noteikumi, kas </w:t>
      </w:r>
      <w:r w:rsidR="00DE660E">
        <w:rPr>
          <w:rStyle w:val="Izteiksmgs"/>
          <w:b w:val="0"/>
          <w:bCs w:val="0"/>
        </w:rPr>
        <w:t xml:space="preserve">ir pārāk plaši un nav ciešā saistībā ar priekšlikuma mērķa sasniegšanu. </w:t>
      </w:r>
    </w:p>
    <w:p w:rsidR="005859B4" w:rsidRPr="0019675C" w:rsidRDefault="005859B4" w:rsidP="00542A21">
      <w:pPr>
        <w:jc w:val="both"/>
        <w:rPr>
          <w:b/>
        </w:rPr>
      </w:pPr>
    </w:p>
    <w:p w:rsidR="00B43820" w:rsidRPr="0019675C" w:rsidRDefault="00B43820" w:rsidP="00B43820">
      <w:pPr>
        <w:ind w:firstLine="720"/>
        <w:jc w:val="both"/>
        <w:rPr>
          <w:b/>
          <w:iCs/>
        </w:rPr>
      </w:pPr>
      <w:r w:rsidRPr="0019675C">
        <w:rPr>
          <w:b/>
        </w:rPr>
        <w:t>2.</w:t>
      </w:r>
      <w:r w:rsidR="00A16DF0" w:rsidRPr="0019675C">
        <w:rPr>
          <w:b/>
        </w:rPr>
        <w:t> Priekšlikums</w:t>
      </w:r>
      <w:r w:rsidRPr="0019675C">
        <w:rPr>
          <w:b/>
        </w:rPr>
        <w:t xml:space="preserve"> </w:t>
      </w:r>
      <w:r w:rsidRPr="0019675C">
        <w:rPr>
          <w:rStyle w:val="hps"/>
          <w:b/>
        </w:rPr>
        <w:t>Eiropas Parlamenta</w:t>
      </w:r>
      <w:r w:rsidRPr="0019675C">
        <w:rPr>
          <w:b/>
        </w:rPr>
        <w:t xml:space="preserve"> </w:t>
      </w:r>
      <w:r w:rsidRPr="0019675C">
        <w:rPr>
          <w:rStyle w:val="hps"/>
          <w:b/>
        </w:rPr>
        <w:t>un</w:t>
      </w:r>
      <w:r w:rsidRPr="0019675C">
        <w:rPr>
          <w:b/>
        </w:rPr>
        <w:t xml:space="preserve"> </w:t>
      </w:r>
      <w:r w:rsidRPr="0019675C">
        <w:rPr>
          <w:rStyle w:val="hps"/>
          <w:b/>
        </w:rPr>
        <w:t>Padomes regulai par</w:t>
      </w:r>
      <w:r w:rsidRPr="0019675C">
        <w:rPr>
          <w:b/>
        </w:rPr>
        <w:t xml:space="preserve"> </w:t>
      </w:r>
      <w:r w:rsidR="000959B3">
        <w:rPr>
          <w:b/>
        </w:rPr>
        <w:t xml:space="preserve">fizisku </w:t>
      </w:r>
      <w:r w:rsidRPr="0019675C">
        <w:rPr>
          <w:rStyle w:val="hps"/>
          <w:b/>
        </w:rPr>
        <w:t>person</w:t>
      </w:r>
      <w:r w:rsidR="000959B3">
        <w:rPr>
          <w:rStyle w:val="hps"/>
          <w:b/>
        </w:rPr>
        <w:t>u</w:t>
      </w:r>
      <w:r w:rsidRPr="0019675C">
        <w:rPr>
          <w:rStyle w:val="hps"/>
          <w:b/>
        </w:rPr>
        <w:t xml:space="preserve"> aizsardzību</w:t>
      </w:r>
      <w:r w:rsidRPr="0019675C">
        <w:rPr>
          <w:b/>
        </w:rPr>
        <w:t xml:space="preserve"> </w:t>
      </w:r>
      <w:r w:rsidRPr="0019675C">
        <w:rPr>
          <w:rStyle w:val="hps"/>
          <w:b/>
        </w:rPr>
        <w:t>attiecībā uz</w:t>
      </w:r>
      <w:r w:rsidRPr="0019675C">
        <w:rPr>
          <w:b/>
        </w:rPr>
        <w:t xml:space="preserve"> </w:t>
      </w:r>
      <w:r w:rsidRPr="0019675C">
        <w:rPr>
          <w:rStyle w:val="hps"/>
          <w:b/>
        </w:rPr>
        <w:t>personas datu apstrādi</w:t>
      </w:r>
      <w:r w:rsidRPr="0019675C">
        <w:rPr>
          <w:b/>
        </w:rPr>
        <w:t xml:space="preserve"> </w:t>
      </w:r>
      <w:r w:rsidRPr="0019675C">
        <w:rPr>
          <w:rStyle w:val="hps"/>
          <w:b/>
        </w:rPr>
        <w:t>un to brīvu</w:t>
      </w:r>
      <w:r w:rsidRPr="0019675C">
        <w:rPr>
          <w:b/>
        </w:rPr>
        <w:t xml:space="preserve"> </w:t>
      </w:r>
      <w:r w:rsidRPr="0019675C">
        <w:rPr>
          <w:rStyle w:val="hps"/>
          <w:b/>
        </w:rPr>
        <w:t>apriti</w:t>
      </w:r>
      <w:r w:rsidRPr="0019675C">
        <w:rPr>
          <w:b/>
          <w:iCs/>
        </w:rPr>
        <w:t xml:space="preserve"> </w:t>
      </w:r>
    </w:p>
    <w:p w:rsidR="008F1A42" w:rsidRPr="0019675C" w:rsidRDefault="006408F8" w:rsidP="008F1A42">
      <w:pPr>
        <w:ind w:firstLine="720"/>
        <w:jc w:val="both"/>
        <w:rPr>
          <w:rStyle w:val="hps"/>
        </w:rPr>
      </w:pPr>
      <w:r>
        <w:rPr>
          <w:rStyle w:val="hps"/>
        </w:rPr>
        <w:t>Padomes</w:t>
      </w:r>
      <w:r w:rsidR="00E52890" w:rsidRPr="0019675C">
        <w:rPr>
          <w:rStyle w:val="hps"/>
        </w:rPr>
        <w:t xml:space="preserve"> sanāksmē Prezidentūra plāno informēt dalībvalstu ministrus par aktuālo situāciju attiecībā uz </w:t>
      </w:r>
      <w:r w:rsidR="000959B3">
        <w:rPr>
          <w:rStyle w:val="hps"/>
        </w:rPr>
        <w:t xml:space="preserve">Eiropas </w:t>
      </w:r>
      <w:r w:rsidR="008F1A42" w:rsidRPr="0019675C">
        <w:t>K</w:t>
      </w:r>
      <w:r>
        <w:t>omisijas</w:t>
      </w:r>
      <w:r w:rsidR="00E52890" w:rsidRPr="0019675C">
        <w:t xml:space="preserve"> priekšlikumu </w:t>
      </w:r>
      <w:r w:rsidR="00E52890" w:rsidRPr="0019675C">
        <w:rPr>
          <w:rStyle w:val="hps"/>
        </w:rPr>
        <w:t>Eiropas Parlamenta</w:t>
      </w:r>
      <w:r w:rsidR="00E52890" w:rsidRPr="0019675C">
        <w:t xml:space="preserve"> </w:t>
      </w:r>
      <w:r w:rsidR="00E52890" w:rsidRPr="0019675C">
        <w:rPr>
          <w:rStyle w:val="hps"/>
        </w:rPr>
        <w:t>un</w:t>
      </w:r>
      <w:r w:rsidR="00E52890" w:rsidRPr="0019675C">
        <w:t xml:space="preserve"> </w:t>
      </w:r>
      <w:r w:rsidR="00E52890" w:rsidRPr="0019675C">
        <w:rPr>
          <w:rStyle w:val="hps"/>
        </w:rPr>
        <w:t>Padomes regulai par</w:t>
      </w:r>
      <w:r w:rsidR="00E52890" w:rsidRPr="0019675C">
        <w:t xml:space="preserve"> </w:t>
      </w:r>
      <w:r w:rsidR="000959B3">
        <w:t xml:space="preserve">fizisku </w:t>
      </w:r>
      <w:r w:rsidR="00E52890" w:rsidRPr="0019675C">
        <w:rPr>
          <w:rStyle w:val="hps"/>
        </w:rPr>
        <w:t>person</w:t>
      </w:r>
      <w:r w:rsidR="000959B3">
        <w:rPr>
          <w:rStyle w:val="hps"/>
        </w:rPr>
        <w:t>u</w:t>
      </w:r>
      <w:r w:rsidR="00E52890" w:rsidRPr="0019675C">
        <w:rPr>
          <w:rStyle w:val="hps"/>
        </w:rPr>
        <w:t xml:space="preserve"> aizsardzību</w:t>
      </w:r>
      <w:r w:rsidR="00E52890" w:rsidRPr="0019675C">
        <w:t xml:space="preserve"> </w:t>
      </w:r>
      <w:r w:rsidR="00E52890" w:rsidRPr="0019675C">
        <w:rPr>
          <w:rStyle w:val="hps"/>
        </w:rPr>
        <w:t>attiecībā uz</w:t>
      </w:r>
      <w:r w:rsidR="00E52890" w:rsidRPr="0019675C">
        <w:t xml:space="preserve"> </w:t>
      </w:r>
      <w:r w:rsidR="00E52890" w:rsidRPr="0019675C">
        <w:rPr>
          <w:rStyle w:val="hps"/>
        </w:rPr>
        <w:t>personas datu apstrādi</w:t>
      </w:r>
      <w:r w:rsidR="00E52890" w:rsidRPr="0019675C">
        <w:t xml:space="preserve"> </w:t>
      </w:r>
      <w:r w:rsidR="00E52890" w:rsidRPr="0019675C">
        <w:rPr>
          <w:rStyle w:val="hps"/>
        </w:rPr>
        <w:t>un to brīvu</w:t>
      </w:r>
      <w:r w:rsidR="00E52890" w:rsidRPr="0019675C">
        <w:t xml:space="preserve"> </w:t>
      </w:r>
      <w:r w:rsidR="00E52890" w:rsidRPr="0019675C">
        <w:rPr>
          <w:rStyle w:val="hps"/>
        </w:rPr>
        <w:t xml:space="preserve">apriti. </w:t>
      </w:r>
    </w:p>
    <w:p w:rsidR="008F1A42" w:rsidRPr="0019675C" w:rsidRDefault="008F1A42" w:rsidP="008F1A42">
      <w:pPr>
        <w:ind w:firstLine="720"/>
        <w:jc w:val="both"/>
      </w:pPr>
      <w:r w:rsidRPr="0019675C">
        <w:t>Šobrīd ES padomē norisinās aktīvas diskusijas, strādājot pie priekšlikuma izvērtēšanas.</w:t>
      </w:r>
      <w:r w:rsidRPr="0019675C">
        <w:rPr>
          <w:bCs/>
        </w:rPr>
        <w:t xml:space="preserve"> </w:t>
      </w:r>
      <w:r w:rsidRPr="0019675C">
        <w:rPr>
          <w:lang w:eastAsia="lv-LV"/>
        </w:rPr>
        <w:t xml:space="preserve">Latvija kopumā atbalsta </w:t>
      </w:r>
      <w:r w:rsidRPr="0019675C">
        <w:t>vienota datu aizsardzības regulējuma izveidi ES un uzskata, ka vienots datu aizsardzības regulējums stiprinās datu aizsardzību Eiropā, tādējādi radot mūsdienīgu, stingru, konsekventu un visaptverošu datu aizsardzības regulējumu ES. Tajā pašā laikā Latvija redz nepieciešamību veikt precizējumus vairākos būtiskos jautājumos, tostarp, attiecībā uz deleģētajiem aktiem, pārmērīgu administratīvo slogu, kā arī privātā un publiskā sektora nošķiršanu.</w:t>
      </w:r>
    </w:p>
    <w:p w:rsidR="00E52890" w:rsidRPr="0019675C" w:rsidRDefault="00E52890" w:rsidP="00E52890">
      <w:pPr>
        <w:ind w:firstLine="720"/>
        <w:jc w:val="both"/>
      </w:pPr>
      <w:r w:rsidRPr="0019675C">
        <w:lastRenderedPageBreak/>
        <w:t>1995.gadā tika pieņemta Eiropas Parlamenta un Padomes Direktīva 95/46/EK par personu aizsardzību attiecībā uz personas datu apstrādi un šādu datu brīvu apriti, kas arī šobrīd ir dalībvalstu nacionālajos tiesību aktos iedzīvināts pamata instruments personas datu aizsardzībai.</w:t>
      </w:r>
    </w:p>
    <w:p w:rsidR="00E52890" w:rsidRPr="0019675C" w:rsidRDefault="00E52890" w:rsidP="00E52890">
      <w:pPr>
        <w:ind w:firstLine="720"/>
        <w:jc w:val="both"/>
      </w:pPr>
      <w:r w:rsidRPr="0019675C">
        <w:t xml:space="preserve">Eiropas Komisija 2010.gada 4. novembrī nāca klajā ar paziņojumu „Visaptverošā pieeja personas datu aizsardzībai Eiropas Savienībā” ar mērķi iezīmēt ES līmenī veicamos pasākumus, lai nodrošinātu visaptverošu pieeju personas datu aizsardzībā ES. Rosinot stiprināt personas datu aizsardzību ES, tiek izvirzīti divi galvenie mērķi: aizsargāt personas pamattiesības un garantēt personas datu brīvu plūsmu starp ES dalībvalstīm. </w:t>
      </w:r>
    </w:p>
    <w:p w:rsidR="00E52890" w:rsidRPr="0019675C" w:rsidRDefault="00E52890" w:rsidP="00E52890">
      <w:pPr>
        <w:ind w:firstLine="720"/>
        <w:jc w:val="both"/>
      </w:pPr>
      <w:r w:rsidRPr="0019675C">
        <w:t xml:space="preserve">Attiecīgi, pamatojoties uz  dalībvalstu iesniegtajiem viedokļiem attiecībā uz 2010.gadā izplatīto paziņojumu, </w:t>
      </w:r>
      <w:r w:rsidR="006408F8">
        <w:t>Komisija</w:t>
      </w:r>
      <w:r w:rsidRPr="0019675C">
        <w:t xml:space="preserve"> 2012.gada 25.janvārī nāca klajā ar dokumentu paketi, kuras mērķis ir uzsākt visaptverošu ES datu aizsardzības noteikumu reformu. Šobrīd tiek piedāvāti divi tiesību instrumenti: </w:t>
      </w:r>
      <w:r w:rsidRPr="0019675C">
        <w:rPr>
          <w:rStyle w:val="hps"/>
        </w:rPr>
        <w:t xml:space="preserve">regula </w:t>
      </w:r>
      <w:r w:rsidRPr="0019675C">
        <w:t xml:space="preserve">par fizisku personu aizsardzību attiecībā uz personas datu apstrādi un šādu datu brīvu apriti </w:t>
      </w:r>
      <w:r w:rsidRPr="0019675C">
        <w:rPr>
          <w:rStyle w:val="hps"/>
        </w:rPr>
        <w:t>un direktīva par</w:t>
      </w:r>
      <w:r w:rsidRPr="0019675C">
        <w:t xml:space="preserve"> </w:t>
      </w:r>
      <w:r w:rsidRPr="0019675C">
        <w:rPr>
          <w:rStyle w:val="hps"/>
        </w:rPr>
        <w:t>personu aizsardzību</w:t>
      </w:r>
      <w:r w:rsidRPr="0019675C">
        <w:t xml:space="preserve"> </w:t>
      </w:r>
      <w:r w:rsidRPr="0019675C">
        <w:rPr>
          <w:rStyle w:val="hps"/>
        </w:rPr>
        <w:t>attiecībā uz</w:t>
      </w:r>
      <w:r w:rsidRPr="0019675C">
        <w:t xml:space="preserve"> </w:t>
      </w:r>
      <w:r w:rsidRPr="0019675C">
        <w:rPr>
          <w:rStyle w:val="hps"/>
        </w:rPr>
        <w:t>personas datu apstrādi,</w:t>
      </w:r>
      <w:r w:rsidRPr="0019675C">
        <w:t xml:space="preserve"> </w:t>
      </w:r>
      <w:r w:rsidRPr="0019675C">
        <w:rPr>
          <w:rStyle w:val="hps"/>
        </w:rPr>
        <w:t>ko veic kompetentās iestādes</w:t>
      </w:r>
      <w:r w:rsidRPr="0019675C">
        <w:t xml:space="preserve">, lai </w:t>
      </w:r>
      <w:r w:rsidRPr="0019675C">
        <w:rPr>
          <w:rStyle w:val="hps"/>
        </w:rPr>
        <w:t>novērstu,</w:t>
      </w:r>
      <w:r w:rsidRPr="0019675C">
        <w:t xml:space="preserve"> </w:t>
      </w:r>
      <w:r w:rsidRPr="0019675C">
        <w:rPr>
          <w:rStyle w:val="hps"/>
        </w:rPr>
        <w:t>izmeklētu, atklātu</w:t>
      </w:r>
      <w:r w:rsidRPr="0019675C">
        <w:t xml:space="preserve"> </w:t>
      </w:r>
      <w:r w:rsidRPr="0019675C">
        <w:rPr>
          <w:rStyle w:val="hps"/>
        </w:rPr>
        <w:t>vai</w:t>
      </w:r>
      <w:r w:rsidRPr="0019675C">
        <w:t xml:space="preserve"> uzsāktu </w:t>
      </w:r>
      <w:r w:rsidRPr="0019675C">
        <w:rPr>
          <w:rStyle w:val="hps"/>
        </w:rPr>
        <w:t>kriminālvajāšanu</w:t>
      </w:r>
      <w:r w:rsidRPr="0019675C">
        <w:t xml:space="preserve"> </w:t>
      </w:r>
      <w:r w:rsidRPr="0019675C">
        <w:rPr>
          <w:rStyle w:val="hps"/>
        </w:rPr>
        <w:t>vai</w:t>
      </w:r>
      <w:r w:rsidRPr="0019675C">
        <w:t xml:space="preserve"> </w:t>
      </w:r>
      <w:r w:rsidRPr="0019675C">
        <w:rPr>
          <w:rStyle w:val="hps"/>
        </w:rPr>
        <w:t>kriminālsodu</w:t>
      </w:r>
      <w:r w:rsidRPr="0019675C">
        <w:t xml:space="preserve"> </w:t>
      </w:r>
      <w:r w:rsidRPr="0019675C">
        <w:rPr>
          <w:rStyle w:val="hps"/>
        </w:rPr>
        <w:t>izpildi</w:t>
      </w:r>
      <w:r w:rsidRPr="0019675C">
        <w:t xml:space="preserve"> </w:t>
      </w:r>
      <w:r w:rsidRPr="0019675C">
        <w:rPr>
          <w:rStyle w:val="hps"/>
        </w:rPr>
        <w:t>un brīvu</w:t>
      </w:r>
      <w:r w:rsidRPr="0019675C">
        <w:t xml:space="preserve"> </w:t>
      </w:r>
      <w:r w:rsidRPr="0019675C">
        <w:rPr>
          <w:rStyle w:val="hps"/>
        </w:rPr>
        <w:t>šādu datu brīvu apriti.</w:t>
      </w:r>
    </w:p>
    <w:p w:rsidR="00E52890" w:rsidRPr="0019675C" w:rsidRDefault="006408F8" w:rsidP="00E52890">
      <w:pPr>
        <w:ind w:firstLine="720"/>
        <w:jc w:val="both"/>
      </w:pPr>
      <w:r>
        <w:t>Izplatot jauno priekšlikumu r</w:t>
      </w:r>
      <w:r w:rsidR="00E52890" w:rsidRPr="0019675C">
        <w:t xml:space="preserve">egulai, </w:t>
      </w:r>
      <w:r w:rsidR="000959B3">
        <w:t xml:space="preserve">Eiropas </w:t>
      </w:r>
      <w:r>
        <w:t>Komisija</w:t>
      </w:r>
      <w:r w:rsidR="00E52890" w:rsidRPr="0019675C">
        <w:t xml:space="preserve"> piedāvā modernizēt jau pastāvošos principus, izveidojot vienotus datu aizsardzības noteikumus, kas būtu spēkā visā ES teritorijā, jo pašreiz regulējums personas datu aizsardzības jomā nav harmonizēts un katrā ES dalībvalstī tiek regulēts atšķirīgi. </w:t>
      </w:r>
      <w:bookmarkStart w:id="8" w:name="_GoBack"/>
      <w:bookmarkEnd w:id="8"/>
    </w:p>
    <w:p w:rsidR="00531F47" w:rsidRPr="0019675C" w:rsidRDefault="00531F47" w:rsidP="00C75A34">
      <w:pPr>
        <w:ind w:firstLine="709"/>
        <w:jc w:val="both"/>
      </w:pPr>
    </w:p>
    <w:p w:rsidR="00531F47" w:rsidRPr="0019675C" w:rsidRDefault="00531F47" w:rsidP="00C75A34">
      <w:pPr>
        <w:ind w:firstLine="709"/>
        <w:jc w:val="both"/>
      </w:pPr>
    </w:p>
    <w:p w:rsidR="001C09DB" w:rsidRPr="0019675C" w:rsidRDefault="001C09DB" w:rsidP="001C09DB">
      <w:pPr>
        <w:jc w:val="both"/>
      </w:pPr>
      <w:r w:rsidRPr="0019675C">
        <w:rPr>
          <w:b/>
          <w:u w:val="single"/>
        </w:rPr>
        <w:t>I</w:t>
      </w:r>
      <w:r w:rsidR="00C75A34" w:rsidRPr="0019675C">
        <w:rPr>
          <w:b/>
          <w:u w:val="single"/>
        </w:rPr>
        <w:t>V</w:t>
      </w:r>
      <w:r w:rsidRPr="0019675C">
        <w:rPr>
          <w:b/>
          <w:u w:val="single"/>
        </w:rPr>
        <w:t xml:space="preserve"> Latvijas delegācija</w:t>
      </w:r>
    </w:p>
    <w:p w:rsidR="001C09DB" w:rsidRPr="0019675C" w:rsidRDefault="001C09DB" w:rsidP="001C09DB">
      <w:pPr>
        <w:pStyle w:val="Pamatteksts2"/>
        <w:jc w:val="both"/>
        <w:rPr>
          <w:sz w:val="24"/>
          <w:szCs w:val="24"/>
        </w:rPr>
      </w:pPr>
    </w:p>
    <w:p w:rsidR="001C09DB" w:rsidRPr="0019675C" w:rsidRDefault="001C09DB" w:rsidP="001C09DB">
      <w:pPr>
        <w:pStyle w:val="Pamatteksts2"/>
        <w:jc w:val="both"/>
        <w:rPr>
          <w:sz w:val="24"/>
          <w:szCs w:val="24"/>
        </w:rPr>
      </w:pPr>
      <w:r w:rsidRPr="0019675C">
        <w:rPr>
          <w:sz w:val="24"/>
          <w:szCs w:val="24"/>
        </w:rPr>
        <w:t>Delegācijas vadītājs:</w:t>
      </w:r>
    </w:p>
    <w:p w:rsidR="00525979" w:rsidRPr="0019675C" w:rsidRDefault="001C09DB" w:rsidP="00525979">
      <w:pPr>
        <w:ind w:left="2977" w:hanging="2977"/>
        <w:jc w:val="both"/>
      </w:pPr>
      <w:r w:rsidRPr="0019675C">
        <w:rPr>
          <w:b/>
          <w:bCs/>
        </w:rPr>
        <w:t xml:space="preserve"> </w:t>
      </w:r>
      <w:r w:rsidR="00E75886" w:rsidRPr="0019675C">
        <w:rPr>
          <w:b/>
          <w:bCs/>
        </w:rPr>
        <w:t xml:space="preserve">  </w:t>
      </w:r>
      <w:r w:rsidR="001A5A85" w:rsidRPr="0019675C">
        <w:rPr>
          <w:b/>
          <w:bCs/>
        </w:rPr>
        <w:t xml:space="preserve">                          </w:t>
      </w:r>
      <w:r w:rsidR="00525979" w:rsidRPr="0019675C">
        <w:rPr>
          <w:b/>
          <w:bCs/>
        </w:rPr>
        <w:tab/>
      </w:r>
      <w:r w:rsidR="00B43820" w:rsidRPr="0019675C">
        <w:rPr>
          <w:b/>
          <w:bCs/>
        </w:rPr>
        <w:t>Mārtiņš Lazdovskis</w:t>
      </w:r>
      <w:r w:rsidRPr="0019675C">
        <w:t>, </w:t>
      </w:r>
      <w:r w:rsidR="00B43820" w:rsidRPr="0019675C">
        <w:t>Tieslietu ministrijas valsts sekretārs</w:t>
      </w:r>
    </w:p>
    <w:p w:rsidR="001C09DB" w:rsidRPr="0019675C" w:rsidRDefault="001C09DB" w:rsidP="001C09DB">
      <w:pPr>
        <w:pStyle w:val="Pamatteksts2"/>
        <w:ind w:left="2977" w:hanging="2171"/>
        <w:jc w:val="both"/>
        <w:rPr>
          <w:bCs/>
          <w:sz w:val="24"/>
          <w:szCs w:val="24"/>
        </w:rPr>
      </w:pPr>
    </w:p>
    <w:p w:rsidR="001C09DB" w:rsidRPr="0019675C" w:rsidRDefault="001C09DB" w:rsidP="001C09DB">
      <w:pPr>
        <w:pStyle w:val="Pamatteksts2"/>
        <w:ind w:left="2520" w:hanging="2520"/>
        <w:jc w:val="both"/>
        <w:rPr>
          <w:sz w:val="24"/>
          <w:szCs w:val="24"/>
        </w:rPr>
      </w:pPr>
    </w:p>
    <w:p w:rsidR="00525979" w:rsidRPr="0019675C" w:rsidRDefault="001C09DB" w:rsidP="00525979">
      <w:pPr>
        <w:ind w:left="2977" w:hanging="2977"/>
        <w:jc w:val="both"/>
      </w:pPr>
      <w:r w:rsidRPr="0019675C">
        <w:t>Delegācijas dalībnieki:</w:t>
      </w:r>
      <w:r w:rsidRPr="0019675C">
        <w:tab/>
      </w:r>
      <w:r w:rsidR="00525979" w:rsidRPr="0019675C">
        <w:rPr>
          <w:b/>
          <w:bCs/>
        </w:rPr>
        <w:t>Inguss Kalniņš</w:t>
      </w:r>
      <w:r w:rsidR="00525979" w:rsidRPr="0019675C">
        <w:t>, Tieslietu ministrijas valsts sekretāra v</w:t>
      </w:r>
      <w:r w:rsidR="00DF5079" w:rsidRPr="0019675C">
        <w:t>ietnieks stratēģijas jautājumos</w:t>
      </w:r>
    </w:p>
    <w:p w:rsidR="00531F47" w:rsidRPr="0019675C" w:rsidRDefault="00525979" w:rsidP="00525979">
      <w:pPr>
        <w:ind w:left="2977"/>
        <w:jc w:val="both"/>
      </w:pPr>
      <w:r w:rsidRPr="0019675C">
        <w:rPr>
          <w:b/>
        </w:rPr>
        <w:t>Sandris Laganovskis</w:t>
      </w:r>
      <w:r w:rsidRPr="0019675C">
        <w:t xml:space="preserve">, tieslietu nozares padomnieks Latvijas Republikas </w:t>
      </w:r>
      <w:r w:rsidRPr="0019675C">
        <w:rPr>
          <w:rStyle w:val="Izteiksmgs"/>
          <w:b w:val="0"/>
        </w:rPr>
        <w:t>Pastāvīgajā</w:t>
      </w:r>
      <w:r w:rsidRPr="0019675C">
        <w:t xml:space="preserve"> pārstāvniecībā ES</w:t>
      </w:r>
    </w:p>
    <w:p w:rsidR="00521BF9" w:rsidRPr="0019675C" w:rsidRDefault="00521BF9" w:rsidP="00521BF9">
      <w:pPr>
        <w:ind w:left="2977" w:hanging="2977"/>
        <w:jc w:val="both"/>
      </w:pPr>
    </w:p>
    <w:p w:rsidR="00A24B59" w:rsidRPr="0019675C" w:rsidRDefault="00A24B59" w:rsidP="001C09DB">
      <w:pPr>
        <w:jc w:val="both"/>
      </w:pPr>
    </w:p>
    <w:p w:rsidR="008F1A42" w:rsidRPr="0019675C" w:rsidRDefault="008F1A42" w:rsidP="008F1A42">
      <w:pPr>
        <w:jc w:val="both"/>
        <w:rPr>
          <w:color w:val="1F497D"/>
        </w:rPr>
      </w:pPr>
      <w:r w:rsidRPr="0019675C">
        <w:t>Tieslietu ministra </w:t>
      </w:r>
      <w:r w:rsidR="000959B3">
        <w:t>p.i.</w:t>
      </w:r>
      <w:r w:rsidR="006D7C8B" w:rsidRPr="0019675C">
        <w:t xml:space="preserve"> </w:t>
      </w:r>
    </w:p>
    <w:p w:rsidR="008F1A42" w:rsidRPr="0019675C" w:rsidRDefault="008F1A42" w:rsidP="008F1A42">
      <w:pPr>
        <w:jc w:val="both"/>
      </w:pPr>
      <w:r w:rsidRPr="0019675C">
        <w:t xml:space="preserve">kultūras ministre                                                                     </w:t>
      </w:r>
      <w:r w:rsidRPr="0019675C">
        <w:tab/>
      </w:r>
      <w:r w:rsidRPr="0019675C">
        <w:tab/>
        <w:t xml:space="preserve">          Ž.Jaunzeme-</w:t>
      </w:r>
      <w:proofErr w:type="spellStart"/>
      <w:r w:rsidRPr="0019675C">
        <w:t>Grende</w:t>
      </w:r>
      <w:proofErr w:type="spellEnd"/>
    </w:p>
    <w:p w:rsidR="00FE0DB2" w:rsidRPr="0019675C" w:rsidRDefault="00FE0DB2" w:rsidP="001C09DB">
      <w:pPr>
        <w:jc w:val="both"/>
      </w:pPr>
    </w:p>
    <w:p w:rsidR="008F1A42" w:rsidRPr="0019675C" w:rsidRDefault="008F1A42" w:rsidP="001C09DB">
      <w:pPr>
        <w:jc w:val="both"/>
        <w:rPr>
          <w:sz w:val="20"/>
          <w:szCs w:val="20"/>
        </w:rPr>
      </w:pPr>
    </w:p>
    <w:p w:rsidR="001C09DB" w:rsidRPr="00611611" w:rsidRDefault="008F1A42" w:rsidP="001C09DB">
      <w:pPr>
        <w:jc w:val="both"/>
        <w:rPr>
          <w:sz w:val="20"/>
          <w:szCs w:val="20"/>
        </w:rPr>
      </w:pPr>
      <w:r w:rsidRPr="00611611">
        <w:rPr>
          <w:sz w:val="20"/>
          <w:szCs w:val="20"/>
        </w:rPr>
        <w:t>22</w:t>
      </w:r>
      <w:r w:rsidR="001C09DB" w:rsidRPr="00611611">
        <w:rPr>
          <w:sz w:val="20"/>
          <w:szCs w:val="20"/>
        </w:rPr>
        <w:t>.</w:t>
      </w:r>
      <w:r w:rsidR="00542A21" w:rsidRPr="00611611">
        <w:rPr>
          <w:sz w:val="20"/>
          <w:szCs w:val="20"/>
        </w:rPr>
        <w:t>10</w:t>
      </w:r>
      <w:r w:rsidR="001C09DB" w:rsidRPr="00611611">
        <w:rPr>
          <w:sz w:val="20"/>
          <w:szCs w:val="20"/>
        </w:rPr>
        <w:t>.201</w:t>
      </w:r>
      <w:r w:rsidR="000A7AE4" w:rsidRPr="00611611">
        <w:rPr>
          <w:sz w:val="20"/>
          <w:szCs w:val="20"/>
        </w:rPr>
        <w:t>2</w:t>
      </w:r>
      <w:r w:rsidR="001C09DB" w:rsidRPr="00611611">
        <w:rPr>
          <w:sz w:val="20"/>
          <w:szCs w:val="20"/>
        </w:rPr>
        <w:t xml:space="preserve"> </w:t>
      </w:r>
      <w:r w:rsidR="00542A21" w:rsidRPr="00611611">
        <w:rPr>
          <w:sz w:val="20"/>
          <w:szCs w:val="20"/>
        </w:rPr>
        <w:t>1</w:t>
      </w:r>
      <w:r w:rsidRPr="00611611">
        <w:rPr>
          <w:sz w:val="20"/>
          <w:szCs w:val="20"/>
        </w:rPr>
        <w:t>1</w:t>
      </w:r>
      <w:r w:rsidR="00542A21" w:rsidRPr="00611611">
        <w:rPr>
          <w:sz w:val="20"/>
          <w:szCs w:val="20"/>
        </w:rPr>
        <w:t>:</w:t>
      </w:r>
      <w:r w:rsidRPr="00611611">
        <w:rPr>
          <w:sz w:val="20"/>
          <w:szCs w:val="20"/>
        </w:rPr>
        <w:t>00</w:t>
      </w:r>
    </w:p>
    <w:p w:rsidR="001C09DB" w:rsidRPr="0019675C" w:rsidRDefault="00611611" w:rsidP="001C09DB">
      <w:pPr>
        <w:jc w:val="both"/>
        <w:rPr>
          <w:sz w:val="20"/>
          <w:szCs w:val="20"/>
        </w:rPr>
      </w:pPr>
      <w:r w:rsidRPr="00611611">
        <w:rPr>
          <w:sz w:val="20"/>
          <w:szCs w:val="20"/>
        </w:rPr>
        <w:t>1625</w:t>
      </w:r>
    </w:p>
    <w:p w:rsidR="002A0044" w:rsidRPr="0019675C" w:rsidRDefault="00542A21" w:rsidP="001C09DB">
      <w:pPr>
        <w:jc w:val="both"/>
        <w:rPr>
          <w:sz w:val="20"/>
          <w:szCs w:val="20"/>
        </w:rPr>
      </w:pPr>
      <w:bookmarkStart w:id="9" w:name="OLE_LINK3"/>
      <w:bookmarkStart w:id="10" w:name="OLE_LINK4"/>
      <w:r w:rsidRPr="0019675C">
        <w:rPr>
          <w:sz w:val="20"/>
          <w:szCs w:val="20"/>
        </w:rPr>
        <w:t>Katrīna Veismane</w:t>
      </w:r>
    </w:p>
    <w:p w:rsidR="002A0044" w:rsidRPr="0019675C" w:rsidRDefault="006D68BB" w:rsidP="001C09DB">
      <w:pPr>
        <w:jc w:val="both"/>
        <w:rPr>
          <w:sz w:val="20"/>
          <w:szCs w:val="20"/>
        </w:rPr>
      </w:pPr>
      <w:r w:rsidRPr="0019675C">
        <w:rPr>
          <w:sz w:val="20"/>
          <w:szCs w:val="20"/>
        </w:rPr>
        <w:t>67036913</w:t>
      </w:r>
      <w:r w:rsidR="002A0044" w:rsidRPr="0019675C">
        <w:rPr>
          <w:sz w:val="20"/>
          <w:szCs w:val="20"/>
        </w:rPr>
        <w:t xml:space="preserve">, </w:t>
      </w:r>
      <w:r w:rsidR="00542A21" w:rsidRPr="0019675C">
        <w:rPr>
          <w:sz w:val="20"/>
          <w:szCs w:val="20"/>
        </w:rPr>
        <w:t>Katrina.Veismane</w:t>
      </w:r>
      <w:r w:rsidRPr="0019675C">
        <w:rPr>
          <w:sz w:val="20"/>
          <w:szCs w:val="20"/>
        </w:rPr>
        <w:t>@tm.gov.lv</w:t>
      </w:r>
      <w:bookmarkEnd w:id="9"/>
      <w:bookmarkEnd w:id="10"/>
    </w:p>
    <w:sectPr w:rsidR="002A0044" w:rsidRPr="0019675C" w:rsidSect="006D7C8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B7C" w:rsidRDefault="00052B7C" w:rsidP="001C09DB">
      <w:r>
        <w:separator/>
      </w:r>
    </w:p>
  </w:endnote>
  <w:endnote w:type="continuationSeparator" w:id="0">
    <w:p w:rsidR="00052B7C" w:rsidRDefault="00052B7C" w:rsidP="001C0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EA" w:rsidRPr="00FD28B6" w:rsidRDefault="00525979" w:rsidP="00B40EDD">
    <w:pPr>
      <w:jc w:val="both"/>
    </w:pPr>
    <w:r w:rsidRPr="00B40EDD">
      <w:rPr>
        <w:sz w:val="20"/>
        <w:szCs w:val="20"/>
      </w:rPr>
      <w:t>TMzino_</w:t>
    </w:r>
    <w:r w:rsidR="008F1A42">
      <w:rPr>
        <w:sz w:val="20"/>
        <w:szCs w:val="20"/>
      </w:rPr>
      <w:t>22</w:t>
    </w:r>
    <w:r w:rsidR="00542A21">
      <w:rPr>
        <w:sz w:val="20"/>
        <w:szCs w:val="20"/>
      </w:rPr>
      <w:t>10</w:t>
    </w:r>
    <w:r w:rsidR="00FD28B6" w:rsidRPr="00B40EDD">
      <w:rPr>
        <w:sz w:val="20"/>
        <w:szCs w:val="20"/>
      </w:rPr>
      <w:t xml:space="preserve">12_JHAC; informatīvais </w:t>
    </w:r>
    <w:smartTag w:uri="schemas-tilde-lv/tildestengine" w:element="veidnes">
      <w:smartTagPr>
        <w:attr w:name="id" w:val="-1"/>
        <w:attr w:name="baseform" w:val="ziņojums"/>
        <w:attr w:name="text" w:val="ziņojums"/>
      </w:smartTagPr>
      <w:r w:rsidR="00FD28B6" w:rsidRPr="00B40EDD">
        <w:rPr>
          <w:sz w:val="20"/>
          <w:szCs w:val="20"/>
        </w:rPr>
        <w:t>ziņojums</w:t>
      </w:r>
    </w:smartTag>
    <w:r w:rsidR="00FD28B6" w:rsidRPr="00B40EDD">
      <w:rPr>
        <w:sz w:val="20"/>
        <w:szCs w:val="20"/>
      </w:rPr>
      <w:t xml:space="preserve"> </w:t>
    </w:r>
    <w:r w:rsidR="00FD28B6" w:rsidRPr="00B40EDD">
      <w:rPr>
        <w:bCs/>
        <w:sz w:val="20"/>
        <w:szCs w:val="20"/>
      </w:rPr>
      <w:t xml:space="preserve">par </w:t>
    </w:r>
    <w:r w:rsidR="00F107E6" w:rsidRPr="00B40EDD">
      <w:rPr>
        <w:bCs/>
        <w:sz w:val="20"/>
        <w:szCs w:val="20"/>
      </w:rPr>
      <w:t xml:space="preserve">Eiropas Savienības </w:t>
    </w:r>
    <w:r w:rsidR="00FD28B6" w:rsidRPr="00B40EDD">
      <w:rPr>
        <w:sz w:val="20"/>
        <w:szCs w:val="20"/>
      </w:rPr>
      <w:t xml:space="preserve">Tieslietu un iekšlietu ministru padomes </w:t>
    </w:r>
    <w:r w:rsidR="00FD28B6" w:rsidRPr="00B40EDD">
      <w:rPr>
        <w:bCs/>
        <w:sz w:val="20"/>
        <w:szCs w:val="20"/>
      </w:rPr>
      <w:t xml:space="preserve">2012. gada </w:t>
    </w:r>
    <w:r w:rsidR="00542A21">
      <w:rPr>
        <w:sz w:val="20"/>
        <w:szCs w:val="20"/>
      </w:rPr>
      <w:t>25.-26.oktobra</w:t>
    </w:r>
    <w:r w:rsidR="00FD28B6" w:rsidRPr="00B40EDD">
      <w:rPr>
        <w:bCs/>
        <w:sz w:val="20"/>
        <w:szCs w:val="20"/>
      </w:rPr>
      <w:t xml:space="preserve"> </w:t>
    </w:r>
    <w:r w:rsidR="00FD28B6" w:rsidRPr="00B40EDD">
      <w:rPr>
        <w:sz w:val="20"/>
        <w:szCs w:val="20"/>
      </w:rPr>
      <w:t>sanāksm</w:t>
    </w:r>
    <w:r w:rsidR="00FD28B6" w:rsidRPr="00B40EDD">
      <w:rPr>
        <w:bCs/>
        <w:sz w:val="20"/>
        <w:szCs w:val="20"/>
      </w:rPr>
      <w:t xml:space="preserve">ē izskatāmajiem jautājumiem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EA" w:rsidRPr="00B40EDD" w:rsidRDefault="00525979">
    <w:pPr>
      <w:jc w:val="both"/>
    </w:pPr>
    <w:r w:rsidRPr="00B40EDD">
      <w:rPr>
        <w:sz w:val="20"/>
        <w:szCs w:val="20"/>
      </w:rPr>
      <w:t>TMzino_</w:t>
    </w:r>
    <w:r w:rsidR="002D008B">
      <w:rPr>
        <w:sz w:val="20"/>
        <w:szCs w:val="20"/>
      </w:rPr>
      <w:t>22</w:t>
    </w:r>
    <w:r w:rsidR="00B43820">
      <w:rPr>
        <w:sz w:val="20"/>
        <w:szCs w:val="20"/>
      </w:rPr>
      <w:t>10</w:t>
    </w:r>
    <w:r w:rsidR="00575008" w:rsidRPr="00B40EDD">
      <w:rPr>
        <w:sz w:val="20"/>
        <w:szCs w:val="20"/>
      </w:rPr>
      <w:t>12</w:t>
    </w:r>
    <w:r w:rsidR="00453322" w:rsidRPr="00B40EDD">
      <w:rPr>
        <w:sz w:val="20"/>
        <w:szCs w:val="20"/>
      </w:rPr>
      <w:t xml:space="preserve">_JHAC; informatīvais </w:t>
    </w:r>
    <w:smartTag w:uri="schemas-tilde-lv/tildestengine" w:element="veidnes">
      <w:smartTagPr>
        <w:attr w:name="id" w:val="-1"/>
        <w:attr w:name="baseform" w:val="ziņojums"/>
        <w:attr w:name="text" w:val="ziņojums"/>
      </w:smartTagPr>
      <w:r w:rsidR="00453322" w:rsidRPr="00B40EDD">
        <w:rPr>
          <w:sz w:val="20"/>
          <w:szCs w:val="20"/>
        </w:rPr>
        <w:t>ziņojums</w:t>
      </w:r>
    </w:smartTag>
    <w:r w:rsidR="00453322" w:rsidRPr="00B40EDD">
      <w:rPr>
        <w:sz w:val="20"/>
        <w:szCs w:val="20"/>
      </w:rPr>
      <w:t xml:space="preserve"> </w:t>
    </w:r>
    <w:r w:rsidR="00453322" w:rsidRPr="00B40EDD">
      <w:rPr>
        <w:bCs/>
        <w:sz w:val="20"/>
        <w:szCs w:val="20"/>
      </w:rPr>
      <w:t xml:space="preserve">par </w:t>
    </w:r>
    <w:r w:rsidR="00F107E6" w:rsidRPr="00B40EDD">
      <w:rPr>
        <w:bCs/>
        <w:sz w:val="20"/>
        <w:szCs w:val="20"/>
      </w:rPr>
      <w:t xml:space="preserve">Eiropas Savienības </w:t>
    </w:r>
    <w:r w:rsidR="00453322" w:rsidRPr="00B40EDD">
      <w:rPr>
        <w:sz w:val="20"/>
        <w:szCs w:val="20"/>
      </w:rPr>
      <w:t xml:space="preserve">Tieslietu un iekšlietu ministru padomes </w:t>
    </w:r>
    <w:r w:rsidR="00453322" w:rsidRPr="00B40EDD">
      <w:rPr>
        <w:bCs/>
        <w:sz w:val="20"/>
        <w:szCs w:val="20"/>
      </w:rPr>
      <w:t>201</w:t>
    </w:r>
    <w:r w:rsidR="003948E1" w:rsidRPr="00B40EDD">
      <w:rPr>
        <w:bCs/>
        <w:sz w:val="20"/>
        <w:szCs w:val="20"/>
      </w:rPr>
      <w:t>2</w:t>
    </w:r>
    <w:r w:rsidR="00453322" w:rsidRPr="00B40EDD">
      <w:rPr>
        <w:bCs/>
        <w:sz w:val="20"/>
        <w:szCs w:val="20"/>
      </w:rPr>
      <w:t xml:space="preserve">. gada </w:t>
    </w:r>
    <w:r w:rsidR="00B43820">
      <w:rPr>
        <w:sz w:val="20"/>
        <w:szCs w:val="20"/>
      </w:rPr>
      <w:t>25.-26.oktobra</w:t>
    </w:r>
    <w:r w:rsidR="00453322" w:rsidRPr="00B40EDD">
      <w:rPr>
        <w:bCs/>
        <w:sz w:val="20"/>
        <w:szCs w:val="20"/>
      </w:rPr>
      <w:t xml:space="preserve"> </w:t>
    </w:r>
    <w:r w:rsidR="00453322" w:rsidRPr="00B40EDD">
      <w:rPr>
        <w:sz w:val="20"/>
        <w:szCs w:val="20"/>
      </w:rPr>
      <w:t>sanāksm</w:t>
    </w:r>
    <w:r w:rsidR="00453322" w:rsidRPr="00B40EDD">
      <w:rPr>
        <w:bCs/>
        <w:sz w:val="20"/>
        <w:szCs w:val="20"/>
      </w:rPr>
      <w:t xml:space="preserve">ē izskatāmajiem jautājumiem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B7C" w:rsidRDefault="00052B7C" w:rsidP="001C09DB">
      <w:r>
        <w:separator/>
      </w:r>
    </w:p>
  </w:footnote>
  <w:footnote w:type="continuationSeparator" w:id="0">
    <w:p w:rsidR="00052B7C" w:rsidRDefault="00052B7C" w:rsidP="001C09DB">
      <w:r>
        <w:continuationSeparator/>
      </w:r>
    </w:p>
  </w:footnote>
  <w:footnote w:id="1">
    <w:p w:rsidR="00855B58" w:rsidRPr="0038351B" w:rsidRDefault="00855B58" w:rsidP="00855B58">
      <w:pPr>
        <w:pStyle w:val="Bullet0"/>
        <w:numPr>
          <w:ilvl w:val="0"/>
          <w:numId w:val="0"/>
        </w:numPr>
        <w:spacing w:before="0" w:after="0"/>
        <w:ind w:left="142" w:right="-1" w:hanging="142"/>
        <w:rPr>
          <w:noProof/>
          <w:sz w:val="20"/>
          <w:szCs w:val="20"/>
        </w:rPr>
      </w:pPr>
      <w:r w:rsidRPr="0038351B">
        <w:rPr>
          <w:rStyle w:val="Vresatsauce"/>
          <w:sz w:val="20"/>
          <w:szCs w:val="20"/>
        </w:rPr>
        <w:footnoteRef/>
      </w:r>
      <w:r w:rsidRPr="0038351B">
        <w:rPr>
          <w:sz w:val="20"/>
          <w:szCs w:val="20"/>
        </w:rPr>
        <w:t xml:space="preserve"> </w:t>
      </w:r>
      <w:r w:rsidRPr="0038351B">
        <w:rPr>
          <w:noProof/>
          <w:sz w:val="20"/>
          <w:szCs w:val="20"/>
        </w:rPr>
        <w:t xml:space="preserve">Pamatlēmums 2001/500/TI, ar kuru saskaņā dalībvalstīm ir pienākums sekmēt konfiskāciju tā, lai varētu konfiscēt vērtības; Pamatlēmums 2005/212/TI, kas paredz saskaņot tiesību aktus par konfiskāciju; Pamatlēmums 2003/577/TI, kas paredz iesaldēšanas rīkojumu savstarpēju atzīšanu; Pamatlēmums 2006/783/TI, kas paredz iesaldēšanas rīkojumu savstarpēju atzīšanu; Padomes Lēmums 2007/845/TI par informācijas apmaiņu un sadarbību starp </w:t>
      </w:r>
      <w:r w:rsidRPr="0038351B">
        <w:rPr>
          <w:rStyle w:val="Izteiksmgs"/>
          <w:b w:val="0"/>
          <w:noProof/>
          <w:sz w:val="20"/>
          <w:szCs w:val="20"/>
        </w:rPr>
        <w:t>dalībva</w:t>
      </w:r>
      <w:r>
        <w:rPr>
          <w:rStyle w:val="Izteiksmgs"/>
          <w:b w:val="0"/>
          <w:noProof/>
          <w:sz w:val="20"/>
          <w:szCs w:val="20"/>
        </w:rPr>
        <w:t>lstu līdzekļu atguves dienestiem</w:t>
      </w:r>
    </w:p>
  </w:footnote>
  <w:footnote w:id="2">
    <w:p w:rsidR="003C442C" w:rsidRDefault="003C442C">
      <w:pPr>
        <w:pStyle w:val="Vresteksts"/>
      </w:pPr>
      <w:r>
        <w:rPr>
          <w:rStyle w:val="Vresatsauce"/>
        </w:rPr>
        <w:footnoteRef/>
      </w:r>
      <w:r>
        <w:t xml:space="preserve"> 12979/12 LIMITE</w:t>
      </w:r>
    </w:p>
  </w:footnote>
  <w:footnote w:id="3">
    <w:p w:rsidR="0051789C" w:rsidRDefault="0051789C" w:rsidP="0051789C">
      <w:pPr>
        <w:pStyle w:val="naispant"/>
        <w:ind w:left="0" w:firstLine="0"/>
      </w:pPr>
      <w:r w:rsidRPr="00990AE0">
        <w:rPr>
          <w:rStyle w:val="Vresatsauce"/>
          <w:b w:val="0"/>
        </w:rPr>
        <w:footnoteRef/>
      </w:r>
      <w:r w:rsidRPr="00990AE0">
        <w:rPr>
          <w:b w:val="0"/>
        </w:rPr>
        <w:t xml:space="preserve"> </w:t>
      </w:r>
      <w:r w:rsidRPr="00990AE0">
        <w:rPr>
          <w:b w:val="0"/>
          <w:sz w:val="20"/>
          <w:szCs w:val="20"/>
        </w:rPr>
        <w:t xml:space="preserve">Latvijā konvencija ir ratificēta un tā stājās spēkā 2004.gada 20.novembrī. Konvencijas noteikumi attiecīgi ir pārņemti Latvijas nacionālajos tiesību aktos.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22" w:rsidRDefault="005E06F0">
    <w:pPr>
      <w:pStyle w:val="Galvene"/>
      <w:framePr w:wrap="auto" w:vAnchor="text" w:hAnchor="margin" w:xAlign="center" w:y="1"/>
      <w:rPr>
        <w:rStyle w:val="Lappusesnumurs"/>
      </w:rPr>
    </w:pPr>
    <w:r>
      <w:rPr>
        <w:rStyle w:val="Lappusesnumurs"/>
      </w:rPr>
      <w:fldChar w:fldCharType="begin"/>
    </w:r>
    <w:r w:rsidR="00453322">
      <w:rPr>
        <w:rStyle w:val="Lappusesnumurs"/>
      </w:rPr>
      <w:instrText xml:space="preserve">PAGE  </w:instrText>
    </w:r>
    <w:r>
      <w:rPr>
        <w:rStyle w:val="Lappusesnumurs"/>
      </w:rPr>
      <w:fldChar w:fldCharType="separate"/>
    </w:r>
    <w:r w:rsidR="00611611">
      <w:rPr>
        <w:rStyle w:val="Lappusesnumurs"/>
        <w:noProof/>
      </w:rPr>
      <w:t>4</w:t>
    </w:r>
    <w:r>
      <w:rPr>
        <w:rStyle w:val="Lappusesnumurs"/>
      </w:rPr>
      <w:fldChar w:fldCharType="end"/>
    </w:r>
  </w:p>
  <w:p w:rsidR="00453322" w:rsidRDefault="00453322">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F6"/>
    <w:multiLevelType w:val="hybridMultilevel"/>
    <w:tmpl w:val="F582211A"/>
    <w:lvl w:ilvl="0" w:tplc="D360BCB2">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6646C7D"/>
    <w:multiLevelType w:val="hybridMultilevel"/>
    <w:tmpl w:val="68CE06C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BFD13D4"/>
    <w:multiLevelType w:val="hybridMultilevel"/>
    <w:tmpl w:val="92AC67BA"/>
    <w:lvl w:ilvl="0" w:tplc="5FD4C0C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FA1484F"/>
    <w:multiLevelType w:val="hybridMultilevel"/>
    <w:tmpl w:val="74BA7A2C"/>
    <w:lvl w:ilvl="0" w:tplc="97B0D35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D649E4"/>
    <w:multiLevelType w:val="hybridMultilevel"/>
    <w:tmpl w:val="79FE96F6"/>
    <w:lvl w:ilvl="0" w:tplc="B120C7BE">
      <w:start w:val="1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166F4360"/>
    <w:multiLevelType w:val="hybridMultilevel"/>
    <w:tmpl w:val="15B06E8C"/>
    <w:lvl w:ilvl="0" w:tplc="5FD4C0C4">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8CB47A2"/>
    <w:multiLevelType w:val="hybridMultilevel"/>
    <w:tmpl w:val="CF3E3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A3F1BF4"/>
    <w:multiLevelType w:val="hybridMultilevel"/>
    <w:tmpl w:val="109474CA"/>
    <w:lvl w:ilvl="0" w:tplc="873C8EC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9">
    <w:nsid w:val="2AB766AB"/>
    <w:multiLevelType w:val="hybridMultilevel"/>
    <w:tmpl w:val="129073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0E25A4"/>
    <w:multiLevelType w:val="hybridMultilevel"/>
    <w:tmpl w:val="F06620BC"/>
    <w:lvl w:ilvl="0" w:tplc="28A0E0E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3CE425B2"/>
    <w:multiLevelType w:val="hybridMultilevel"/>
    <w:tmpl w:val="2A6A96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E4103FD"/>
    <w:multiLevelType w:val="hybridMultilevel"/>
    <w:tmpl w:val="1E48F256"/>
    <w:lvl w:ilvl="0" w:tplc="752A3C28">
      <w:start w:val="4"/>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3">
    <w:nsid w:val="40315490"/>
    <w:multiLevelType w:val="singleLevel"/>
    <w:tmpl w:val="1F86C700"/>
    <w:name w:val="Tiret 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79B4197"/>
    <w:multiLevelType w:val="hybridMultilevel"/>
    <w:tmpl w:val="4DEE1E3A"/>
    <w:lvl w:ilvl="0" w:tplc="E662F900">
      <w:start w:val="1"/>
      <w:numFmt w:val="decimal"/>
      <w:lvlText w:val="%1."/>
      <w:lvlJc w:val="left"/>
      <w:pPr>
        <w:ind w:left="709" w:hanging="360"/>
      </w:pPr>
      <w:rPr>
        <w:rFonts w:hint="default"/>
        <w:b/>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5">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B510389"/>
    <w:multiLevelType w:val="hybridMultilevel"/>
    <w:tmpl w:val="21A2C654"/>
    <w:lvl w:ilvl="0" w:tplc="1474204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5123CA0"/>
    <w:multiLevelType w:val="hybridMultilevel"/>
    <w:tmpl w:val="0974030A"/>
    <w:lvl w:ilvl="0" w:tplc="080C000F">
      <w:start w:val="1"/>
      <w:numFmt w:val="decimal"/>
      <w:lvlText w:val="%1."/>
      <w:lvlJc w:val="left"/>
      <w:pPr>
        <w:tabs>
          <w:tab w:val="num" w:pos="720"/>
        </w:tabs>
        <w:ind w:left="720" w:hanging="360"/>
      </w:pPr>
    </w:lvl>
    <w:lvl w:ilvl="1" w:tplc="4570510E">
      <w:numFmt w:val="bullet"/>
      <w:lvlText w:val="–"/>
      <w:lvlJc w:val="left"/>
      <w:pPr>
        <w:tabs>
          <w:tab w:val="num" w:pos="1650"/>
        </w:tabs>
        <w:ind w:left="1650" w:hanging="570"/>
      </w:pPr>
      <w:rPr>
        <w:rFonts w:ascii="Times New Roman" w:eastAsia="Times New Roman" w:hAnsi="Times New Roman" w:hint="default"/>
      </w:rPr>
    </w:lvl>
    <w:lvl w:ilvl="2" w:tplc="EA3CAF66">
      <w:start w:val="1"/>
      <w:numFmt w:val="lowerLetter"/>
      <w:lvlText w:val="(%3)"/>
      <w:lvlJc w:val="left"/>
      <w:pPr>
        <w:tabs>
          <w:tab w:val="num" w:pos="2340"/>
        </w:tabs>
        <w:ind w:left="2340" w:hanging="360"/>
      </w:pPr>
      <w:rPr>
        <w:rFonts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8">
    <w:nsid w:val="73EF6D5E"/>
    <w:multiLevelType w:val="hybridMultilevel"/>
    <w:tmpl w:val="870E8C1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8523140"/>
    <w:multiLevelType w:val="hybridMultilevel"/>
    <w:tmpl w:val="EDAC6750"/>
    <w:lvl w:ilvl="0" w:tplc="46ACADB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7F762880"/>
    <w:multiLevelType w:val="hybridMultilevel"/>
    <w:tmpl w:val="4AB6981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0"/>
  </w:num>
  <w:num w:numId="6">
    <w:abstractNumId w:val="19"/>
  </w:num>
  <w:num w:numId="7">
    <w:abstractNumId w:val="3"/>
  </w:num>
  <w:num w:numId="8">
    <w:abstractNumId w:val="1"/>
  </w:num>
  <w:num w:numId="9">
    <w:abstractNumId w:val="17"/>
  </w:num>
  <w:num w:numId="10">
    <w:abstractNumId w:val="12"/>
  </w:num>
  <w:num w:numId="11">
    <w:abstractNumId w:val="9"/>
  </w:num>
  <w:num w:numId="12">
    <w:abstractNumId w:val="7"/>
  </w:num>
  <w:num w:numId="13">
    <w:abstractNumId w:val="10"/>
  </w:num>
  <w:num w:numId="14">
    <w:abstractNumId w:val="13"/>
  </w:num>
  <w:num w:numId="15">
    <w:abstractNumId w:val="15"/>
  </w:num>
  <w:num w:numId="16">
    <w:abstractNumId w:val="2"/>
  </w:num>
  <w:num w:numId="17">
    <w:abstractNumId w:val="20"/>
  </w:num>
  <w:num w:numId="18">
    <w:abstractNumId w:val="5"/>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09DB"/>
    <w:rsid w:val="00026A38"/>
    <w:rsid w:val="00035797"/>
    <w:rsid w:val="00037170"/>
    <w:rsid w:val="00052B7C"/>
    <w:rsid w:val="000578EC"/>
    <w:rsid w:val="0007626D"/>
    <w:rsid w:val="00076D7E"/>
    <w:rsid w:val="00087190"/>
    <w:rsid w:val="000959B3"/>
    <w:rsid w:val="000A7AE4"/>
    <w:rsid w:val="000B3A60"/>
    <w:rsid w:val="000B43F3"/>
    <w:rsid w:val="000B5C0E"/>
    <w:rsid w:val="000B7430"/>
    <w:rsid w:val="000B7872"/>
    <w:rsid w:val="000C2318"/>
    <w:rsid w:val="000C3BBE"/>
    <w:rsid w:val="000D7BCD"/>
    <w:rsid w:val="000E6911"/>
    <w:rsid w:val="000F6FA0"/>
    <w:rsid w:val="00104C2A"/>
    <w:rsid w:val="001310C6"/>
    <w:rsid w:val="001321AE"/>
    <w:rsid w:val="00143BD0"/>
    <w:rsid w:val="00167DDB"/>
    <w:rsid w:val="00177A0E"/>
    <w:rsid w:val="0018209C"/>
    <w:rsid w:val="00187CFD"/>
    <w:rsid w:val="0019675C"/>
    <w:rsid w:val="001A5A85"/>
    <w:rsid w:val="001C09DB"/>
    <w:rsid w:val="001C0A1D"/>
    <w:rsid w:val="001C7665"/>
    <w:rsid w:val="001D259F"/>
    <w:rsid w:val="001D608D"/>
    <w:rsid w:val="001D70EE"/>
    <w:rsid w:val="001E761A"/>
    <w:rsid w:val="00200692"/>
    <w:rsid w:val="002033D4"/>
    <w:rsid w:val="00203860"/>
    <w:rsid w:val="002173ED"/>
    <w:rsid w:val="00217BB8"/>
    <w:rsid w:val="00237F45"/>
    <w:rsid w:val="00247F48"/>
    <w:rsid w:val="002723B1"/>
    <w:rsid w:val="002724AB"/>
    <w:rsid w:val="0029080E"/>
    <w:rsid w:val="00291CD8"/>
    <w:rsid w:val="002A0044"/>
    <w:rsid w:val="002A25AF"/>
    <w:rsid w:val="002B7DB3"/>
    <w:rsid w:val="002C3FA3"/>
    <w:rsid w:val="002C4B85"/>
    <w:rsid w:val="002D008B"/>
    <w:rsid w:val="002D0C6A"/>
    <w:rsid w:val="002D695B"/>
    <w:rsid w:val="002E147D"/>
    <w:rsid w:val="002F480A"/>
    <w:rsid w:val="00300718"/>
    <w:rsid w:val="003014B5"/>
    <w:rsid w:val="00311702"/>
    <w:rsid w:val="0031264A"/>
    <w:rsid w:val="003442F3"/>
    <w:rsid w:val="003525CE"/>
    <w:rsid w:val="003544B9"/>
    <w:rsid w:val="0036725D"/>
    <w:rsid w:val="00375217"/>
    <w:rsid w:val="003755BC"/>
    <w:rsid w:val="00390EA8"/>
    <w:rsid w:val="003948E1"/>
    <w:rsid w:val="003A0959"/>
    <w:rsid w:val="003C442C"/>
    <w:rsid w:val="003C6FC3"/>
    <w:rsid w:val="003D2C23"/>
    <w:rsid w:val="003E6689"/>
    <w:rsid w:val="003F27E7"/>
    <w:rsid w:val="00406059"/>
    <w:rsid w:val="0041021C"/>
    <w:rsid w:val="004248BD"/>
    <w:rsid w:val="00425EA0"/>
    <w:rsid w:val="00442D16"/>
    <w:rsid w:val="004503D8"/>
    <w:rsid w:val="00453322"/>
    <w:rsid w:val="0046459C"/>
    <w:rsid w:val="0047133C"/>
    <w:rsid w:val="00474822"/>
    <w:rsid w:val="004917AA"/>
    <w:rsid w:val="004C332D"/>
    <w:rsid w:val="004C6EC4"/>
    <w:rsid w:val="004E224A"/>
    <w:rsid w:val="004F0A3A"/>
    <w:rsid w:val="0051789C"/>
    <w:rsid w:val="005208EF"/>
    <w:rsid w:val="00521BF9"/>
    <w:rsid w:val="00525979"/>
    <w:rsid w:val="00526ED1"/>
    <w:rsid w:val="00531F47"/>
    <w:rsid w:val="005358AD"/>
    <w:rsid w:val="00536445"/>
    <w:rsid w:val="005415C7"/>
    <w:rsid w:val="00541B59"/>
    <w:rsid w:val="00542A21"/>
    <w:rsid w:val="00567CDC"/>
    <w:rsid w:val="00573E54"/>
    <w:rsid w:val="00575008"/>
    <w:rsid w:val="005859B4"/>
    <w:rsid w:val="00585B91"/>
    <w:rsid w:val="005A37A4"/>
    <w:rsid w:val="005B07CE"/>
    <w:rsid w:val="005B636B"/>
    <w:rsid w:val="005C0891"/>
    <w:rsid w:val="005E06F0"/>
    <w:rsid w:val="005E1990"/>
    <w:rsid w:val="005E4396"/>
    <w:rsid w:val="005F6EBC"/>
    <w:rsid w:val="00611611"/>
    <w:rsid w:val="0061600E"/>
    <w:rsid w:val="00622283"/>
    <w:rsid w:val="00634E5B"/>
    <w:rsid w:val="006408F8"/>
    <w:rsid w:val="00641C2C"/>
    <w:rsid w:val="006533B0"/>
    <w:rsid w:val="0065623D"/>
    <w:rsid w:val="00660F1E"/>
    <w:rsid w:val="00662C4E"/>
    <w:rsid w:val="0066675D"/>
    <w:rsid w:val="006711E6"/>
    <w:rsid w:val="00675EE3"/>
    <w:rsid w:val="00682A23"/>
    <w:rsid w:val="00687F6E"/>
    <w:rsid w:val="00690348"/>
    <w:rsid w:val="006912D7"/>
    <w:rsid w:val="006A29F8"/>
    <w:rsid w:val="006A37CD"/>
    <w:rsid w:val="006B27FF"/>
    <w:rsid w:val="006D68BB"/>
    <w:rsid w:val="006D746C"/>
    <w:rsid w:val="006D7643"/>
    <w:rsid w:val="006D7C8B"/>
    <w:rsid w:val="006F52C0"/>
    <w:rsid w:val="00701BFD"/>
    <w:rsid w:val="00704EB8"/>
    <w:rsid w:val="007316C5"/>
    <w:rsid w:val="00731828"/>
    <w:rsid w:val="00744101"/>
    <w:rsid w:val="00770A50"/>
    <w:rsid w:val="007736C8"/>
    <w:rsid w:val="00780AB4"/>
    <w:rsid w:val="00795C12"/>
    <w:rsid w:val="007E0518"/>
    <w:rsid w:val="007F1F80"/>
    <w:rsid w:val="00800F2B"/>
    <w:rsid w:val="008116D1"/>
    <w:rsid w:val="00826CF9"/>
    <w:rsid w:val="0082768C"/>
    <w:rsid w:val="008329B4"/>
    <w:rsid w:val="00836448"/>
    <w:rsid w:val="00855371"/>
    <w:rsid w:val="00855B58"/>
    <w:rsid w:val="00870F3E"/>
    <w:rsid w:val="00874792"/>
    <w:rsid w:val="00875FBC"/>
    <w:rsid w:val="00881BF8"/>
    <w:rsid w:val="0088266E"/>
    <w:rsid w:val="00895038"/>
    <w:rsid w:val="008A6FFF"/>
    <w:rsid w:val="008B4146"/>
    <w:rsid w:val="008C0793"/>
    <w:rsid w:val="008C0C72"/>
    <w:rsid w:val="008E5E54"/>
    <w:rsid w:val="008F1A42"/>
    <w:rsid w:val="008F4244"/>
    <w:rsid w:val="008F797B"/>
    <w:rsid w:val="00917A2A"/>
    <w:rsid w:val="00923B0D"/>
    <w:rsid w:val="0094026E"/>
    <w:rsid w:val="0094252F"/>
    <w:rsid w:val="00962D1C"/>
    <w:rsid w:val="00973065"/>
    <w:rsid w:val="009B0EF1"/>
    <w:rsid w:val="009B22CD"/>
    <w:rsid w:val="009C5A1D"/>
    <w:rsid w:val="009E44D8"/>
    <w:rsid w:val="00A010DA"/>
    <w:rsid w:val="00A16DF0"/>
    <w:rsid w:val="00A21B0E"/>
    <w:rsid w:val="00A24B59"/>
    <w:rsid w:val="00A43000"/>
    <w:rsid w:val="00A435EB"/>
    <w:rsid w:val="00A60FEC"/>
    <w:rsid w:val="00A62115"/>
    <w:rsid w:val="00A81D7E"/>
    <w:rsid w:val="00A90A89"/>
    <w:rsid w:val="00AA0557"/>
    <w:rsid w:val="00AA7A34"/>
    <w:rsid w:val="00AB1A95"/>
    <w:rsid w:val="00AB7017"/>
    <w:rsid w:val="00AF0689"/>
    <w:rsid w:val="00B2549C"/>
    <w:rsid w:val="00B25E71"/>
    <w:rsid w:val="00B32916"/>
    <w:rsid w:val="00B37166"/>
    <w:rsid w:val="00B40EDD"/>
    <w:rsid w:val="00B43820"/>
    <w:rsid w:val="00B63BCC"/>
    <w:rsid w:val="00B65FAA"/>
    <w:rsid w:val="00B707D4"/>
    <w:rsid w:val="00B84F75"/>
    <w:rsid w:val="00BB5987"/>
    <w:rsid w:val="00BC61AF"/>
    <w:rsid w:val="00BD1BC9"/>
    <w:rsid w:val="00BE4119"/>
    <w:rsid w:val="00BE6F13"/>
    <w:rsid w:val="00C17362"/>
    <w:rsid w:val="00C75A34"/>
    <w:rsid w:val="00C76C4E"/>
    <w:rsid w:val="00C8666E"/>
    <w:rsid w:val="00C9329E"/>
    <w:rsid w:val="00C93320"/>
    <w:rsid w:val="00C95D33"/>
    <w:rsid w:val="00C969EA"/>
    <w:rsid w:val="00CC029A"/>
    <w:rsid w:val="00CD50AE"/>
    <w:rsid w:val="00CD76F3"/>
    <w:rsid w:val="00CE6A45"/>
    <w:rsid w:val="00CF2403"/>
    <w:rsid w:val="00D20712"/>
    <w:rsid w:val="00D33816"/>
    <w:rsid w:val="00D42FAE"/>
    <w:rsid w:val="00D43D8E"/>
    <w:rsid w:val="00D76EE8"/>
    <w:rsid w:val="00D923AA"/>
    <w:rsid w:val="00DC20C5"/>
    <w:rsid w:val="00DC62A4"/>
    <w:rsid w:val="00DE5920"/>
    <w:rsid w:val="00DE660E"/>
    <w:rsid w:val="00DF5079"/>
    <w:rsid w:val="00E048F8"/>
    <w:rsid w:val="00E24A10"/>
    <w:rsid w:val="00E3776B"/>
    <w:rsid w:val="00E50408"/>
    <w:rsid w:val="00E52890"/>
    <w:rsid w:val="00E6192D"/>
    <w:rsid w:val="00E624EC"/>
    <w:rsid w:val="00E62916"/>
    <w:rsid w:val="00E65E30"/>
    <w:rsid w:val="00E73951"/>
    <w:rsid w:val="00E75886"/>
    <w:rsid w:val="00E760EB"/>
    <w:rsid w:val="00EA45C2"/>
    <w:rsid w:val="00EA4C5F"/>
    <w:rsid w:val="00EA6F79"/>
    <w:rsid w:val="00EB09AC"/>
    <w:rsid w:val="00EB5E3D"/>
    <w:rsid w:val="00ED26C0"/>
    <w:rsid w:val="00EE3A5F"/>
    <w:rsid w:val="00F02E3B"/>
    <w:rsid w:val="00F107E6"/>
    <w:rsid w:val="00F20009"/>
    <w:rsid w:val="00F2559F"/>
    <w:rsid w:val="00F4424E"/>
    <w:rsid w:val="00F44A03"/>
    <w:rsid w:val="00F45C7A"/>
    <w:rsid w:val="00F47DEC"/>
    <w:rsid w:val="00F71757"/>
    <w:rsid w:val="00F737E8"/>
    <w:rsid w:val="00F76092"/>
    <w:rsid w:val="00F91274"/>
    <w:rsid w:val="00F9530B"/>
    <w:rsid w:val="00FA4BB6"/>
    <w:rsid w:val="00FA5156"/>
    <w:rsid w:val="00FB1168"/>
    <w:rsid w:val="00FB2A65"/>
    <w:rsid w:val="00FB66D8"/>
    <w:rsid w:val="00FC1592"/>
    <w:rsid w:val="00FD2503"/>
    <w:rsid w:val="00FD28B6"/>
    <w:rsid w:val="00FD4E85"/>
    <w:rsid w:val="00FE0DB2"/>
    <w:rsid w:val="00FE6F85"/>
    <w:rsid w:val="00FF23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C09DB"/>
    <w:pPr>
      <w:spacing w:after="0" w:line="240" w:lineRule="auto"/>
    </w:pPr>
    <w:rPr>
      <w:rFonts w:ascii="Times New Roman" w:eastAsia="Times New Roman" w:hAnsi="Times New Roman" w:cs="Times New Roman"/>
      <w:sz w:val="24"/>
      <w:szCs w:val="24"/>
    </w:rPr>
  </w:style>
  <w:style w:type="paragraph" w:styleId="Virsraksts5">
    <w:name w:val="heading 5"/>
    <w:basedOn w:val="Parastais"/>
    <w:next w:val="Parastais"/>
    <w:link w:val="Virsraksts5Rakstz"/>
    <w:qFormat/>
    <w:rsid w:val="001C09DB"/>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1C09DB"/>
    <w:rPr>
      <w:rFonts w:ascii="Times New Roman" w:eastAsia="Times New Roman" w:hAnsi="Times New Roman" w:cs="Times New Roman"/>
      <w:b/>
      <w:bCs/>
      <w:sz w:val="24"/>
      <w:szCs w:val="24"/>
      <w:u w:val="single"/>
    </w:rPr>
  </w:style>
  <w:style w:type="paragraph" w:styleId="Kjene">
    <w:name w:val="footer"/>
    <w:basedOn w:val="Parastais"/>
    <w:link w:val="KjeneRakstz"/>
    <w:rsid w:val="001C09DB"/>
    <w:pPr>
      <w:tabs>
        <w:tab w:val="center" w:pos="4320"/>
        <w:tab w:val="right" w:pos="8640"/>
      </w:tabs>
    </w:pPr>
    <w:rPr>
      <w:lang w:val="en-US"/>
    </w:rPr>
  </w:style>
  <w:style w:type="character" w:customStyle="1" w:styleId="KjeneRakstz">
    <w:name w:val="Kājene Rakstz."/>
    <w:basedOn w:val="Noklusjumarindkopasfonts"/>
    <w:link w:val="Kjene"/>
    <w:rsid w:val="001C09DB"/>
    <w:rPr>
      <w:rFonts w:ascii="Times New Roman" w:eastAsia="Times New Roman" w:hAnsi="Times New Roman" w:cs="Times New Roman"/>
      <w:sz w:val="24"/>
      <w:szCs w:val="24"/>
      <w:lang w:val="en-US"/>
    </w:rPr>
  </w:style>
  <w:style w:type="paragraph" w:styleId="Galvene">
    <w:name w:val="header"/>
    <w:basedOn w:val="Parastais"/>
    <w:link w:val="GalveneRakstz"/>
    <w:rsid w:val="001C09DB"/>
    <w:pPr>
      <w:tabs>
        <w:tab w:val="center" w:pos="4153"/>
        <w:tab w:val="right" w:pos="8306"/>
      </w:tabs>
    </w:pPr>
  </w:style>
  <w:style w:type="character" w:customStyle="1" w:styleId="GalveneRakstz">
    <w:name w:val="Galvene Rakstz."/>
    <w:basedOn w:val="Noklusjumarindkopasfonts"/>
    <w:link w:val="Galvene"/>
    <w:rsid w:val="001C09DB"/>
    <w:rPr>
      <w:rFonts w:ascii="Times New Roman" w:eastAsia="Times New Roman" w:hAnsi="Times New Roman" w:cs="Times New Roman"/>
      <w:sz w:val="24"/>
      <w:szCs w:val="24"/>
    </w:rPr>
  </w:style>
  <w:style w:type="paragraph" w:styleId="Pamatteksts2">
    <w:name w:val="Body Text 2"/>
    <w:basedOn w:val="Parastais"/>
    <w:link w:val="Pamatteksts2Rakstz"/>
    <w:rsid w:val="001C09DB"/>
    <w:pPr>
      <w:jc w:val="center"/>
    </w:pPr>
    <w:rPr>
      <w:sz w:val="32"/>
      <w:szCs w:val="32"/>
    </w:rPr>
  </w:style>
  <w:style w:type="character" w:customStyle="1" w:styleId="Pamatteksts2Rakstz">
    <w:name w:val="Pamatteksts 2 Rakstz."/>
    <w:basedOn w:val="Noklusjumarindkopasfonts"/>
    <w:link w:val="Pamatteksts2"/>
    <w:rsid w:val="001C09DB"/>
    <w:rPr>
      <w:rFonts w:ascii="Times New Roman" w:eastAsia="Times New Roman" w:hAnsi="Times New Roman" w:cs="Times New Roman"/>
      <w:sz w:val="32"/>
      <w:szCs w:val="32"/>
    </w:rPr>
  </w:style>
  <w:style w:type="character" w:styleId="Lappusesnumurs">
    <w:name w:val="page number"/>
    <w:basedOn w:val="Noklusjumarindkopasfonts"/>
    <w:rsid w:val="001C09DB"/>
    <w:rPr>
      <w:rFonts w:cs="Times New Roman"/>
    </w:rPr>
  </w:style>
  <w:style w:type="paragraph" w:styleId="Nosaukums">
    <w:name w:val="Title"/>
    <w:basedOn w:val="Parastais"/>
    <w:link w:val="NosaukumsRakstz"/>
    <w:qFormat/>
    <w:rsid w:val="001C09DB"/>
    <w:pPr>
      <w:jc w:val="center"/>
    </w:pPr>
    <w:rPr>
      <w:b/>
      <w:bCs/>
    </w:rPr>
  </w:style>
  <w:style w:type="character" w:customStyle="1" w:styleId="NosaukumsRakstz">
    <w:name w:val="Nosaukums Rakstz."/>
    <w:basedOn w:val="Noklusjumarindkopasfonts"/>
    <w:link w:val="Nosaukums"/>
    <w:rsid w:val="001C09DB"/>
    <w:rPr>
      <w:rFonts w:ascii="Times New Roman" w:eastAsia="Times New Roman" w:hAnsi="Times New Roman" w:cs="Times New Roman"/>
      <w:b/>
      <w:bCs/>
      <w:sz w:val="24"/>
      <w:szCs w:val="24"/>
    </w:rPr>
  </w:style>
  <w:style w:type="paragraph" w:styleId="Sarakstarindkopa">
    <w:name w:val="List Paragraph"/>
    <w:basedOn w:val="Parastais"/>
    <w:uiPriority w:val="34"/>
    <w:qFormat/>
    <w:rsid w:val="001C09DB"/>
    <w:pPr>
      <w:ind w:left="720"/>
      <w:contextualSpacing/>
    </w:pPr>
  </w:style>
  <w:style w:type="character" w:styleId="Hipersaite">
    <w:name w:val="Hyperlink"/>
    <w:basedOn w:val="Noklusjumarindkopasfonts"/>
    <w:uiPriority w:val="99"/>
    <w:unhideWhenUsed/>
    <w:rsid w:val="001C09DB"/>
    <w:rPr>
      <w:color w:val="0000FF" w:themeColor="hyperlink"/>
      <w:u w:val="single"/>
    </w:rPr>
  </w:style>
  <w:style w:type="paragraph" w:styleId="Vresteksts">
    <w:name w:val="footnote text"/>
    <w:basedOn w:val="Parastais"/>
    <w:link w:val="VrestekstsRakstz"/>
    <w:uiPriority w:val="99"/>
    <w:rsid w:val="001C09DB"/>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uiPriority w:val="99"/>
    <w:rsid w:val="001C09DB"/>
    <w:rPr>
      <w:rFonts w:ascii="Times New Roman" w:eastAsia="Times New Roman" w:hAnsi="Times New Roman" w:cs="Times New Roman"/>
      <w:sz w:val="20"/>
      <w:szCs w:val="20"/>
      <w:lang w:eastAsia="ar-SA"/>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basedOn w:val="Noklusjumarindkopasfonts"/>
    <w:unhideWhenUsed/>
    <w:rsid w:val="001C09DB"/>
    <w:rPr>
      <w:vertAlign w:val="superscript"/>
    </w:rPr>
  </w:style>
  <w:style w:type="character" w:styleId="Izteiksmgs">
    <w:name w:val="Strong"/>
    <w:basedOn w:val="Noklusjumarindkopasfonts"/>
    <w:qFormat/>
    <w:rsid w:val="001C09DB"/>
    <w:rPr>
      <w:b/>
      <w:bCs/>
    </w:rPr>
  </w:style>
  <w:style w:type="paragraph" w:styleId="Bezatstarpm">
    <w:name w:val="No Spacing"/>
    <w:uiPriority w:val="1"/>
    <w:qFormat/>
    <w:rsid w:val="001C09DB"/>
    <w:pPr>
      <w:suppressAutoHyphens/>
      <w:spacing w:after="0" w:line="240" w:lineRule="auto"/>
    </w:pPr>
    <w:rPr>
      <w:rFonts w:ascii="Times New Roman" w:eastAsia="Times New Roman" w:hAnsi="Times New Roman" w:cs="Times New Roman"/>
      <w:sz w:val="24"/>
      <w:szCs w:val="24"/>
      <w:lang w:eastAsia="ar-SA"/>
    </w:rPr>
  </w:style>
  <w:style w:type="paragraph" w:customStyle="1" w:styleId="EntEmet">
    <w:name w:val="EntEmet"/>
    <w:basedOn w:val="Parastais"/>
    <w:rsid w:val="00E75886"/>
    <w:pPr>
      <w:tabs>
        <w:tab w:val="left" w:pos="284"/>
        <w:tab w:val="left" w:pos="567"/>
        <w:tab w:val="left" w:pos="851"/>
        <w:tab w:val="left" w:pos="1134"/>
        <w:tab w:val="left" w:pos="1418"/>
      </w:tabs>
      <w:spacing w:before="40"/>
    </w:pPr>
    <w:rPr>
      <w:szCs w:val="20"/>
      <w:lang w:eastAsia="fr-BE"/>
    </w:rPr>
  </w:style>
  <w:style w:type="character" w:customStyle="1" w:styleId="longtext1">
    <w:name w:val="long_text1"/>
    <w:basedOn w:val="Noklusjumarindkopasfonts"/>
    <w:rsid w:val="00EB09AC"/>
    <w:rPr>
      <w:sz w:val="20"/>
      <w:szCs w:val="20"/>
    </w:rPr>
  </w:style>
  <w:style w:type="paragraph" w:styleId="Balonteksts">
    <w:name w:val="Balloon Text"/>
    <w:basedOn w:val="Parastais"/>
    <w:link w:val="BalontekstsRakstz"/>
    <w:uiPriority w:val="99"/>
    <w:semiHidden/>
    <w:unhideWhenUsed/>
    <w:rsid w:val="00A24B5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4B59"/>
    <w:rPr>
      <w:rFonts w:ascii="Tahoma" w:eastAsia="Times New Roman" w:hAnsi="Tahoma" w:cs="Tahoma"/>
      <w:sz w:val="16"/>
      <w:szCs w:val="16"/>
    </w:rPr>
  </w:style>
  <w:style w:type="paragraph" w:customStyle="1" w:styleId="Text1">
    <w:name w:val="Text 1"/>
    <w:basedOn w:val="Parastais"/>
    <w:rsid w:val="008F797B"/>
    <w:pPr>
      <w:spacing w:before="120" w:after="120"/>
      <w:ind w:left="850"/>
      <w:jc w:val="both"/>
    </w:pPr>
    <w:rPr>
      <w:lang w:eastAsia="en-GB"/>
    </w:rPr>
  </w:style>
  <w:style w:type="paragraph" w:customStyle="1" w:styleId="ListDash">
    <w:name w:val="List Dash"/>
    <w:basedOn w:val="Parastais"/>
    <w:rsid w:val="00300718"/>
    <w:pPr>
      <w:numPr>
        <w:numId w:val="14"/>
      </w:numPr>
      <w:spacing w:before="120" w:after="120"/>
      <w:jc w:val="both"/>
    </w:pPr>
    <w:rPr>
      <w:lang w:eastAsia="de-DE"/>
    </w:rPr>
  </w:style>
  <w:style w:type="paragraph" w:customStyle="1" w:styleId="Bullet0">
    <w:name w:val="Bullet 0"/>
    <w:basedOn w:val="Parastais"/>
    <w:rsid w:val="00300718"/>
    <w:pPr>
      <w:numPr>
        <w:numId w:val="15"/>
      </w:numPr>
      <w:spacing w:before="120" w:after="120"/>
      <w:jc w:val="both"/>
    </w:pPr>
    <w:rPr>
      <w:snapToGrid w:val="0"/>
      <w:lang w:eastAsia="en-GB"/>
    </w:rPr>
  </w:style>
  <w:style w:type="paragraph" w:customStyle="1" w:styleId="ListParagraph1">
    <w:name w:val="List Paragraph1"/>
    <w:basedOn w:val="Parastais"/>
    <w:rsid w:val="00C75A34"/>
    <w:pPr>
      <w:spacing w:after="200" w:line="276" w:lineRule="auto"/>
      <w:ind w:left="720"/>
    </w:pPr>
    <w:rPr>
      <w:rFonts w:ascii="Calibri" w:eastAsiaTheme="minorHAnsi" w:hAnsi="Calibri" w:cs="Calibri"/>
      <w:sz w:val="22"/>
      <w:szCs w:val="22"/>
      <w:lang w:eastAsia="lv-LV"/>
    </w:rPr>
  </w:style>
  <w:style w:type="paragraph" w:customStyle="1" w:styleId="naiskr">
    <w:name w:val="naiskr"/>
    <w:basedOn w:val="Parastais"/>
    <w:uiPriority w:val="99"/>
    <w:rsid w:val="007E0518"/>
    <w:pPr>
      <w:spacing w:before="100" w:after="100"/>
    </w:pPr>
    <w:rPr>
      <w:szCs w:val="20"/>
      <w:lang w:val="en-GB" w:eastAsia="lv-LV"/>
    </w:rPr>
  </w:style>
  <w:style w:type="character" w:styleId="Komentraatsauce">
    <w:name w:val="annotation reference"/>
    <w:basedOn w:val="Noklusjumarindkopasfonts"/>
    <w:uiPriority w:val="99"/>
    <w:semiHidden/>
    <w:unhideWhenUsed/>
    <w:rsid w:val="005E4396"/>
    <w:rPr>
      <w:sz w:val="16"/>
      <w:szCs w:val="16"/>
    </w:rPr>
  </w:style>
  <w:style w:type="paragraph" w:styleId="Komentrateksts">
    <w:name w:val="annotation text"/>
    <w:basedOn w:val="Parastais"/>
    <w:link w:val="KomentratekstsRakstz"/>
    <w:semiHidden/>
    <w:unhideWhenUsed/>
    <w:rsid w:val="005E4396"/>
    <w:rPr>
      <w:sz w:val="20"/>
      <w:szCs w:val="20"/>
    </w:rPr>
  </w:style>
  <w:style w:type="character" w:customStyle="1" w:styleId="KomentratekstsRakstz">
    <w:name w:val="Komentāra teksts Rakstz."/>
    <w:basedOn w:val="Noklusjumarindkopasfonts"/>
    <w:link w:val="Komentrateksts"/>
    <w:semiHidden/>
    <w:rsid w:val="005E4396"/>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4396"/>
    <w:rPr>
      <w:b/>
      <w:bCs/>
    </w:rPr>
  </w:style>
  <w:style w:type="character" w:customStyle="1" w:styleId="KomentratmaRakstz">
    <w:name w:val="Komentāra tēma Rakstz."/>
    <w:basedOn w:val="KomentratekstsRakstz"/>
    <w:link w:val="Komentratma"/>
    <w:uiPriority w:val="99"/>
    <w:semiHidden/>
    <w:rsid w:val="005E4396"/>
    <w:rPr>
      <w:rFonts w:ascii="Times New Roman" w:eastAsia="Times New Roman" w:hAnsi="Times New Roman" w:cs="Times New Roman"/>
      <w:b/>
      <w:bCs/>
      <w:sz w:val="20"/>
      <w:szCs w:val="20"/>
    </w:rPr>
  </w:style>
  <w:style w:type="character" w:customStyle="1" w:styleId="hps">
    <w:name w:val="hps"/>
    <w:basedOn w:val="Noklusjumarindkopasfonts"/>
    <w:rsid w:val="00E73951"/>
  </w:style>
  <w:style w:type="paragraph" w:styleId="ParastaisWeb">
    <w:name w:val="Normal (Web)"/>
    <w:basedOn w:val="Parastais"/>
    <w:uiPriority w:val="99"/>
    <w:rsid w:val="00E73951"/>
    <w:pPr>
      <w:spacing w:before="100" w:beforeAutospacing="1" w:after="100" w:afterAutospacing="1"/>
    </w:pPr>
    <w:rPr>
      <w:lang w:eastAsia="lv-LV"/>
    </w:rPr>
  </w:style>
  <w:style w:type="paragraph" w:styleId="Pamatteksts">
    <w:name w:val="Body Text"/>
    <w:basedOn w:val="Parastais"/>
    <w:link w:val="PamattekstsRakstz"/>
    <w:unhideWhenUsed/>
    <w:rsid w:val="0051789C"/>
    <w:pPr>
      <w:spacing w:after="120"/>
    </w:pPr>
  </w:style>
  <w:style w:type="character" w:customStyle="1" w:styleId="PamattekstsRakstz">
    <w:name w:val="Pamatteksts Rakstz."/>
    <w:basedOn w:val="Noklusjumarindkopasfonts"/>
    <w:link w:val="Pamatteksts"/>
    <w:rsid w:val="0051789C"/>
    <w:rPr>
      <w:rFonts w:ascii="Times New Roman" w:eastAsia="Times New Roman" w:hAnsi="Times New Roman" w:cs="Times New Roman"/>
      <w:sz w:val="24"/>
      <w:szCs w:val="24"/>
    </w:rPr>
  </w:style>
  <w:style w:type="paragraph" w:customStyle="1" w:styleId="naispant">
    <w:name w:val="naispant"/>
    <w:basedOn w:val="Parastais"/>
    <w:rsid w:val="0051789C"/>
    <w:pPr>
      <w:spacing w:before="250" w:after="125"/>
      <w:ind w:left="313" w:firstLine="313"/>
      <w:jc w:val="both"/>
    </w:pPr>
    <w:rPr>
      <w:b/>
      <w:bCs/>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33960">
      <w:bodyDiv w:val="1"/>
      <w:marLeft w:val="0"/>
      <w:marRight w:val="0"/>
      <w:marTop w:val="0"/>
      <w:marBottom w:val="0"/>
      <w:divBdr>
        <w:top w:val="none" w:sz="0" w:space="0" w:color="auto"/>
        <w:left w:val="none" w:sz="0" w:space="0" w:color="auto"/>
        <w:bottom w:val="none" w:sz="0" w:space="0" w:color="auto"/>
        <w:right w:val="none" w:sz="0" w:space="0" w:color="auto"/>
      </w:divBdr>
    </w:div>
    <w:div w:id="78254258">
      <w:bodyDiv w:val="1"/>
      <w:marLeft w:val="0"/>
      <w:marRight w:val="0"/>
      <w:marTop w:val="0"/>
      <w:marBottom w:val="0"/>
      <w:divBdr>
        <w:top w:val="none" w:sz="0" w:space="0" w:color="auto"/>
        <w:left w:val="none" w:sz="0" w:space="0" w:color="auto"/>
        <w:bottom w:val="none" w:sz="0" w:space="0" w:color="auto"/>
        <w:right w:val="none" w:sz="0" w:space="0" w:color="auto"/>
      </w:divBdr>
    </w:div>
    <w:div w:id="147210031">
      <w:bodyDiv w:val="1"/>
      <w:marLeft w:val="0"/>
      <w:marRight w:val="0"/>
      <w:marTop w:val="0"/>
      <w:marBottom w:val="0"/>
      <w:divBdr>
        <w:top w:val="none" w:sz="0" w:space="0" w:color="auto"/>
        <w:left w:val="none" w:sz="0" w:space="0" w:color="auto"/>
        <w:bottom w:val="none" w:sz="0" w:space="0" w:color="auto"/>
        <w:right w:val="none" w:sz="0" w:space="0" w:color="auto"/>
      </w:divBdr>
    </w:div>
    <w:div w:id="334499244">
      <w:bodyDiv w:val="1"/>
      <w:marLeft w:val="0"/>
      <w:marRight w:val="0"/>
      <w:marTop w:val="0"/>
      <w:marBottom w:val="0"/>
      <w:divBdr>
        <w:top w:val="none" w:sz="0" w:space="0" w:color="auto"/>
        <w:left w:val="none" w:sz="0" w:space="0" w:color="auto"/>
        <w:bottom w:val="none" w:sz="0" w:space="0" w:color="auto"/>
        <w:right w:val="none" w:sz="0" w:space="0" w:color="auto"/>
      </w:divBdr>
    </w:div>
    <w:div w:id="617444035">
      <w:bodyDiv w:val="1"/>
      <w:marLeft w:val="0"/>
      <w:marRight w:val="0"/>
      <w:marTop w:val="0"/>
      <w:marBottom w:val="0"/>
      <w:divBdr>
        <w:top w:val="none" w:sz="0" w:space="0" w:color="auto"/>
        <w:left w:val="none" w:sz="0" w:space="0" w:color="auto"/>
        <w:bottom w:val="none" w:sz="0" w:space="0" w:color="auto"/>
        <w:right w:val="none" w:sz="0" w:space="0" w:color="auto"/>
      </w:divBdr>
    </w:div>
    <w:div w:id="1444689953">
      <w:bodyDiv w:val="1"/>
      <w:marLeft w:val="0"/>
      <w:marRight w:val="0"/>
      <w:marTop w:val="0"/>
      <w:marBottom w:val="0"/>
      <w:divBdr>
        <w:top w:val="none" w:sz="0" w:space="0" w:color="auto"/>
        <w:left w:val="none" w:sz="0" w:space="0" w:color="auto"/>
        <w:bottom w:val="none" w:sz="0" w:space="0" w:color="auto"/>
        <w:right w:val="none" w:sz="0" w:space="0" w:color="auto"/>
      </w:divBdr>
    </w:div>
    <w:div w:id="20819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D6A0E-7233-4213-8662-EE32B2B6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Pages>
  <Words>8066</Words>
  <Characters>4598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ziņojumspar Eiropas Savienības Tieslietu un iekšlietu ministru padomes 2012. gada 7.-8.jūnija sanāksmē izskatāmajiem jautājumiem</vt:lpstr>
      <vt:lpstr>Informatīvais ziņojums</vt:lpstr>
    </vt:vector>
  </TitlesOfParts>
  <Company>Tieslietu Ministrija</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ziņojumspar Eiropas Savienības Tieslietu un iekšlietu ministru padomes 2012. gada 7.-8.jūnija sanāksmē izskatāmajiem jautājumiem</dc:title>
  <dc:subject>Informatīvais ziņojums</dc:subject>
  <dc:creator>Dace.Vitola@tm.gov.lv</dc:creator>
  <dc:description>Dace Vītola
67036913, Dace.Vitola@tm.gov.lv</dc:description>
  <cp:lastModifiedBy>kv1701</cp:lastModifiedBy>
  <cp:revision>28</cp:revision>
  <cp:lastPrinted>2012-10-22T07:35:00Z</cp:lastPrinted>
  <dcterms:created xsi:type="dcterms:W3CDTF">2012-06-01T13:18:00Z</dcterms:created>
  <dcterms:modified xsi:type="dcterms:W3CDTF">2012-10-22T08:54:00Z</dcterms:modified>
</cp:coreProperties>
</file>