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347AFF" w:rsidRDefault="00AF3EFE" w:rsidP="00AF3EFE">
      <w:pPr>
        <w:pStyle w:val="Nosaukums"/>
        <w:outlineLvl w:val="0"/>
        <w:rPr>
          <w:sz w:val="28"/>
          <w:szCs w:val="28"/>
        </w:rPr>
      </w:pPr>
      <w:bookmarkStart w:id="0" w:name="OLE_LINK7"/>
      <w:bookmarkStart w:id="1" w:name="OLE_LINK8"/>
      <w:r w:rsidRPr="00347AFF">
        <w:rPr>
          <w:sz w:val="28"/>
          <w:szCs w:val="28"/>
        </w:rPr>
        <w:t>Informatīvais ziņojums</w:t>
      </w:r>
    </w:p>
    <w:p w:rsidR="00797603" w:rsidRPr="00347AFF" w:rsidRDefault="00797603" w:rsidP="00AF3EFE">
      <w:pPr>
        <w:jc w:val="center"/>
        <w:rPr>
          <w:b/>
          <w:bCs/>
          <w:sz w:val="28"/>
          <w:szCs w:val="28"/>
        </w:rPr>
      </w:pPr>
      <w:bookmarkStart w:id="2" w:name="OLE_LINK5"/>
      <w:bookmarkStart w:id="3" w:name="OLE_LINK6"/>
      <w:bookmarkStart w:id="4" w:name="OLE_LINK1"/>
      <w:bookmarkEnd w:id="0"/>
      <w:bookmarkEnd w:id="1"/>
    </w:p>
    <w:p w:rsidR="002A25A0" w:rsidRPr="00347AFF" w:rsidRDefault="002A25A0" w:rsidP="00AF3EFE">
      <w:pPr>
        <w:jc w:val="center"/>
        <w:rPr>
          <w:b/>
          <w:bCs/>
          <w:sz w:val="28"/>
          <w:szCs w:val="28"/>
        </w:rPr>
      </w:pPr>
      <w:bookmarkStart w:id="5" w:name="OLE_LINK2"/>
      <w:bookmarkStart w:id="6" w:name="OLE_LINK3"/>
      <w:r w:rsidRPr="00347AFF">
        <w:rPr>
          <w:b/>
          <w:sz w:val="28"/>
          <w:szCs w:val="28"/>
        </w:rPr>
        <w:t>par Latvijas nacionāl</w:t>
      </w:r>
      <w:r w:rsidR="00E62A96" w:rsidRPr="00347AFF">
        <w:rPr>
          <w:b/>
          <w:sz w:val="28"/>
          <w:szCs w:val="28"/>
        </w:rPr>
        <w:t>ajām</w:t>
      </w:r>
      <w:r w:rsidRPr="00347AFF">
        <w:rPr>
          <w:b/>
          <w:sz w:val="28"/>
          <w:szCs w:val="28"/>
        </w:rPr>
        <w:t xml:space="preserve"> pozīcij</w:t>
      </w:r>
      <w:r w:rsidR="00E62A96" w:rsidRPr="00347AFF">
        <w:rPr>
          <w:b/>
          <w:sz w:val="28"/>
          <w:szCs w:val="28"/>
        </w:rPr>
        <w:t>ām</w:t>
      </w:r>
      <w:r w:rsidR="00F77FC8" w:rsidRPr="00347AFF">
        <w:rPr>
          <w:b/>
          <w:sz w:val="28"/>
          <w:szCs w:val="28"/>
        </w:rPr>
        <w:t xml:space="preserve"> uz</w:t>
      </w:r>
      <w:r w:rsidRPr="00347AFF">
        <w:rPr>
          <w:b/>
          <w:sz w:val="28"/>
          <w:szCs w:val="28"/>
        </w:rPr>
        <w:t xml:space="preserve"> Eiropas Savienības Konkurētspējas </w:t>
      </w:r>
      <w:r w:rsidR="00F77FC8" w:rsidRPr="00347AFF">
        <w:rPr>
          <w:b/>
          <w:sz w:val="28"/>
          <w:szCs w:val="28"/>
        </w:rPr>
        <w:t xml:space="preserve">ministru </w:t>
      </w:r>
      <w:r w:rsidRPr="00347AFF">
        <w:rPr>
          <w:b/>
          <w:sz w:val="28"/>
          <w:szCs w:val="28"/>
        </w:rPr>
        <w:t>padomes 2011.gada 30.-31.maija sanāksmē izskatāmajiem jautājumiem</w:t>
      </w:r>
      <w:r w:rsidRPr="00347AFF">
        <w:rPr>
          <w:b/>
          <w:bCs/>
          <w:sz w:val="28"/>
          <w:szCs w:val="28"/>
        </w:rPr>
        <w:t xml:space="preserve"> </w:t>
      </w:r>
    </w:p>
    <w:bookmarkEnd w:id="5"/>
    <w:bookmarkEnd w:id="6"/>
    <w:p w:rsidR="002A25A0" w:rsidRPr="00347AFF" w:rsidRDefault="002A25A0" w:rsidP="00AF3EFE">
      <w:pPr>
        <w:jc w:val="center"/>
        <w:rPr>
          <w:b/>
          <w:bCs/>
          <w:sz w:val="28"/>
          <w:szCs w:val="28"/>
        </w:rPr>
      </w:pPr>
    </w:p>
    <w:bookmarkEnd w:id="2"/>
    <w:bookmarkEnd w:id="3"/>
    <w:bookmarkEnd w:id="4"/>
    <w:p w:rsidR="00AF3EFE" w:rsidRPr="00347AFF" w:rsidRDefault="00AF3EFE" w:rsidP="00AF3EFE">
      <w:pPr>
        <w:jc w:val="center"/>
        <w:rPr>
          <w:sz w:val="28"/>
          <w:szCs w:val="28"/>
        </w:rPr>
      </w:pPr>
    </w:p>
    <w:p w:rsidR="00E0698D" w:rsidRPr="00347AFF" w:rsidRDefault="00E0698D" w:rsidP="00E0698D">
      <w:pPr>
        <w:pStyle w:val="Virsraksts5"/>
        <w:jc w:val="both"/>
        <w:rPr>
          <w:sz w:val="28"/>
          <w:szCs w:val="28"/>
        </w:rPr>
      </w:pPr>
      <w:r w:rsidRPr="00347AFF">
        <w:rPr>
          <w:sz w:val="28"/>
          <w:szCs w:val="28"/>
        </w:rPr>
        <w:t>I Ministru padomes sanāksmes darba kārtība</w:t>
      </w:r>
    </w:p>
    <w:p w:rsidR="0038299F" w:rsidRPr="00347AFF" w:rsidRDefault="0038299F" w:rsidP="0038299F">
      <w:pPr>
        <w:jc w:val="both"/>
        <w:rPr>
          <w:sz w:val="28"/>
          <w:szCs w:val="28"/>
        </w:rPr>
      </w:pPr>
    </w:p>
    <w:p w:rsidR="000E6CE0" w:rsidRPr="00347AFF" w:rsidRDefault="002C73EA" w:rsidP="00880062">
      <w:pPr>
        <w:ind w:firstLine="720"/>
        <w:jc w:val="both"/>
        <w:rPr>
          <w:sz w:val="28"/>
          <w:szCs w:val="28"/>
        </w:rPr>
      </w:pPr>
      <w:r w:rsidRPr="00347AFF">
        <w:rPr>
          <w:sz w:val="28"/>
          <w:szCs w:val="28"/>
        </w:rPr>
        <w:t xml:space="preserve">Beļģijā, </w:t>
      </w:r>
      <w:r w:rsidR="00606F89" w:rsidRPr="00347AFF">
        <w:rPr>
          <w:sz w:val="28"/>
          <w:szCs w:val="28"/>
        </w:rPr>
        <w:t>Briselē</w:t>
      </w:r>
      <w:r w:rsidR="00AF3EFE" w:rsidRPr="00347AFF">
        <w:rPr>
          <w:sz w:val="28"/>
          <w:szCs w:val="28"/>
        </w:rPr>
        <w:t xml:space="preserve"> 201</w:t>
      </w:r>
      <w:r w:rsidR="00096204" w:rsidRPr="00347AFF">
        <w:rPr>
          <w:sz w:val="28"/>
          <w:szCs w:val="28"/>
        </w:rPr>
        <w:t>1</w:t>
      </w:r>
      <w:r w:rsidR="00AF3EFE" w:rsidRPr="00347AFF">
        <w:rPr>
          <w:sz w:val="28"/>
          <w:szCs w:val="28"/>
        </w:rPr>
        <w:t>.</w:t>
      </w:r>
      <w:r w:rsidR="006911EA" w:rsidRPr="00347AFF">
        <w:rPr>
          <w:sz w:val="28"/>
          <w:szCs w:val="28"/>
        </w:rPr>
        <w:t> </w:t>
      </w:r>
      <w:r w:rsidR="00AF3EFE" w:rsidRPr="00347AFF">
        <w:rPr>
          <w:bCs/>
          <w:sz w:val="28"/>
          <w:szCs w:val="28"/>
        </w:rPr>
        <w:t xml:space="preserve">gada </w:t>
      </w:r>
      <w:r w:rsidR="002A25A0" w:rsidRPr="00347AFF">
        <w:rPr>
          <w:bCs/>
          <w:sz w:val="28"/>
          <w:szCs w:val="28"/>
        </w:rPr>
        <w:t>30.-31.maijā</w:t>
      </w:r>
      <w:r w:rsidR="00AF3EFE" w:rsidRPr="00347AFF">
        <w:rPr>
          <w:bCs/>
          <w:sz w:val="28"/>
          <w:szCs w:val="28"/>
        </w:rPr>
        <w:t xml:space="preserve"> </w:t>
      </w:r>
      <w:r w:rsidR="00AF3EFE" w:rsidRPr="00347AFF">
        <w:rPr>
          <w:sz w:val="28"/>
          <w:szCs w:val="28"/>
        </w:rPr>
        <w:t>notiks kārtējā</w:t>
      </w:r>
      <w:r w:rsidR="002A25A0" w:rsidRPr="00347AFF">
        <w:rPr>
          <w:sz w:val="28"/>
          <w:szCs w:val="28"/>
        </w:rPr>
        <w:t xml:space="preserve"> Eiropas Savienības (turpmāk – ES) Konkurētspējas </w:t>
      </w:r>
      <w:r w:rsidR="00A07BCF" w:rsidRPr="00347AFF">
        <w:rPr>
          <w:sz w:val="28"/>
          <w:szCs w:val="28"/>
        </w:rPr>
        <w:t xml:space="preserve">ministru </w:t>
      </w:r>
      <w:r w:rsidR="002A25A0" w:rsidRPr="00347AFF">
        <w:rPr>
          <w:sz w:val="28"/>
          <w:szCs w:val="28"/>
        </w:rPr>
        <w:t xml:space="preserve">padomes </w:t>
      </w:r>
      <w:r w:rsidR="000D3C69" w:rsidRPr="00347AFF">
        <w:rPr>
          <w:sz w:val="28"/>
          <w:szCs w:val="28"/>
        </w:rPr>
        <w:t xml:space="preserve">(turpmāk – Padome) </w:t>
      </w:r>
      <w:r w:rsidR="002A25A0" w:rsidRPr="00347AFF">
        <w:rPr>
          <w:sz w:val="28"/>
          <w:szCs w:val="28"/>
        </w:rPr>
        <w:t>sanāksme</w:t>
      </w:r>
      <w:r w:rsidR="00AF3EFE" w:rsidRPr="00347AFF">
        <w:rPr>
          <w:sz w:val="28"/>
          <w:szCs w:val="28"/>
        </w:rPr>
        <w:t>, kura</w:t>
      </w:r>
      <w:r w:rsidR="007C2497" w:rsidRPr="00347AFF">
        <w:rPr>
          <w:sz w:val="28"/>
          <w:szCs w:val="28"/>
        </w:rPr>
        <w:t>s darba kārtībā</w:t>
      </w:r>
      <w:r w:rsidR="000E6CE0" w:rsidRPr="00347AFF">
        <w:rPr>
          <w:sz w:val="28"/>
          <w:szCs w:val="28"/>
        </w:rPr>
        <w:t xml:space="preserve"> ir ietverti šādi jautājumi, par kuriem ir sagatavotas Latvijas nacionālās pozīcijas:</w:t>
      </w:r>
    </w:p>
    <w:p w:rsidR="0038299F" w:rsidRPr="00347AFF" w:rsidRDefault="0038299F" w:rsidP="0038299F">
      <w:pPr>
        <w:pStyle w:val="Sarakstarindkopa"/>
        <w:numPr>
          <w:ilvl w:val="1"/>
          <w:numId w:val="24"/>
        </w:numPr>
        <w:jc w:val="both"/>
        <w:rPr>
          <w:sz w:val="28"/>
          <w:szCs w:val="28"/>
        </w:rPr>
      </w:pPr>
      <w:r w:rsidRPr="00347AFF">
        <w:rPr>
          <w:sz w:val="28"/>
          <w:szCs w:val="28"/>
        </w:rPr>
        <w:t>Priekšlikumi par vienota</w:t>
      </w:r>
      <w:r w:rsidR="00981E9C" w:rsidRPr="00347AFF">
        <w:rPr>
          <w:sz w:val="28"/>
          <w:szCs w:val="28"/>
        </w:rPr>
        <w:t>s</w:t>
      </w:r>
      <w:r w:rsidRPr="00347AFF">
        <w:rPr>
          <w:sz w:val="28"/>
          <w:szCs w:val="28"/>
        </w:rPr>
        <w:t xml:space="preserve"> patenta aizsardzīb</w:t>
      </w:r>
      <w:r w:rsidR="00981E9C" w:rsidRPr="00347AFF">
        <w:rPr>
          <w:sz w:val="28"/>
          <w:szCs w:val="28"/>
        </w:rPr>
        <w:t>as sistēmas izveidi:</w:t>
      </w:r>
      <w:r w:rsidRPr="00347AFF">
        <w:rPr>
          <w:bCs/>
          <w:sz w:val="28"/>
          <w:szCs w:val="28"/>
        </w:rPr>
        <w:t xml:space="preserve"> </w:t>
      </w:r>
    </w:p>
    <w:p w:rsidR="0038299F" w:rsidRPr="00347AFF" w:rsidRDefault="000E6CE0" w:rsidP="0038299F">
      <w:pPr>
        <w:pStyle w:val="Sarakstarindkopa"/>
        <w:numPr>
          <w:ilvl w:val="1"/>
          <w:numId w:val="25"/>
        </w:numPr>
        <w:tabs>
          <w:tab w:val="left" w:pos="1134"/>
        </w:tabs>
        <w:ind w:left="1134" w:hanging="567"/>
        <w:jc w:val="both"/>
        <w:rPr>
          <w:sz w:val="28"/>
          <w:szCs w:val="28"/>
        </w:rPr>
      </w:pPr>
      <w:r w:rsidRPr="00347AFF">
        <w:rPr>
          <w:sz w:val="28"/>
          <w:szCs w:val="28"/>
        </w:rPr>
        <w:t>P</w:t>
      </w:r>
      <w:r w:rsidR="002A25A0" w:rsidRPr="00347AFF">
        <w:rPr>
          <w:sz w:val="28"/>
          <w:szCs w:val="28"/>
        </w:rPr>
        <w:t>riekšlikums</w:t>
      </w:r>
      <w:r w:rsidR="0038299F" w:rsidRPr="00347AFF">
        <w:rPr>
          <w:sz w:val="28"/>
          <w:szCs w:val="28"/>
        </w:rPr>
        <w:t xml:space="preserve"> Eiropas Parlamenta un Padomes regulas projektam par ciešāku sadarbību saistībā ar vienotas patentu aizsardzības sistēmas izveidi; </w:t>
      </w:r>
    </w:p>
    <w:p w:rsidR="0038299F" w:rsidRPr="00347AFF" w:rsidRDefault="0038299F" w:rsidP="0038299F">
      <w:pPr>
        <w:pStyle w:val="naiskr"/>
        <w:numPr>
          <w:ilvl w:val="1"/>
          <w:numId w:val="25"/>
        </w:numPr>
        <w:spacing w:before="0" w:after="0"/>
        <w:ind w:left="1134" w:hanging="567"/>
        <w:jc w:val="both"/>
        <w:rPr>
          <w:sz w:val="28"/>
          <w:szCs w:val="28"/>
          <w:lang w:val="lv-LV"/>
        </w:rPr>
      </w:pPr>
      <w:r w:rsidRPr="00347AFF">
        <w:rPr>
          <w:sz w:val="28"/>
          <w:szCs w:val="28"/>
          <w:lang w:val="lv-LV"/>
        </w:rPr>
        <w:t xml:space="preserve">Priekšlikums </w:t>
      </w:r>
      <w:r w:rsidR="0027135D" w:rsidRPr="00347AFF">
        <w:rPr>
          <w:sz w:val="28"/>
          <w:szCs w:val="28"/>
          <w:lang w:val="lv-LV"/>
        </w:rPr>
        <w:t>Padomes regulas projektam</w:t>
      </w:r>
      <w:r w:rsidRPr="00347AFF">
        <w:rPr>
          <w:sz w:val="28"/>
          <w:szCs w:val="28"/>
          <w:lang w:val="lv-LV"/>
        </w:rPr>
        <w:t xml:space="preserve"> par ciešāku sadarbību saistībā ar vienotas patentu aizsardzības sistēmas izveidi attiecībā un piemērojamo </w:t>
      </w:r>
      <w:r w:rsidRPr="00347AFF">
        <w:rPr>
          <w:bCs/>
          <w:sz w:val="28"/>
          <w:szCs w:val="28"/>
          <w:lang w:val="lv-LV"/>
        </w:rPr>
        <w:t>tulkošanas kārtību.</w:t>
      </w:r>
    </w:p>
    <w:p w:rsidR="000E6CE0" w:rsidRPr="00347AFF" w:rsidRDefault="000E6CE0" w:rsidP="0038299F">
      <w:pPr>
        <w:pStyle w:val="Sarakstarindkopa"/>
        <w:numPr>
          <w:ilvl w:val="0"/>
          <w:numId w:val="25"/>
        </w:numPr>
        <w:ind w:left="426" w:hanging="426"/>
        <w:jc w:val="both"/>
        <w:rPr>
          <w:sz w:val="28"/>
          <w:szCs w:val="28"/>
        </w:rPr>
      </w:pPr>
      <w:r w:rsidRPr="00347AFF">
        <w:rPr>
          <w:sz w:val="28"/>
          <w:szCs w:val="28"/>
        </w:rPr>
        <w:t>Priekšlikums Padomes regulai par Eiropas privātās sabiedrības</w:t>
      </w:r>
      <w:r w:rsidRPr="00347AFF">
        <w:rPr>
          <w:i/>
          <w:sz w:val="28"/>
          <w:szCs w:val="28"/>
        </w:rPr>
        <w:t xml:space="preserve"> </w:t>
      </w:r>
      <w:r w:rsidRPr="00347AFF">
        <w:rPr>
          <w:sz w:val="28"/>
          <w:szCs w:val="28"/>
        </w:rPr>
        <w:t>tiesisko regulējumu.</w:t>
      </w:r>
    </w:p>
    <w:p w:rsidR="002A25A0" w:rsidRPr="00347AFF" w:rsidRDefault="002A25A0" w:rsidP="000E6CE0">
      <w:pPr>
        <w:pStyle w:val="Sarakstarindkopa"/>
        <w:ind w:left="846"/>
        <w:jc w:val="both"/>
        <w:rPr>
          <w:sz w:val="28"/>
          <w:szCs w:val="28"/>
        </w:rPr>
      </w:pPr>
    </w:p>
    <w:p w:rsidR="002A25A0" w:rsidRPr="00347AFF" w:rsidRDefault="00996994" w:rsidP="0038299F">
      <w:pPr>
        <w:jc w:val="both"/>
        <w:rPr>
          <w:sz w:val="28"/>
          <w:szCs w:val="28"/>
        </w:rPr>
      </w:pPr>
      <w:r w:rsidRPr="00347AFF">
        <w:rPr>
          <w:sz w:val="28"/>
          <w:szCs w:val="28"/>
        </w:rPr>
        <w:t>Vienlaikus Padomes sanāksmē</w:t>
      </w:r>
      <w:r w:rsidR="00A00EB5" w:rsidRPr="00347AFF">
        <w:rPr>
          <w:sz w:val="28"/>
          <w:szCs w:val="28"/>
        </w:rPr>
        <w:t xml:space="preserve"> tiek </w:t>
      </w:r>
      <w:r w:rsidRPr="00347AFF">
        <w:rPr>
          <w:sz w:val="28"/>
          <w:szCs w:val="28"/>
        </w:rPr>
        <w:t>iz</w:t>
      </w:r>
      <w:r w:rsidR="00A00EB5" w:rsidRPr="00347AFF">
        <w:rPr>
          <w:sz w:val="28"/>
          <w:szCs w:val="28"/>
        </w:rPr>
        <w:t>skatī</w:t>
      </w:r>
      <w:r w:rsidRPr="00347AFF">
        <w:rPr>
          <w:sz w:val="28"/>
          <w:szCs w:val="28"/>
        </w:rPr>
        <w:t xml:space="preserve">ti šādi jautājumi: </w:t>
      </w:r>
      <w:r w:rsidR="00A00EB5" w:rsidRPr="00347AFF">
        <w:rPr>
          <w:sz w:val="28"/>
          <w:szCs w:val="28"/>
        </w:rPr>
        <w:t xml:space="preserve"> </w:t>
      </w:r>
    </w:p>
    <w:p w:rsidR="002A25A0" w:rsidRPr="00347AFF" w:rsidRDefault="00DF6A33" w:rsidP="00E62A96">
      <w:pPr>
        <w:ind w:left="851" w:hanging="425"/>
        <w:jc w:val="both"/>
        <w:rPr>
          <w:sz w:val="28"/>
          <w:szCs w:val="28"/>
        </w:rPr>
      </w:pPr>
      <w:r w:rsidRPr="00347AFF">
        <w:rPr>
          <w:sz w:val="28"/>
          <w:szCs w:val="28"/>
        </w:rPr>
        <w:t>1</w:t>
      </w:r>
      <w:r w:rsidR="002A25A0" w:rsidRPr="00347AFF">
        <w:rPr>
          <w:sz w:val="28"/>
          <w:szCs w:val="28"/>
        </w:rPr>
        <w:t>.</w:t>
      </w:r>
      <w:r w:rsidR="002A25A0" w:rsidRPr="00347AFF">
        <w:rPr>
          <w:sz w:val="28"/>
          <w:szCs w:val="28"/>
        </w:rPr>
        <w:tab/>
        <w:t>Priekšlikums Eiropas Parlamenta un Padomes Direktīvai, ar ko groza Direktīvas 89/666/EEK, 2005/56/EK un 2009/101/EK par centrālo reģistru, komercreģistru un uzņēmumu reģistru savstarpējo savienojamību;</w:t>
      </w:r>
    </w:p>
    <w:p w:rsidR="002A25A0" w:rsidRPr="00347AFF" w:rsidRDefault="00DF6A33" w:rsidP="00E62A96">
      <w:pPr>
        <w:ind w:left="851" w:hanging="425"/>
        <w:jc w:val="both"/>
        <w:rPr>
          <w:strike/>
          <w:sz w:val="28"/>
          <w:szCs w:val="28"/>
        </w:rPr>
      </w:pPr>
      <w:r w:rsidRPr="00347AFF">
        <w:rPr>
          <w:sz w:val="28"/>
          <w:szCs w:val="28"/>
        </w:rPr>
        <w:t>2</w:t>
      </w:r>
      <w:r w:rsidR="002A25A0" w:rsidRPr="00347AFF">
        <w:rPr>
          <w:sz w:val="28"/>
          <w:szCs w:val="28"/>
        </w:rPr>
        <w:t>.</w:t>
      </w:r>
      <w:r w:rsidR="002A25A0" w:rsidRPr="00347AFF">
        <w:rPr>
          <w:sz w:val="28"/>
          <w:szCs w:val="28"/>
        </w:rPr>
        <w:tab/>
        <w:t xml:space="preserve">Vienotas patentu tiesvedības sistēmas izveide. </w:t>
      </w:r>
    </w:p>
    <w:p w:rsidR="00A00EB5" w:rsidRPr="00347AFF" w:rsidRDefault="00A00EB5" w:rsidP="00A00EB5">
      <w:pPr>
        <w:pStyle w:val="Sarakstarindkopa"/>
        <w:ind w:left="0" w:firstLine="349"/>
        <w:jc w:val="both"/>
        <w:rPr>
          <w:sz w:val="28"/>
          <w:szCs w:val="28"/>
        </w:rPr>
      </w:pPr>
    </w:p>
    <w:p w:rsidR="00AF3EFE" w:rsidRPr="00347AFF" w:rsidRDefault="00AF3EFE" w:rsidP="00AF3EFE">
      <w:pPr>
        <w:pStyle w:val="Pamatteksts2"/>
        <w:jc w:val="both"/>
        <w:rPr>
          <w:b/>
          <w:bCs/>
          <w:sz w:val="28"/>
          <w:szCs w:val="28"/>
          <w:u w:val="single"/>
        </w:rPr>
      </w:pPr>
      <w:r w:rsidRPr="00347AFF">
        <w:rPr>
          <w:b/>
          <w:bCs/>
          <w:sz w:val="28"/>
          <w:szCs w:val="28"/>
          <w:u w:val="single"/>
        </w:rPr>
        <w:t>II Latvijas nacionālā</w:t>
      </w:r>
      <w:r w:rsidR="00DF6A33" w:rsidRPr="00347AFF">
        <w:rPr>
          <w:b/>
          <w:bCs/>
          <w:sz w:val="28"/>
          <w:szCs w:val="28"/>
          <w:u w:val="single"/>
        </w:rPr>
        <w:t>s</w:t>
      </w:r>
      <w:r w:rsidRPr="00347AFF">
        <w:rPr>
          <w:b/>
          <w:bCs/>
          <w:sz w:val="28"/>
          <w:szCs w:val="28"/>
          <w:u w:val="single"/>
        </w:rPr>
        <w:t xml:space="preserve"> pozīcija</w:t>
      </w:r>
      <w:r w:rsidR="00DF6A33" w:rsidRPr="00347AFF">
        <w:rPr>
          <w:b/>
          <w:bCs/>
          <w:sz w:val="28"/>
          <w:szCs w:val="28"/>
          <w:u w:val="single"/>
        </w:rPr>
        <w:t>s</w:t>
      </w:r>
    </w:p>
    <w:p w:rsidR="006D7005" w:rsidRPr="00347AFF" w:rsidRDefault="006D7005" w:rsidP="00AF3EFE">
      <w:pPr>
        <w:pStyle w:val="Pamatteksts2"/>
        <w:jc w:val="both"/>
        <w:rPr>
          <w:b/>
          <w:bCs/>
          <w:sz w:val="28"/>
          <w:szCs w:val="28"/>
          <w:u w:val="single"/>
        </w:rPr>
      </w:pPr>
    </w:p>
    <w:p w:rsidR="0038299F" w:rsidRPr="00347AFF" w:rsidRDefault="0038299F" w:rsidP="0038299F">
      <w:pPr>
        <w:pStyle w:val="naiskr"/>
        <w:numPr>
          <w:ilvl w:val="0"/>
          <w:numId w:val="16"/>
        </w:numPr>
        <w:spacing w:before="0" w:after="0"/>
        <w:jc w:val="both"/>
        <w:rPr>
          <w:b/>
          <w:sz w:val="28"/>
          <w:szCs w:val="28"/>
          <w:lang w:val="lv-LV"/>
        </w:rPr>
      </w:pPr>
      <w:r w:rsidRPr="00347AFF">
        <w:rPr>
          <w:b/>
          <w:sz w:val="28"/>
          <w:szCs w:val="28"/>
          <w:lang w:val="lv-LV"/>
        </w:rPr>
        <w:t xml:space="preserve">Priekšlikumi Eiropas Parlamenta un Padomes regulas projektam par ciešāku sadarbību saistībā ar vienotas patentu aizsardzības sistēmas izveidi un </w:t>
      </w:r>
      <w:r w:rsidR="00D862F0" w:rsidRPr="00347AFF">
        <w:rPr>
          <w:b/>
          <w:sz w:val="28"/>
          <w:szCs w:val="28"/>
          <w:lang w:val="lv-LV"/>
        </w:rPr>
        <w:t xml:space="preserve">priekšlikumu </w:t>
      </w:r>
      <w:r w:rsidRPr="00347AFF">
        <w:rPr>
          <w:b/>
          <w:sz w:val="28"/>
          <w:szCs w:val="28"/>
          <w:lang w:val="lv-LV"/>
        </w:rPr>
        <w:t xml:space="preserve">Padomes regulas projektam par ciešāku sadarbību saistībā ar vienotas patentu aizsardzības sistēmas izveidi attiecībā un piemērojamo </w:t>
      </w:r>
      <w:r w:rsidRPr="00347AFF">
        <w:rPr>
          <w:b/>
          <w:bCs/>
          <w:sz w:val="28"/>
          <w:szCs w:val="28"/>
          <w:lang w:val="lv-LV"/>
        </w:rPr>
        <w:t>tulkošanas kārtību</w:t>
      </w:r>
    </w:p>
    <w:p w:rsidR="0038299F" w:rsidRPr="00347AFF" w:rsidRDefault="008477DB" w:rsidP="00880062">
      <w:pPr>
        <w:ind w:firstLine="720"/>
        <w:jc w:val="both"/>
        <w:rPr>
          <w:sz w:val="28"/>
          <w:szCs w:val="28"/>
        </w:rPr>
      </w:pPr>
      <w:r w:rsidRPr="00347AFF">
        <w:rPr>
          <w:sz w:val="28"/>
          <w:szCs w:val="28"/>
        </w:rPr>
        <w:t>Padomes sanāksmes ietvaros dalībvalstu ministri tiks informēti par priekšlikum</w:t>
      </w:r>
      <w:r w:rsidR="0038299F" w:rsidRPr="00347AFF">
        <w:rPr>
          <w:sz w:val="28"/>
          <w:szCs w:val="28"/>
        </w:rPr>
        <w:t>iem,</w:t>
      </w:r>
      <w:r w:rsidRPr="00347AFF">
        <w:rPr>
          <w:sz w:val="28"/>
          <w:szCs w:val="28"/>
        </w:rPr>
        <w:t xml:space="preserve"> kā arī tiks aicināti apstiprināt vispārējo pieeju attiecībā </w:t>
      </w:r>
      <w:r w:rsidR="0038299F" w:rsidRPr="00347AFF">
        <w:rPr>
          <w:sz w:val="28"/>
          <w:szCs w:val="28"/>
        </w:rPr>
        <w:t>uz:</w:t>
      </w:r>
    </w:p>
    <w:p w:rsidR="0038299F" w:rsidRPr="00347AFF" w:rsidRDefault="0038299F" w:rsidP="0038299F">
      <w:pPr>
        <w:pStyle w:val="Sarakstarindkopa"/>
        <w:numPr>
          <w:ilvl w:val="0"/>
          <w:numId w:val="26"/>
        </w:numPr>
        <w:tabs>
          <w:tab w:val="left" w:pos="1134"/>
        </w:tabs>
        <w:jc w:val="both"/>
        <w:rPr>
          <w:sz w:val="28"/>
          <w:szCs w:val="28"/>
        </w:rPr>
      </w:pPr>
      <w:r w:rsidRPr="00347AFF">
        <w:rPr>
          <w:sz w:val="28"/>
          <w:szCs w:val="28"/>
        </w:rPr>
        <w:t xml:space="preserve">Priekšlikums Eiropas Parlamenta un Padomes regulas projektam par ciešāku sadarbību saistībā ar vienotas patentu aizsardzības sistēmas izveidi; </w:t>
      </w:r>
    </w:p>
    <w:p w:rsidR="0038299F" w:rsidRPr="00347AFF" w:rsidRDefault="0038299F" w:rsidP="0038299F">
      <w:pPr>
        <w:pStyle w:val="naiskr"/>
        <w:numPr>
          <w:ilvl w:val="0"/>
          <w:numId w:val="26"/>
        </w:numPr>
        <w:spacing w:before="0" w:after="0"/>
        <w:jc w:val="both"/>
        <w:rPr>
          <w:sz w:val="28"/>
          <w:szCs w:val="28"/>
          <w:lang w:val="lv-LV"/>
        </w:rPr>
      </w:pPr>
      <w:r w:rsidRPr="00347AFF">
        <w:rPr>
          <w:sz w:val="28"/>
          <w:szCs w:val="28"/>
          <w:lang w:val="lv-LV"/>
        </w:rPr>
        <w:t>Priekšlikums Padomes regulas projekt</w:t>
      </w:r>
      <w:r w:rsidR="0027135D" w:rsidRPr="00347AFF">
        <w:rPr>
          <w:sz w:val="28"/>
          <w:szCs w:val="28"/>
          <w:lang w:val="lv-LV"/>
        </w:rPr>
        <w:t>am</w:t>
      </w:r>
      <w:r w:rsidRPr="00347AFF">
        <w:rPr>
          <w:sz w:val="28"/>
          <w:szCs w:val="28"/>
          <w:lang w:val="lv-LV"/>
        </w:rPr>
        <w:t xml:space="preserve"> par ciešāku sadarbību saistībā ar vienotas patentu aizsardzības sistēmas izveidi attiecībā un piemērojamo </w:t>
      </w:r>
      <w:r w:rsidRPr="00347AFF">
        <w:rPr>
          <w:bCs/>
          <w:sz w:val="28"/>
          <w:szCs w:val="28"/>
          <w:lang w:val="lv-LV"/>
        </w:rPr>
        <w:t>tulkošanas kārtību.</w:t>
      </w:r>
    </w:p>
    <w:p w:rsidR="0038299F" w:rsidRPr="00347AFF" w:rsidRDefault="0038299F" w:rsidP="0038299F">
      <w:pPr>
        <w:pStyle w:val="naiskr"/>
        <w:spacing w:before="0" w:after="0"/>
        <w:ind w:left="720"/>
        <w:jc w:val="both"/>
        <w:rPr>
          <w:sz w:val="28"/>
          <w:szCs w:val="28"/>
          <w:lang w:val="lv-LV"/>
        </w:rPr>
      </w:pPr>
    </w:p>
    <w:p w:rsidR="000E6CE0" w:rsidRPr="00347AFF" w:rsidRDefault="000E6CE0" w:rsidP="00880062">
      <w:pPr>
        <w:ind w:firstLine="709"/>
        <w:jc w:val="both"/>
        <w:rPr>
          <w:sz w:val="28"/>
          <w:szCs w:val="28"/>
        </w:rPr>
      </w:pPr>
      <w:r w:rsidRPr="00347AFF">
        <w:rPr>
          <w:sz w:val="28"/>
          <w:szCs w:val="28"/>
        </w:rPr>
        <w:t>Ņemot vērā to, ka Beļģijas prezidentūras laikā netika panākts kompromiss dalībvalstu starpā attiecībā uz tulkošanas kārtību un vienota spēka Eiropas patenta izveidi</w:t>
      </w:r>
      <w:r w:rsidR="0038299F" w:rsidRPr="00347AFF">
        <w:rPr>
          <w:sz w:val="28"/>
          <w:szCs w:val="28"/>
        </w:rPr>
        <w:t>,</w:t>
      </w:r>
      <w:r w:rsidR="00A07BCF" w:rsidRPr="00347AFF">
        <w:rPr>
          <w:sz w:val="28"/>
          <w:szCs w:val="28"/>
        </w:rPr>
        <w:t xml:space="preserve"> 2011.</w:t>
      </w:r>
      <w:r w:rsidRPr="00347AFF">
        <w:rPr>
          <w:sz w:val="28"/>
          <w:szCs w:val="28"/>
        </w:rPr>
        <w:t>gada 10. martā  tika pieņemts lēmums 2011/167/ES, ar ko atļauj ciešāku sadarbību attiecībā uz vienotas patentu aizsardzības  izveidi. Ciešākas sadarbības mehānismā ir iesaistījušās 25 ES dalībvalstis, tai skaitā Latvija. Pamatojoties uz minēto, Eiropas Komisija 2011. gada 13. aprīlī nāca klājā ar šādiem priekšlikumiem:</w:t>
      </w:r>
    </w:p>
    <w:p w:rsidR="000E6CE0" w:rsidRPr="00347AFF" w:rsidRDefault="000E6CE0" w:rsidP="000E6CE0">
      <w:pPr>
        <w:pStyle w:val="naiskr"/>
        <w:numPr>
          <w:ilvl w:val="0"/>
          <w:numId w:val="21"/>
        </w:numPr>
        <w:spacing w:before="0" w:after="0"/>
        <w:ind w:left="709"/>
        <w:jc w:val="both"/>
        <w:rPr>
          <w:sz w:val="28"/>
          <w:szCs w:val="28"/>
          <w:lang w:val="lv-LV"/>
        </w:rPr>
      </w:pPr>
      <w:r w:rsidRPr="00347AFF">
        <w:rPr>
          <w:sz w:val="28"/>
          <w:szCs w:val="28"/>
          <w:lang w:val="lv-LV"/>
        </w:rPr>
        <w:t>priekšlikumu Eiropas Parlamenta un Padomes regulai par ciešāku sadarbību saistībā ar vienotas patentu aizsardzības izveidi;</w:t>
      </w:r>
    </w:p>
    <w:p w:rsidR="000E6CE0" w:rsidRPr="00347AFF" w:rsidRDefault="000E6CE0" w:rsidP="000E6CE0">
      <w:pPr>
        <w:pStyle w:val="naiskr"/>
        <w:numPr>
          <w:ilvl w:val="0"/>
          <w:numId w:val="21"/>
        </w:numPr>
        <w:spacing w:before="0" w:after="0"/>
        <w:ind w:left="709"/>
        <w:jc w:val="both"/>
        <w:rPr>
          <w:sz w:val="28"/>
          <w:szCs w:val="28"/>
          <w:lang w:val="lv-LV"/>
        </w:rPr>
      </w:pPr>
      <w:r w:rsidRPr="00347AFF">
        <w:rPr>
          <w:sz w:val="28"/>
          <w:szCs w:val="28"/>
          <w:lang w:val="lv-LV"/>
        </w:rPr>
        <w:t xml:space="preserve">priekšlikumu Eiropas Parlamenta un Padomes regulai par ciešāku sadarbību saistībā ar vienotas patentu aizsardzības izveidi attiecībā uz piemērojamo </w:t>
      </w:r>
      <w:r w:rsidRPr="00347AFF">
        <w:rPr>
          <w:bCs/>
          <w:sz w:val="28"/>
          <w:szCs w:val="28"/>
          <w:lang w:val="lv-LV"/>
        </w:rPr>
        <w:t>tulkošanas kārtību</w:t>
      </w:r>
      <w:r w:rsidRPr="00347AFF">
        <w:rPr>
          <w:sz w:val="28"/>
          <w:szCs w:val="28"/>
          <w:lang w:val="lv-LV"/>
        </w:rPr>
        <w:t>.</w:t>
      </w:r>
    </w:p>
    <w:p w:rsidR="009776EA" w:rsidRPr="00347AFF" w:rsidRDefault="009776EA" w:rsidP="009776EA">
      <w:pPr>
        <w:shd w:val="clear" w:color="auto" w:fill="FFFFFF"/>
        <w:jc w:val="both"/>
        <w:rPr>
          <w:sz w:val="28"/>
          <w:szCs w:val="28"/>
        </w:rPr>
      </w:pPr>
    </w:p>
    <w:p w:rsidR="0038299F" w:rsidRPr="00347AFF" w:rsidRDefault="0038299F" w:rsidP="00880062">
      <w:pPr>
        <w:ind w:firstLine="709"/>
        <w:jc w:val="both"/>
        <w:rPr>
          <w:sz w:val="28"/>
          <w:szCs w:val="28"/>
        </w:rPr>
      </w:pPr>
      <w:r w:rsidRPr="00347AFF">
        <w:rPr>
          <w:bCs/>
          <w:sz w:val="28"/>
          <w:szCs w:val="28"/>
        </w:rPr>
        <w:t>Latvija pozitīvi vērtē</w:t>
      </w:r>
      <w:r w:rsidRPr="00347AFF">
        <w:rPr>
          <w:sz w:val="28"/>
          <w:szCs w:val="28"/>
        </w:rPr>
        <w:t xml:space="preserve"> </w:t>
      </w:r>
      <w:r w:rsidRPr="00347AFF">
        <w:rPr>
          <w:bCs/>
          <w:sz w:val="28"/>
          <w:szCs w:val="28"/>
        </w:rPr>
        <w:t xml:space="preserve">vienotas patentu aizsardzības sistēmas izveidi, uzsverot tās nozīmīgumu </w:t>
      </w:r>
      <w:r w:rsidRPr="00347AFF">
        <w:rPr>
          <w:sz w:val="28"/>
          <w:szCs w:val="28"/>
        </w:rPr>
        <w:t>un uzskata, ka patentu sistēmas pilnveidošana ES līmenī ir nepieciešama un veicinās uzņēmumu konkurētspēju. Vienota spēka Eiropas patents ievērojami samazinās ES reģistrējamo patentu izmaksas, tādējādi kļūstot pieejamāks uzņēmumiem, jo īpaši maziem un vidējiem, sniedzot ieguldījumu šo uzņēmumu inovācijas potenciāla palielināšanā. Turklāt vienota spēka vienota spēka Eiropas patenta izveide nodrošinātu ES – 2020 stratēģijā izvirzītā mērķa par efektīvas patentu sistēmas izveidi sasniegšanu.</w:t>
      </w:r>
    </w:p>
    <w:p w:rsidR="0038299F" w:rsidRPr="00347AFF" w:rsidRDefault="0038299F" w:rsidP="0038299F">
      <w:pPr>
        <w:jc w:val="both"/>
        <w:rPr>
          <w:b/>
          <w:sz w:val="28"/>
          <w:szCs w:val="28"/>
        </w:rPr>
      </w:pPr>
    </w:p>
    <w:p w:rsidR="00E62A96" w:rsidRPr="00347AFF" w:rsidRDefault="00DF6A33" w:rsidP="00E62A96">
      <w:pPr>
        <w:pStyle w:val="Sarakstarindkopa"/>
        <w:numPr>
          <w:ilvl w:val="0"/>
          <w:numId w:val="16"/>
        </w:numPr>
        <w:ind w:left="709" w:hanging="283"/>
        <w:jc w:val="both"/>
        <w:rPr>
          <w:sz w:val="28"/>
          <w:szCs w:val="28"/>
        </w:rPr>
      </w:pPr>
      <w:r w:rsidRPr="00347AFF">
        <w:rPr>
          <w:b/>
          <w:sz w:val="28"/>
          <w:szCs w:val="28"/>
        </w:rPr>
        <w:t>Priekšlikums Padomes regulai par Eiropas privātā uzņēmuma statūtiem</w:t>
      </w:r>
      <w:r w:rsidR="00A07BCF" w:rsidRPr="00347AFF">
        <w:rPr>
          <w:b/>
          <w:sz w:val="28"/>
          <w:szCs w:val="28"/>
        </w:rPr>
        <w:t xml:space="preserve"> (turpmāk – regulas projekts)</w:t>
      </w:r>
      <w:r w:rsidRPr="00347AFF">
        <w:rPr>
          <w:b/>
          <w:sz w:val="28"/>
          <w:szCs w:val="28"/>
        </w:rPr>
        <w:t xml:space="preserve"> </w:t>
      </w:r>
    </w:p>
    <w:p w:rsidR="00A07BCF" w:rsidRPr="00347AFF" w:rsidRDefault="00A07BCF" w:rsidP="0038299F">
      <w:pPr>
        <w:pStyle w:val="Sarakstarindkopa"/>
        <w:ind w:left="0"/>
        <w:jc w:val="both"/>
        <w:rPr>
          <w:sz w:val="28"/>
          <w:szCs w:val="28"/>
        </w:rPr>
      </w:pPr>
    </w:p>
    <w:p w:rsidR="00DF6A33" w:rsidRPr="00347AFF" w:rsidRDefault="00880062" w:rsidP="00A07BCF">
      <w:pPr>
        <w:pStyle w:val="Pamatteksts"/>
        <w:tabs>
          <w:tab w:val="left" w:pos="840"/>
        </w:tabs>
        <w:spacing w:after="0"/>
        <w:ind w:right="51"/>
        <w:jc w:val="both"/>
        <w:rPr>
          <w:sz w:val="28"/>
          <w:szCs w:val="28"/>
        </w:rPr>
      </w:pPr>
      <w:r w:rsidRPr="00347AFF">
        <w:rPr>
          <w:sz w:val="28"/>
          <w:szCs w:val="28"/>
        </w:rPr>
        <w:tab/>
        <w:t xml:space="preserve">Padomes ietvaros ministri tiks aicināti panākt politisko vienošanos par regulas projekta tekstu, lai </w:t>
      </w:r>
      <w:r w:rsidRPr="00347AFF">
        <w:rPr>
          <w:sz w:val="28"/>
          <w:szCs w:val="28"/>
          <w:lang w:eastAsia="lv-LV"/>
        </w:rPr>
        <w:t xml:space="preserve">noslēgtu darbu pie SPE regulas projekta izstrādes. </w:t>
      </w:r>
      <w:r w:rsidR="00A07BCF" w:rsidRPr="00347AFF">
        <w:rPr>
          <w:sz w:val="28"/>
          <w:szCs w:val="28"/>
        </w:rPr>
        <w:t xml:space="preserve">Eiropas privātās sabiedrības (turpmāk – </w:t>
      </w:r>
      <w:r w:rsidR="00A07BCF" w:rsidRPr="00347AFF">
        <w:rPr>
          <w:sz w:val="28"/>
          <w:szCs w:val="28"/>
          <w:lang w:eastAsia="lv-LV"/>
        </w:rPr>
        <w:t xml:space="preserve">SPE) regulas projekts uzsver nepieciešamību jaunas Eiropas līmeņa sabiedrības juridiskās formas izveidei, lai sekmētu mazo un vidējo komersantu konkurētspēju, atvieglojot to izveidošanas procesu un darbību vienotajā Kopienas tirgū. Regulas projekts ļautu nodibināt SPE, ievērojot vienādus, vienkāršus, elastīgus komerctiesību noteikumus visās dalībvalstīs. </w:t>
      </w:r>
    </w:p>
    <w:p w:rsidR="009776EA" w:rsidRPr="00347AFF" w:rsidRDefault="009776EA" w:rsidP="00880062">
      <w:pPr>
        <w:shd w:val="clear" w:color="auto" w:fill="FFFFFF"/>
        <w:ind w:firstLine="720"/>
        <w:jc w:val="both"/>
        <w:rPr>
          <w:sz w:val="28"/>
          <w:szCs w:val="28"/>
        </w:rPr>
      </w:pPr>
      <w:r w:rsidRPr="00347AFF">
        <w:rPr>
          <w:sz w:val="28"/>
          <w:szCs w:val="28"/>
        </w:rPr>
        <w:t>Latvija kopumā atbalsta nepieciešamību panākt politisk</w:t>
      </w:r>
      <w:r w:rsidR="0038299F" w:rsidRPr="00347AFF">
        <w:rPr>
          <w:sz w:val="28"/>
          <w:szCs w:val="28"/>
        </w:rPr>
        <w:t>o</w:t>
      </w:r>
      <w:r w:rsidRPr="00347AFF">
        <w:rPr>
          <w:sz w:val="28"/>
          <w:szCs w:val="28"/>
        </w:rPr>
        <w:t xml:space="preserve"> vienošanos par regulas projekta tekstu, lai noslēgtu darbu pie SPE regulas projekta izstrādes. Ņemot vērā ieilgušās sarunas, Latvija varētu atbalstīt pašreizējo kompromisa priekšlikumu, ja tas ir pieņemams pārējām dalībvalstīm. Tomēr Latvija vēlas norādīt uz to, ka vairums būtiskos jautājumos nav veikta harmonizācija, bet tiek saglabāta atsauce uz dalībvalstu tiesību aktiem, kā rezultātā rodas tiesiskā nenoteiktība un saglabāta esošā sistēma, kas nesasniedz sākotnējos SPE regulas projekta noteiktos mērķus – sekmēt mazo un vidējo komersantu konkurētspēju, atvieglojot to izveidošanas procesu un darbību vienotajā tirgū.</w:t>
      </w:r>
    </w:p>
    <w:p w:rsidR="000E6CE0" w:rsidRPr="00347AFF" w:rsidRDefault="000E6CE0" w:rsidP="00DF6A33">
      <w:pPr>
        <w:pStyle w:val="Pamatteksts"/>
        <w:tabs>
          <w:tab w:val="left" w:pos="840"/>
        </w:tabs>
        <w:ind w:right="51"/>
        <w:jc w:val="both"/>
        <w:rPr>
          <w:sz w:val="28"/>
          <w:szCs w:val="28"/>
          <w:lang w:eastAsia="lv-LV"/>
        </w:rPr>
      </w:pPr>
    </w:p>
    <w:p w:rsidR="00996994" w:rsidRPr="00347AFF" w:rsidRDefault="00996994" w:rsidP="000E6CE0">
      <w:pPr>
        <w:pStyle w:val="Pamatteksts2"/>
        <w:jc w:val="both"/>
        <w:rPr>
          <w:b/>
          <w:bCs/>
          <w:sz w:val="28"/>
          <w:szCs w:val="28"/>
          <w:u w:val="single"/>
        </w:rPr>
      </w:pPr>
      <w:r w:rsidRPr="00347AFF">
        <w:rPr>
          <w:b/>
          <w:bCs/>
          <w:sz w:val="28"/>
          <w:szCs w:val="28"/>
          <w:u w:val="single"/>
        </w:rPr>
        <w:lastRenderedPageBreak/>
        <w:t xml:space="preserve">III Citi jautājumi </w:t>
      </w:r>
    </w:p>
    <w:p w:rsidR="00C655A0" w:rsidRPr="00347AFF" w:rsidRDefault="00C7575F" w:rsidP="000E6CE0">
      <w:pPr>
        <w:pStyle w:val="Sarakstarindkopa"/>
        <w:ind w:left="644"/>
        <w:jc w:val="both"/>
        <w:rPr>
          <w:sz w:val="28"/>
          <w:szCs w:val="28"/>
        </w:rPr>
      </w:pPr>
      <w:r w:rsidRPr="00347AFF">
        <w:rPr>
          <w:sz w:val="28"/>
          <w:szCs w:val="28"/>
        </w:rPr>
        <w:t xml:space="preserve">       </w:t>
      </w:r>
    </w:p>
    <w:p w:rsidR="00C655A0" w:rsidRPr="00347AFF" w:rsidRDefault="002A25A0" w:rsidP="000E6CE0">
      <w:pPr>
        <w:pStyle w:val="Pamatteksts"/>
        <w:numPr>
          <w:ilvl w:val="0"/>
          <w:numId w:val="19"/>
        </w:numPr>
        <w:tabs>
          <w:tab w:val="left" w:pos="840"/>
        </w:tabs>
        <w:spacing w:after="0"/>
        <w:ind w:right="51"/>
        <w:jc w:val="both"/>
        <w:rPr>
          <w:b/>
          <w:bCs/>
          <w:color w:val="000000"/>
          <w:sz w:val="28"/>
          <w:szCs w:val="28"/>
        </w:rPr>
      </w:pPr>
      <w:r w:rsidRPr="00347AFF">
        <w:rPr>
          <w:b/>
          <w:sz w:val="28"/>
          <w:szCs w:val="28"/>
        </w:rPr>
        <w:t>Priekšlikums Eiropas Parlamenta un Padomes Direktīvai, ar ko groza Direktīvas 89/666/EEK, 2005/56/EK un 2009/101/EK par centrālo reģistru, komercreģistru un uzņēmumu reģistru savstarpējo savienojamību</w:t>
      </w:r>
    </w:p>
    <w:p w:rsidR="000175C5" w:rsidRPr="00347AFF" w:rsidRDefault="00A74004" w:rsidP="00880062">
      <w:pPr>
        <w:ind w:right="-11" w:firstLine="720"/>
        <w:jc w:val="both"/>
        <w:rPr>
          <w:sz w:val="28"/>
          <w:szCs w:val="28"/>
        </w:rPr>
      </w:pPr>
      <w:r w:rsidRPr="00347AFF">
        <w:rPr>
          <w:sz w:val="28"/>
          <w:szCs w:val="28"/>
        </w:rPr>
        <w:t>Padomes</w:t>
      </w:r>
      <w:r w:rsidR="00880062" w:rsidRPr="00347AFF">
        <w:rPr>
          <w:sz w:val="28"/>
          <w:szCs w:val="28"/>
        </w:rPr>
        <w:t xml:space="preserve"> </w:t>
      </w:r>
      <w:r w:rsidR="000175C5" w:rsidRPr="00347AFF">
        <w:rPr>
          <w:sz w:val="28"/>
          <w:szCs w:val="28"/>
        </w:rPr>
        <w:t>ietvaros dalībvalstu ministri tiks informēti par priekšlikumu, kā arī tiks aicināti apstiprināt vispārējo pieeju attiecībā uz priekšlikumu Eiropas Parlamenta un Padomes Direktīvai, ar ko groza Direktīvas 89/666/EEK, 2005/56/EK un 2009/101/EK par centrālo reģistru, komercreģistru un uzņēmumu reģistru savstarpējo savienojamību</w:t>
      </w:r>
      <w:r w:rsidR="00A86D4D" w:rsidRPr="00347AFF">
        <w:rPr>
          <w:sz w:val="28"/>
          <w:szCs w:val="28"/>
        </w:rPr>
        <w:t xml:space="preserve"> (turpmāk – direktīva).</w:t>
      </w:r>
    </w:p>
    <w:p w:rsidR="0038299F" w:rsidRPr="00347AFF" w:rsidRDefault="0038299F" w:rsidP="0038299F">
      <w:pPr>
        <w:ind w:right="-11"/>
        <w:jc w:val="both"/>
        <w:rPr>
          <w:bCs/>
          <w:color w:val="000000"/>
          <w:sz w:val="28"/>
          <w:szCs w:val="28"/>
        </w:rPr>
      </w:pPr>
    </w:p>
    <w:p w:rsidR="000175C5" w:rsidRPr="00347AFF" w:rsidRDefault="000E6CE0" w:rsidP="00A86D4D">
      <w:pPr>
        <w:autoSpaceDE w:val="0"/>
        <w:autoSpaceDN w:val="0"/>
        <w:adjustRightInd w:val="0"/>
        <w:ind w:firstLine="720"/>
        <w:jc w:val="both"/>
        <w:rPr>
          <w:rFonts w:eastAsiaTheme="minorHAnsi"/>
          <w:sz w:val="28"/>
          <w:szCs w:val="28"/>
        </w:rPr>
      </w:pPr>
      <w:r w:rsidRPr="00347AFF">
        <w:rPr>
          <w:sz w:val="28"/>
          <w:szCs w:val="28"/>
        </w:rPr>
        <w:t>Direktīvas</w:t>
      </w:r>
      <w:r w:rsidR="000175C5" w:rsidRPr="00347AFF">
        <w:rPr>
          <w:sz w:val="28"/>
          <w:szCs w:val="28"/>
        </w:rPr>
        <w:t xml:space="preserve"> mērķis ir </w:t>
      </w:r>
      <w:r w:rsidR="000175C5" w:rsidRPr="00347AFF">
        <w:rPr>
          <w:rFonts w:eastAsiaTheme="minorHAnsi"/>
          <w:sz w:val="28"/>
          <w:szCs w:val="28"/>
        </w:rPr>
        <w:t>palielināt uzticību vienotam tirgum, garantējot drošāku uzņēmējdarbības vidi patērētājiem, kreditoriem un ci</w:t>
      </w:r>
      <w:r w:rsidR="0038299F" w:rsidRPr="00347AFF">
        <w:rPr>
          <w:rFonts w:eastAsiaTheme="minorHAnsi"/>
          <w:sz w:val="28"/>
          <w:szCs w:val="28"/>
        </w:rPr>
        <w:t>tiem uzņēmējdarbības partneriem.</w:t>
      </w:r>
      <w:r w:rsidR="000175C5" w:rsidRPr="00347AFF">
        <w:rPr>
          <w:rFonts w:eastAsiaTheme="minorHAnsi"/>
          <w:sz w:val="28"/>
          <w:szCs w:val="28"/>
        </w:rPr>
        <w:t xml:space="preserve"> </w:t>
      </w:r>
      <w:r w:rsidR="0038299F" w:rsidRPr="00347AFF">
        <w:rPr>
          <w:rFonts w:eastAsiaTheme="minorHAnsi"/>
          <w:sz w:val="28"/>
          <w:szCs w:val="28"/>
        </w:rPr>
        <w:t xml:space="preserve">Vienlaicīgi tiks veicināta </w:t>
      </w:r>
      <w:r w:rsidR="000175C5" w:rsidRPr="00347AFF">
        <w:rPr>
          <w:rFonts w:eastAsiaTheme="minorHAnsi"/>
          <w:sz w:val="28"/>
          <w:szCs w:val="28"/>
        </w:rPr>
        <w:t>Eiropas uzņēmumu konkurētspēju, samazinot administratīvo slogu un palielinot tiesisko noteiktību, kā arī uzlabot</w:t>
      </w:r>
      <w:r w:rsidR="0038299F" w:rsidRPr="00347AFF">
        <w:rPr>
          <w:rFonts w:eastAsiaTheme="minorHAnsi"/>
          <w:sz w:val="28"/>
          <w:szCs w:val="28"/>
        </w:rPr>
        <w:t>a</w:t>
      </w:r>
      <w:r w:rsidR="000175C5" w:rsidRPr="00347AFF">
        <w:rPr>
          <w:rFonts w:eastAsiaTheme="minorHAnsi"/>
          <w:sz w:val="28"/>
          <w:szCs w:val="28"/>
        </w:rPr>
        <w:t xml:space="preserve"> valsts pārvaldes darbīb</w:t>
      </w:r>
      <w:r w:rsidR="0038299F" w:rsidRPr="00347AFF">
        <w:rPr>
          <w:rFonts w:eastAsiaTheme="minorHAnsi"/>
          <w:sz w:val="28"/>
          <w:szCs w:val="28"/>
        </w:rPr>
        <w:t>a</w:t>
      </w:r>
      <w:r w:rsidR="000175C5" w:rsidRPr="00347AFF">
        <w:rPr>
          <w:rFonts w:eastAsiaTheme="minorHAnsi"/>
          <w:sz w:val="28"/>
          <w:szCs w:val="28"/>
        </w:rPr>
        <w:t xml:space="preserve">, sekmējot sadarbību starp uzņēmējdarbības reģistriem Eiropā saistībā ar tādām procedūrām, kurās sadarbības mehānismi ir nepilnīgi, vai to nav vispār. </w:t>
      </w:r>
    </w:p>
    <w:p w:rsidR="000175C5" w:rsidRPr="00347AFF" w:rsidRDefault="000175C5" w:rsidP="00EF3A61">
      <w:pPr>
        <w:autoSpaceDE w:val="0"/>
        <w:autoSpaceDN w:val="0"/>
        <w:adjustRightInd w:val="0"/>
        <w:ind w:firstLine="709"/>
        <w:jc w:val="both"/>
        <w:rPr>
          <w:rFonts w:eastAsia="Calibri"/>
          <w:sz w:val="28"/>
          <w:szCs w:val="28"/>
        </w:rPr>
      </w:pPr>
      <w:r w:rsidRPr="00347AFF">
        <w:rPr>
          <w:sz w:val="28"/>
          <w:szCs w:val="28"/>
        </w:rPr>
        <w:t>Eiropas Komisija</w:t>
      </w:r>
      <w:r w:rsidR="00EF3A61" w:rsidRPr="00347AFF">
        <w:rPr>
          <w:sz w:val="28"/>
          <w:szCs w:val="28"/>
        </w:rPr>
        <w:t xml:space="preserve">s </w:t>
      </w:r>
      <w:r w:rsidRPr="00347AFF">
        <w:rPr>
          <w:sz w:val="28"/>
          <w:szCs w:val="28"/>
        </w:rPr>
        <w:t>priekšlikum</w:t>
      </w:r>
      <w:r w:rsidR="00EF3A61" w:rsidRPr="00347AFF">
        <w:rPr>
          <w:sz w:val="28"/>
          <w:szCs w:val="28"/>
        </w:rPr>
        <w:t xml:space="preserve">s paredz </w:t>
      </w:r>
      <w:r w:rsidRPr="00347AFF">
        <w:rPr>
          <w:rFonts w:eastAsia="Calibri"/>
          <w:sz w:val="28"/>
          <w:szCs w:val="28"/>
        </w:rPr>
        <w:t>veikt šādus grozījumus spēkā esošajos tiesību aktos:</w:t>
      </w:r>
    </w:p>
    <w:p w:rsidR="000175C5" w:rsidRPr="00347AFF" w:rsidRDefault="000175C5" w:rsidP="00E62A96">
      <w:pPr>
        <w:pStyle w:val="Sarakstarindkopa"/>
        <w:numPr>
          <w:ilvl w:val="0"/>
          <w:numId w:val="17"/>
        </w:numPr>
        <w:autoSpaceDE w:val="0"/>
        <w:autoSpaceDN w:val="0"/>
        <w:adjustRightInd w:val="0"/>
        <w:ind w:left="709" w:hanging="283"/>
        <w:jc w:val="both"/>
        <w:rPr>
          <w:rFonts w:eastAsia="Calibri"/>
          <w:sz w:val="28"/>
          <w:szCs w:val="28"/>
        </w:rPr>
      </w:pPr>
      <w:r w:rsidRPr="00347AFF">
        <w:rPr>
          <w:rFonts w:eastAsia="Calibri"/>
          <w:sz w:val="28"/>
          <w:szCs w:val="28"/>
        </w:rPr>
        <w:t>grozījumi Direktīvā 2009/101/EK ir vērsti uz pārrobežu piekļuves veicināšanu oficiālai uzņēmējdarbības informācijai, izveidojot elektronisku reģistru tīklu un nosakot vienotu minimālo informācijas apjomu, kas elektroniskā formā jādara pieejama trešajām pusēm visās dalībvalstīs;</w:t>
      </w:r>
    </w:p>
    <w:p w:rsidR="000175C5" w:rsidRPr="00347AFF" w:rsidRDefault="000175C5" w:rsidP="00E62A96">
      <w:pPr>
        <w:pStyle w:val="Sarakstarindkopa"/>
        <w:numPr>
          <w:ilvl w:val="0"/>
          <w:numId w:val="17"/>
        </w:numPr>
        <w:autoSpaceDE w:val="0"/>
        <w:autoSpaceDN w:val="0"/>
        <w:adjustRightInd w:val="0"/>
        <w:ind w:left="709" w:hanging="283"/>
        <w:jc w:val="both"/>
        <w:rPr>
          <w:rFonts w:eastAsia="Calibri"/>
          <w:sz w:val="28"/>
          <w:szCs w:val="28"/>
        </w:rPr>
      </w:pPr>
      <w:r w:rsidRPr="00347AFF">
        <w:rPr>
          <w:rFonts w:eastAsia="Calibri"/>
          <w:sz w:val="28"/>
          <w:szCs w:val="28"/>
        </w:rPr>
        <w:t>grozījumi Direktīvā 89/666/EEK ir paredzēti, lai garantētu to, ka uzņēmējdarbības reģistrs sniedz aktuālu informāciju par uzņēmējsabiedrību tiem uzņēmējdarbības reģistriem citās dalībvalstīs, kuros reģistrētas šīs sabiedrības ārvalstu filiāles;</w:t>
      </w:r>
    </w:p>
    <w:p w:rsidR="000175C5" w:rsidRPr="00347AFF" w:rsidRDefault="000175C5" w:rsidP="00E62A96">
      <w:pPr>
        <w:pStyle w:val="Sarakstarindkopa"/>
        <w:numPr>
          <w:ilvl w:val="0"/>
          <w:numId w:val="17"/>
        </w:numPr>
        <w:autoSpaceDE w:val="0"/>
        <w:autoSpaceDN w:val="0"/>
        <w:adjustRightInd w:val="0"/>
        <w:ind w:left="709" w:hanging="283"/>
        <w:jc w:val="both"/>
        <w:rPr>
          <w:sz w:val="28"/>
          <w:szCs w:val="28"/>
        </w:rPr>
      </w:pPr>
      <w:r w:rsidRPr="00347AFF">
        <w:rPr>
          <w:rFonts w:eastAsia="Calibri"/>
          <w:sz w:val="28"/>
          <w:szCs w:val="28"/>
        </w:rPr>
        <w:t xml:space="preserve">grozījumi Direktīvā 2005/56/EK vērsti uz sadarbības apstākļu uzlabošanu starp uzņēmējdarbības reģistriem saistībā ar uzņēmumu pārrobežu apvienošanās procedūrām. </w:t>
      </w:r>
    </w:p>
    <w:p w:rsidR="000175C5" w:rsidRPr="00347AFF" w:rsidRDefault="000175C5" w:rsidP="00EF3A61">
      <w:pPr>
        <w:pStyle w:val="Virsraksts2"/>
        <w:spacing w:before="0"/>
        <w:ind w:firstLine="709"/>
        <w:jc w:val="both"/>
        <w:rPr>
          <w:rFonts w:ascii="Times New Roman" w:hAnsi="Times New Roman" w:cs="Times New Roman"/>
          <w:b w:val="0"/>
          <w:bCs w:val="0"/>
          <w:noProof/>
          <w:color w:val="auto"/>
          <w:sz w:val="28"/>
          <w:szCs w:val="28"/>
        </w:rPr>
      </w:pPr>
      <w:r w:rsidRPr="00347AFF">
        <w:rPr>
          <w:rFonts w:ascii="Times New Roman" w:hAnsi="Times New Roman" w:cs="Times New Roman"/>
          <w:b w:val="0"/>
          <w:bCs w:val="0"/>
          <w:noProof/>
          <w:color w:val="auto"/>
          <w:sz w:val="28"/>
          <w:szCs w:val="28"/>
        </w:rPr>
        <w:t xml:space="preserve">Latvija kopumā atbalsta </w:t>
      </w:r>
      <w:r w:rsidRPr="00347AFF">
        <w:rPr>
          <w:rFonts w:ascii="Times New Roman" w:hAnsi="Times New Roman" w:cs="Times New Roman"/>
          <w:b w:val="0"/>
          <w:noProof/>
          <w:color w:val="auto"/>
          <w:sz w:val="28"/>
          <w:szCs w:val="28"/>
        </w:rPr>
        <w:t xml:space="preserve">uzņēmējdarbības reģistru savstarpējās savienojamības nodrošināšanai nepieciešamo grozījumu </w:t>
      </w:r>
      <w:r w:rsidRPr="00347AFF">
        <w:rPr>
          <w:rFonts w:ascii="Times New Roman" w:hAnsi="Times New Roman" w:cs="Times New Roman"/>
          <w:b w:val="0"/>
          <w:bCs w:val="0"/>
          <w:noProof/>
          <w:color w:val="auto"/>
          <w:sz w:val="28"/>
          <w:szCs w:val="28"/>
        </w:rPr>
        <w:t>Direktīvā 89/666/EEK</w:t>
      </w:r>
      <w:r w:rsidRPr="00347AFF">
        <w:rPr>
          <w:rFonts w:ascii="Times New Roman" w:hAnsi="Times New Roman" w:cs="Times New Roman"/>
          <w:b w:val="0"/>
          <w:bCs w:val="0"/>
          <w:iCs/>
          <w:noProof/>
          <w:color w:val="auto"/>
          <w:sz w:val="28"/>
          <w:szCs w:val="28"/>
        </w:rPr>
        <w:t xml:space="preserve">, </w:t>
      </w:r>
      <w:r w:rsidRPr="00347AFF">
        <w:rPr>
          <w:rFonts w:ascii="Times New Roman" w:hAnsi="Times New Roman" w:cs="Times New Roman"/>
          <w:b w:val="0"/>
          <w:bCs w:val="0"/>
          <w:noProof/>
          <w:color w:val="auto"/>
          <w:sz w:val="28"/>
          <w:szCs w:val="28"/>
        </w:rPr>
        <w:t>Direktīvā 2005/56/EK</w:t>
      </w:r>
      <w:r w:rsidRPr="00347AFF">
        <w:rPr>
          <w:rFonts w:ascii="Times New Roman" w:hAnsi="Times New Roman" w:cs="Times New Roman"/>
          <w:b w:val="0"/>
          <w:bCs w:val="0"/>
          <w:iCs/>
          <w:noProof/>
          <w:color w:val="auto"/>
          <w:sz w:val="28"/>
          <w:szCs w:val="28"/>
        </w:rPr>
        <w:t xml:space="preserve"> un </w:t>
      </w:r>
      <w:r w:rsidRPr="00347AFF">
        <w:rPr>
          <w:rFonts w:ascii="Times New Roman" w:hAnsi="Times New Roman" w:cs="Times New Roman"/>
          <w:b w:val="0"/>
          <w:bCs w:val="0"/>
          <w:noProof/>
          <w:color w:val="auto"/>
          <w:sz w:val="28"/>
          <w:szCs w:val="28"/>
        </w:rPr>
        <w:t>Direktīvā 2009/101/EK veikšanu.</w:t>
      </w:r>
    </w:p>
    <w:p w:rsidR="00A74004" w:rsidRPr="00347AFF" w:rsidRDefault="00A74004" w:rsidP="000175C5">
      <w:pPr>
        <w:pStyle w:val="Sarakstarindkopa"/>
        <w:ind w:left="0" w:right="-11" w:firstLine="709"/>
        <w:jc w:val="both"/>
        <w:rPr>
          <w:bCs/>
          <w:color w:val="000000"/>
          <w:sz w:val="28"/>
          <w:szCs w:val="28"/>
        </w:rPr>
      </w:pPr>
    </w:p>
    <w:p w:rsidR="001C7881" w:rsidRPr="00347AFF" w:rsidRDefault="002A25A0" w:rsidP="006D7005">
      <w:pPr>
        <w:pStyle w:val="Sarakstarindkopa"/>
        <w:numPr>
          <w:ilvl w:val="0"/>
          <w:numId w:val="19"/>
        </w:numPr>
        <w:ind w:right="-1"/>
        <w:jc w:val="both"/>
        <w:rPr>
          <w:b/>
          <w:sz w:val="28"/>
          <w:szCs w:val="28"/>
        </w:rPr>
      </w:pPr>
      <w:r w:rsidRPr="00347AFF">
        <w:rPr>
          <w:b/>
          <w:sz w:val="28"/>
          <w:szCs w:val="28"/>
        </w:rPr>
        <w:t>Vienotas patentu tiesvedības sistēmas izveide</w:t>
      </w:r>
    </w:p>
    <w:p w:rsidR="00EF3A61" w:rsidRPr="00347AFF" w:rsidRDefault="00EF3A61" w:rsidP="0038299F">
      <w:pPr>
        <w:pStyle w:val="Sarakstarindkopa"/>
        <w:ind w:left="0" w:right="-1"/>
        <w:jc w:val="both"/>
        <w:rPr>
          <w:sz w:val="28"/>
          <w:szCs w:val="28"/>
        </w:rPr>
      </w:pPr>
    </w:p>
    <w:p w:rsidR="008477DB" w:rsidRPr="00347AFF" w:rsidRDefault="00DF6A33" w:rsidP="00EF3A61">
      <w:pPr>
        <w:pStyle w:val="Sarakstarindkopa"/>
        <w:ind w:left="0" w:right="-1" w:firstLine="720"/>
        <w:jc w:val="both"/>
        <w:rPr>
          <w:bCs/>
          <w:sz w:val="28"/>
          <w:szCs w:val="28"/>
        </w:rPr>
      </w:pPr>
      <w:r w:rsidRPr="00347AFF">
        <w:rPr>
          <w:sz w:val="28"/>
          <w:szCs w:val="28"/>
        </w:rPr>
        <w:t>Padomes sanāksmes ietvaros dalībvalstu ministri tiks aicināti uz diskusijām par vienotas patentu tiesvedības sistēmas izveidi.</w:t>
      </w:r>
      <w:r w:rsidR="00EF3A61" w:rsidRPr="00347AFF">
        <w:rPr>
          <w:sz w:val="28"/>
          <w:szCs w:val="28"/>
        </w:rPr>
        <w:t xml:space="preserve"> </w:t>
      </w:r>
      <w:r w:rsidR="0038299F" w:rsidRPr="00347AFF">
        <w:rPr>
          <w:sz w:val="28"/>
          <w:szCs w:val="28"/>
        </w:rPr>
        <w:t>ES</w:t>
      </w:r>
      <w:r w:rsidR="008477DB" w:rsidRPr="00347AFF">
        <w:rPr>
          <w:sz w:val="28"/>
          <w:szCs w:val="28"/>
        </w:rPr>
        <w:t xml:space="preserve"> tiesa 2011.gada 8.marta atzinumā, kas sniegts saskaņā ar Līguma par </w:t>
      </w:r>
      <w:r w:rsidR="0038299F" w:rsidRPr="00347AFF">
        <w:rPr>
          <w:sz w:val="28"/>
          <w:szCs w:val="28"/>
        </w:rPr>
        <w:t>ES</w:t>
      </w:r>
      <w:r w:rsidR="008477DB" w:rsidRPr="00347AFF">
        <w:rPr>
          <w:sz w:val="28"/>
          <w:szCs w:val="28"/>
        </w:rPr>
        <w:t xml:space="preserve"> darbību 218.pantu noteica, ka vienotas patentu tiesvedības sistēmas izveide neatbilst Līguma par </w:t>
      </w:r>
      <w:r w:rsidR="0038299F" w:rsidRPr="00347AFF">
        <w:rPr>
          <w:sz w:val="28"/>
          <w:szCs w:val="28"/>
        </w:rPr>
        <w:t>ES</w:t>
      </w:r>
      <w:r w:rsidR="008477DB" w:rsidRPr="00347AFF">
        <w:rPr>
          <w:sz w:val="28"/>
          <w:szCs w:val="28"/>
        </w:rPr>
        <w:t xml:space="preserve"> un Līguma par </w:t>
      </w:r>
      <w:r w:rsidR="0038299F" w:rsidRPr="00347AFF">
        <w:rPr>
          <w:sz w:val="28"/>
          <w:szCs w:val="28"/>
        </w:rPr>
        <w:t>ES</w:t>
      </w:r>
      <w:r w:rsidR="008477DB" w:rsidRPr="00347AFF">
        <w:rPr>
          <w:sz w:val="28"/>
          <w:szCs w:val="28"/>
        </w:rPr>
        <w:t xml:space="preserve"> darbību noteikumiem.</w:t>
      </w:r>
      <w:r w:rsidR="006D7005" w:rsidRPr="00347AFF">
        <w:rPr>
          <w:sz w:val="28"/>
          <w:szCs w:val="28"/>
        </w:rPr>
        <w:t xml:space="preserve"> </w:t>
      </w:r>
      <w:r w:rsidR="008477DB" w:rsidRPr="00347AFF">
        <w:rPr>
          <w:bCs/>
          <w:sz w:val="28"/>
          <w:szCs w:val="28"/>
        </w:rPr>
        <w:t xml:space="preserve">Komisija </w:t>
      </w:r>
      <w:r w:rsidR="0038299F" w:rsidRPr="00347AFF">
        <w:rPr>
          <w:bCs/>
          <w:sz w:val="28"/>
          <w:szCs w:val="28"/>
        </w:rPr>
        <w:t xml:space="preserve">2011. gada 18.maijā </w:t>
      </w:r>
      <w:r w:rsidR="008477DB" w:rsidRPr="00347AFF">
        <w:rPr>
          <w:bCs/>
          <w:sz w:val="28"/>
          <w:szCs w:val="28"/>
        </w:rPr>
        <w:t>nāca klajā ar iespējamiem risinājumiem attiecībā uz tiesvedības jautājumiem.</w:t>
      </w:r>
    </w:p>
    <w:p w:rsidR="008F2555" w:rsidRPr="00347AFF" w:rsidRDefault="008F2555" w:rsidP="00EF3A61">
      <w:pPr>
        <w:ind w:firstLine="720"/>
        <w:jc w:val="both"/>
        <w:rPr>
          <w:bCs/>
          <w:sz w:val="28"/>
          <w:szCs w:val="28"/>
        </w:rPr>
      </w:pPr>
      <w:r w:rsidRPr="00347AFF">
        <w:rPr>
          <w:sz w:val="28"/>
          <w:szCs w:val="28"/>
        </w:rPr>
        <w:lastRenderedPageBreak/>
        <w:t xml:space="preserve">Latvija konceptuāli atbalsta piedāvāto tiesvedības jautājuma risinājumu – </w:t>
      </w:r>
      <w:r w:rsidRPr="00347AFF">
        <w:rPr>
          <w:bCs/>
          <w:sz w:val="28"/>
          <w:szCs w:val="28"/>
        </w:rPr>
        <w:t>vienotas Patentu tiesas izveidi, pamatojoties uz starp dalībvalstīm noslēgtu līgumu</w:t>
      </w:r>
      <w:r w:rsidR="0038299F" w:rsidRPr="00347AFF">
        <w:rPr>
          <w:bCs/>
          <w:sz w:val="28"/>
          <w:szCs w:val="28"/>
        </w:rPr>
        <w:t>,</w:t>
      </w:r>
      <w:r w:rsidRPr="00347AFF">
        <w:rPr>
          <w:bCs/>
          <w:sz w:val="28"/>
          <w:szCs w:val="28"/>
        </w:rPr>
        <w:t xml:space="preserve"> ievērojot šādus priekšnoteikumus:</w:t>
      </w:r>
    </w:p>
    <w:p w:rsidR="008F2555" w:rsidRPr="00347AFF" w:rsidRDefault="008F2555" w:rsidP="008F2555">
      <w:pPr>
        <w:pStyle w:val="Sarakstarindkopa"/>
        <w:numPr>
          <w:ilvl w:val="0"/>
          <w:numId w:val="22"/>
        </w:numPr>
        <w:jc w:val="both"/>
        <w:rPr>
          <w:sz w:val="28"/>
          <w:szCs w:val="28"/>
        </w:rPr>
      </w:pPr>
      <w:r w:rsidRPr="00347AFF">
        <w:rPr>
          <w:sz w:val="28"/>
          <w:szCs w:val="28"/>
        </w:rPr>
        <w:t>tiks nodrošināta tā atbilstība Līgumam par ES darbību;</w:t>
      </w:r>
    </w:p>
    <w:p w:rsidR="008F2555" w:rsidRPr="00347AFF" w:rsidRDefault="008F2555" w:rsidP="008F2555">
      <w:pPr>
        <w:pStyle w:val="Sarakstarindkopa"/>
        <w:numPr>
          <w:ilvl w:val="0"/>
          <w:numId w:val="22"/>
        </w:numPr>
        <w:jc w:val="both"/>
        <w:rPr>
          <w:sz w:val="28"/>
          <w:szCs w:val="28"/>
        </w:rPr>
      </w:pPr>
      <w:r w:rsidRPr="00347AFF">
        <w:rPr>
          <w:sz w:val="28"/>
          <w:szCs w:val="28"/>
        </w:rPr>
        <w:t>tiks nodrošināta tā atbilstība ES tiesas 2011. gada 18. marta Atzinumam 1/09, kas noteica, ka vienotas Patentu tiesas izveide neatbilst Līgumam par ES darbību;</w:t>
      </w:r>
    </w:p>
    <w:p w:rsidR="008F2555" w:rsidRPr="00347AFF" w:rsidRDefault="008F2555" w:rsidP="008F2555">
      <w:pPr>
        <w:pStyle w:val="Sarakstarindkopa"/>
        <w:numPr>
          <w:ilvl w:val="0"/>
          <w:numId w:val="22"/>
        </w:numPr>
        <w:jc w:val="both"/>
        <w:rPr>
          <w:sz w:val="28"/>
          <w:szCs w:val="28"/>
        </w:rPr>
      </w:pPr>
      <w:r w:rsidRPr="00347AFF">
        <w:rPr>
          <w:sz w:val="28"/>
          <w:szCs w:val="28"/>
        </w:rPr>
        <w:t>tiks i</w:t>
      </w:r>
      <w:r w:rsidR="0038299F" w:rsidRPr="00347AFF">
        <w:rPr>
          <w:sz w:val="28"/>
          <w:szCs w:val="28"/>
        </w:rPr>
        <w:t>z</w:t>
      </w:r>
      <w:r w:rsidRPr="00347AFF">
        <w:rPr>
          <w:sz w:val="28"/>
          <w:szCs w:val="28"/>
        </w:rPr>
        <w:t xml:space="preserve">strādāti konkrēti Patentu tiesas darbības noteikumi, ievērotas dalībvalstu intereses, un, izveidota lētāka patentu tiesvedība ar vienotu tiesību normu interpretāciju un attiecīgi vienotu tiesvedību salīdzinājumā ar šobrīd </w:t>
      </w:r>
      <w:r w:rsidR="0038299F" w:rsidRPr="00347AFF">
        <w:rPr>
          <w:sz w:val="28"/>
          <w:szCs w:val="28"/>
        </w:rPr>
        <w:t>esošo</w:t>
      </w:r>
      <w:r w:rsidRPr="00347AFF">
        <w:rPr>
          <w:sz w:val="28"/>
          <w:szCs w:val="28"/>
        </w:rPr>
        <w:t xml:space="preserve"> tiesvedību nacionālajās tiesās.</w:t>
      </w:r>
    </w:p>
    <w:p w:rsidR="000E6CE0" w:rsidRPr="00347AFF" w:rsidRDefault="000E6CE0" w:rsidP="00AB314F">
      <w:pPr>
        <w:jc w:val="both"/>
        <w:rPr>
          <w:b/>
          <w:sz w:val="28"/>
          <w:szCs w:val="28"/>
          <w:u w:val="single"/>
        </w:rPr>
      </w:pPr>
    </w:p>
    <w:p w:rsidR="00AF3EFE" w:rsidRPr="00347AFF" w:rsidRDefault="00996994" w:rsidP="00AB314F">
      <w:pPr>
        <w:jc w:val="both"/>
        <w:rPr>
          <w:sz w:val="28"/>
          <w:szCs w:val="28"/>
        </w:rPr>
      </w:pPr>
      <w:r w:rsidRPr="00347AFF">
        <w:rPr>
          <w:b/>
          <w:sz w:val="28"/>
          <w:szCs w:val="28"/>
          <w:u w:val="single"/>
        </w:rPr>
        <w:t>IV</w:t>
      </w:r>
      <w:r w:rsidR="00AF3EFE" w:rsidRPr="00347AFF">
        <w:rPr>
          <w:b/>
          <w:sz w:val="28"/>
          <w:szCs w:val="28"/>
          <w:u w:val="single"/>
        </w:rPr>
        <w:t xml:space="preserve"> Latvijas delegācija</w:t>
      </w:r>
    </w:p>
    <w:p w:rsidR="00AF3EFE" w:rsidRPr="00347AFF" w:rsidRDefault="00AF3EFE" w:rsidP="00227CB0">
      <w:pPr>
        <w:pStyle w:val="Pamatteksts2"/>
        <w:ind w:left="709" w:hanging="709"/>
        <w:jc w:val="both"/>
        <w:rPr>
          <w:sz w:val="28"/>
          <w:szCs w:val="28"/>
        </w:rPr>
      </w:pPr>
    </w:p>
    <w:p w:rsidR="00227CB0" w:rsidRPr="00347AFF" w:rsidRDefault="00AF3EFE" w:rsidP="00227CB0">
      <w:pPr>
        <w:pStyle w:val="Pamatteksts2"/>
        <w:jc w:val="both"/>
        <w:rPr>
          <w:sz w:val="28"/>
          <w:szCs w:val="28"/>
        </w:rPr>
      </w:pPr>
      <w:r w:rsidRPr="00347AFF">
        <w:rPr>
          <w:sz w:val="28"/>
          <w:szCs w:val="28"/>
        </w:rPr>
        <w:t>Delegācijas vadītāj</w:t>
      </w:r>
      <w:r w:rsidR="00227CB0" w:rsidRPr="00347AFF">
        <w:rPr>
          <w:sz w:val="28"/>
          <w:szCs w:val="28"/>
        </w:rPr>
        <w:t>a</w:t>
      </w:r>
      <w:r w:rsidRPr="00347AFF">
        <w:rPr>
          <w:sz w:val="28"/>
          <w:szCs w:val="28"/>
        </w:rPr>
        <w:t>:</w:t>
      </w:r>
      <w:r w:rsidR="00227CB0" w:rsidRPr="00347AFF">
        <w:rPr>
          <w:sz w:val="28"/>
          <w:szCs w:val="28"/>
        </w:rPr>
        <w:t xml:space="preserve"> </w:t>
      </w:r>
    </w:p>
    <w:p w:rsidR="00AF3EFE" w:rsidRPr="00347AFF" w:rsidRDefault="00227CB0" w:rsidP="00227CB0">
      <w:pPr>
        <w:pStyle w:val="Pamatteksts2"/>
        <w:ind w:firstLine="720"/>
        <w:jc w:val="both"/>
        <w:rPr>
          <w:sz w:val="28"/>
          <w:szCs w:val="28"/>
        </w:rPr>
      </w:pPr>
      <w:r w:rsidRPr="00347AFF">
        <w:rPr>
          <w:b/>
          <w:sz w:val="28"/>
          <w:szCs w:val="28"/>
        </w:rPr>
        <w:t>Karīna Korna</w:t>
      </w:r>
      <w:r w:rsidR="000E6CE0" w:rsidRPr="00347AFF">
        <w:rPr>
          <w:b/>
          <w:sz w:val="28"/>
          <w:szCs w:val="28"/>
        </w:rPr>
        <w:t>,</w:t>
      </w:r>
      <w:r w:rsidRPr="00347AFF">
        <w:rPr>
          <w:sz w:val="28"/>
          <w:szCs w:val="28"/>
        </w:rPr>
        <w:t xml:space="preserve"> Tieslietu ministrijas parlamentārā sekretāre</w:t>
      </w:r>
    </w:p>
    <w:p w:rsidR="00227CB0" w:rsidRPr="00347AFF" w:rsidRDefault="00D361A4" w:rsidP="00227CB0">
      <w:pPr>
        <w:pStyle w:val="Pamatteksts2"/>
        <w:ind w:left="2977" w:hanging="2171"/>
        <w:jc w:val="both"/>
        <w:rPr>
          <w:b/>
          <w:bCs/>
          <w:sz w:val="28"/>
          <w:szCs w:val="28"/>
        </w:rPr>
      </w:pPr>
      <w:r w:rsidRPr="00347AFF">
        <w:rPr>
          <w:b/>
          <w:bCs/>
          <w:sz w:val="28"/>
          <w:szCs w:val="28"/>
        </w:rPr>
        <w:t xml:space="preserve">                              </w:t>
      </w:r>
    </w:p>
    <w:p w:rsidR="00227CB0" w:rsidRPr="00347AFF" w:rsidRDefault="00AF3EFE" w:rsidP="00227CB0">
      <w:pPr>
        <w:jc w:val="both"/>
        <w:rPr>
          <w:sz w:val="28"/>
          <w:szCs w:val="28"/>
        </w:rPr>
      </w:pPr>
      <w:r w:rsidRPr="00347AFF">
        <w:rPr>
          <w:sz w:val="28"/>
          <w:szCs w:val="28"/>
        </w:rPr>
        <w:t>Delegācijas dalībnieki:</w:t>
      </w:r>
      <w:r w:rsidRPr="00347AFF">
        <w:rPr>
          <w:sz w:val="28"/>
          <w:szCs w:val="28"/>
        </w:rPr>
        <w:tab/>
      </w:r>
    </w:p>
    <w:p w:rsidR="00227CB0" w:rsidRPr="00347AFF" w:rsidRDefault="00227CB0" w:rsidP="00227CB0">
      <w:pPr>
        <w:ind w:left="709"/>
        <w:jc w:val="both"/>
        <w:rPr>
          <w:sz w:val="28"/>
          <w:szCs w:val="28"/>
        </w:rPr>
      </w:pPr>
      <w:r w:rsidRPr="00347AFF">
        <w:rPr>
          <w:b/>
          <w:bCs/>
          <w:sz w:val="28"/>
          <w:szCs w:val="28"/>
        </w:rPr>
        <w:t>Inga Skujiņa</w:t>
      </w:r>
      <w:r w:rsidRPr="00347AFF">
        <w:rPr>
          <w:sz w:val="28"/>
          <w:szCs w:val="28"/>
        </w:rPr>
        <w:t xml:space="preserve">, Tieslietu ministrijas valsts sekretāra vietniece stratēģijas jautājumos; </w:t>
      </w:r>
    </w:p>
    <w:p w:rsidR="00227CB0" w:rsidRPr="00347AFF" w:rsidRDefault="00227CB0" w:rsidP="00227CB0">
      <w:pPr>
        <w:ind w:firstLine="720"/>
        <w:jc w:val="both"/>
        <w:rPr>
          <w:sz w:val="28"/>
          <w:szCs w:val="28"/>
        </w:rPr>
      </w:pPr>
      <w:r w:rsidRPr="00347AFF">
        <w:rPr>
          <w:b/>
          <w:sz w:val="28"/>
          <w:szCs w:val="28"/>
        </w:rPr>
        <w:t>Zaiga Liepiņa</w:t>
      </w:r>
      <w:r w:rsidR="000E6CE0" w:rsidRPr="00347AFF">
        <w:rPr>
          <w:b/>
          <w:sz w:val="28"/>
          <w:szCs w:val="28"/>
        </w:rPr>
        <w:t>,</w:t>
      </w:r>
      <w:r w:rsidRPr="00347AFF">
        <w:rPr>
          <w:sz w:val="28"/>
          <w:szCs w:val="28"/>
        </w:rPr>
        <w:t xml:space="preserve"> Ekonomikas ministrijas Valsts sekretāra vietniece; </w:t>
      </w:r>
    </w:p>
    <w:p w:rsidR="00227CB0" w:rsidRPr="00347AFF" w:rsidRDefault="00227CB0" w:rsidP="00227CB0">
      <w:pPr>
        <w:ind w:left="709"/>
        <w:jc w:val="both"/>
        <w:rPr>
          <w:sz w:val="28"/>
          <w:szCs w:val="28"/>
        </w:rPr>
      </w:pPr>
      <w:r w:rsidRPr="00347AFF">
        <w:rPr>
          <w:b/>
          <w:sz w:val="28"/>
          <w:szCs w:val="28"/>
        </w:rPr>
        <w:t>Rota Šņuka</w:t>
      </w:r>
      <w:r w:rsidR="000E6CE0" w:rsidRPr="00347AFF">
        <w:rPr>
          <w:b/>
          <w:sz w:val="28"/>
          <w:szCs w:val="28"/>
        </w:rPr>
        <w:t>,</w:t>
      </w:r>
      <w:r w:rsidRPr="00347AFF">
        <w:rPr>
          <w:sz w:val="28"/>
          <w:szCs w:val="28"/>
        </w:rPr>
        <w:t xml:space="preserve"> Ekonomikas ministrijas Ārējo ekonomisko attiecību departamenta direktores vietniece;</w:t>
      </w:r>
    </w:p>
    <w:p w:rsidR="00227CB0" w:rsidRPr="00347AFF" w:rsidRDefault="00227CB0" w:rsidP="00227CB0">
      <w:pPr>
        <w:ind w:left="709"/>
        <w:jc w:val="both"/>
        <w:rPr>
          <w:sz w:val="28"/>
          <w:szCs w:val="28"/>
        </w:rPr>
      </w:pPr>
      <w:r w:rsidRPr="00347AFF">
        <w:rPr>
          <w:b/>
          <w:sz w:val="28"/>
          <w:szCs w:val="28"/>
        </w:rPr>
        <w:t>Inese Balode</w:t>
      </w:r>
      <w:r w:rsidR="000E6CE0" w:rsidRPr="00347AFF">
        <w:rPr>
          <w:b/>
          <w:sz w:val="28"/>
          <w:szCs w:val="28"/>
        </w:rPr>
        <w:t>,</w:t>
      </w:r>
      <w:r w:rsidRPr="00347AFF">
        <w:rPr>
          <w:sz w:val="28"/>
          <w:szCs w:val="28"/>
        </w:rPr>
        <w:t xml:space="preserve"> Ekonomikas ministrijas nozares padomniece Latvijas Republikas pārstāvniecībā ES;</w:t>
      </w:r>
    </w:p>
    <w:p w:rsidR="00227CB0" w:rsidRPr="00347AFF" w:rsidRDefault="00227CB0" w:rsidP="00227CB0">
      <w:pPr>
        <w:ind w:left="709"/>
        <w:jc w:val="both"/>
        <w:rPr>
          <w:sz w:val="28"/>
          <w:szCs w:val="28"/>
        </w:rPr>
      </w:pPr>
      <w:r w:rsidRPr="00347AFF">
        <w:rPr>
          <w:b/>
          <w:sz w:val="28"/>
          <w:szCs w:val="28"/>
        </w:rPr>
        <w:t xml:space="preserve">Anna </w:t>
      </w:r>
      <w:proofErr w:type="spellStart"/>
      <w:r w:rsidRPr="00347AFF">
        <w:rPr>
          <w:b/>
          <w:sz w:val="28"/>
          <w:szCs w:val="28"/>
        </w:rPr>
        <w:t>Upena</w:t>
      </w:r>
      <w:proofErr w:type="spellEnd"/>
      <w:r w:rsidR="000E6CE0" w:rsidRPr="00347AFF">
        <w:rPr>
          <w:b/>
          <w:sz w:val="28"/>
          <w:szCs w:val="28"/>
        </w:rPr>
        <w:t>,</w:t>
      </w:r>
      <w:r w:rsidRPr="00347AFF">
        <w:rPr>
          <w:sz w:val="28"/>
          <w:szCs w:val="28"/>
        </w:rPr>
        <w:t xml:space="preserve"> Ekonomikas ministrijas nozares padomniece Latvijas Republikas pārstāvniecībā ES;</w:t>
      </w:r>
    </w:p>
    <w:p w:rsidR="00227CB0" w:rsidRPr="00347AFF" w:rsidRDefault="00227CB0" w:rsidP="00227CB0">
      <w:pPr>
        <w:ind w:left="709"/>
        <w:jc w:val="both"/>
        <w:rPr>
          <w:sz w:val="28"/>
          <w:szCs w:val="28"/>
        </w:rPr>
      </w:pPr>
      <w:r w:rsidRPr="00347AFF">
        <w:rPr>
          <w:b/>
          <w:sz w:val="28"/>
          <w:szCs w:val="28"/>
        </w:rPr>
        <w:t xml:space="preserve">Daina </w:t>
      </w:r>
      <w:proofErr w:type="spellStart"/>
      <w:r w:rsidRPr="00347AFF">
        <w:rPr>
          <w:b/>
          <w:sz w:val="28"/>
          <w:szCs w:val="28"/>
        </w:rPr>
        <w:t>Ispodkina</w:t>
      </w:r>
      <w:proofErr w:type="spellEnd"/>
      <w:r w:rsidR="000E6CE0" w:rsidRPr="00347AFF">
        <w:rPr>
          <w:b/>
          <w:sz w:val="28"/>
          <w:szCs w:val="28"/>
        </w:rPr>
        <w:t>,</w:t>
      </w:r>
      <w:r w:rsidRPr="00347AFF">
        <w:rPr>
          <w:sz w:val="28"/>
          <w:szCs w:val="28"/>
        </w:rPr>
        <w:t xml:space="preserve"> Finanšu ministrijas nozares padomniece Latvijas Republikas pārstāvniecībā ES;</w:t>
      </w:r>
    </w:p>
    <w:p w:rsidR="00AF3EFE" w:rsidRPr="00347AFF" w:rsidRDefault="00797603" w:rsidP="00227CB0">
      <w:pPr>
        <w:ind w:left="709" w:hanging="142"/>
        <w:jc w:val="both"/>
        <w:rPr>
          <w:sz w:val="28"/>
          <w:szCs w:val="28"/>
        </w:rPr>
      </w:pPr>
      <w:r w:rsidRPr="00347AFF">
        <w:rPr>
          <w:sz w:val="28"/>
          <w:szCs w:val="28"/>
        </w:rPr>
        <w:t xml:space="preserve">  </w:t>
      </w:r>
      <w:r w:rsidR="00AF3EFE" w:rsidRPr="00347AFF">
        <w:rPr>
          <w:b/>
          <w:sz w:val="28"/>
          <w:szCs w:val="28"/>
        </w:rPr>
        <w:t>E</w:t>
      </w:r>
      <w:r w:rsidR="00AF3EFE" w:rsidRPr="00347AFF">
        <w:rPr>
          <w:b/>
          <w:bCs/>
          <w:sz w:val="28"/>
          <w:szCs w:val="28"/>
        </w:rPr>
        <w:t xml:space="preserve">gita </w:t>
      </w:r>
      <w:proofErr w:type="spellStart"/>
      <w:r w:rsidR="00AF3EFE" w:rsidRPr="00347AFF">
        <w:rPr>
          <w:b/>
          <w:bCs/>
          <w:sz w:val="28"/>
          <w:szCs w:val="28"/>
        </w:rPr>
        <w:t>Šķibele</w:t>
      </w:r>
      <w:proofErr w:type="spellEnd"/>
      <w:r w:rsidR="00AF3EFE" w:rsidRPr="00347AFF">
        <w:rPr>
          <w:sz w:val="28"/>
          <w:szCs w:val="28"/>
        </w:rPr>
        <w:t xml:space="preserve">, tieslietu nozares padomniece Latvijas Republikas pārstāvniecībā ES; </w:t>
      </w:r>
    </w:p>
    <w:p w:rsidR="00AF3EFE" w:rsidRPr="00347AFF" w:rsidRDefault="00AF3EFE" w:rsidP="00227CB0">
      <w:pPr>
        <w:ind w:left="709"/>
        <w:jc w:val="both"/>
        <w:rPr>
          <w:sz w:val="28"/>
          <w:szCs w:val="28"/>
        </w:rPr>
      </w:pPr>
      <w:r w:rsidRPr="00347AFF">
        <w:rPr>
          <w:b/>
          <w:sz w:val="28"/>
          <w:szCs w:val="28"/>
        </w:rPr>
        <w:t>Sandris Laganovskis</w:t>
      </w:r>
      <w:r w:rsidRPr="00347AFF">
        <w:rPr>
          <w:sz w:val="28"/>
          <w:szCs w:val="28"/>
        </w:rPr>
        <w:t xml:space="preserve">, tieslietu nozares padomnieks Latvijas Republikas pārstāvniecībā ES. </w:t>
      </w:r>
    </w:p>
    <w:p w:rsidR="009F0810" w:rsidRPr="00347AFF" w:rsidRDefault="009F0810" w:rsidP="00AF3EFE">
      <w:pPr>
        <w:jc w:val="both"/>
        <w:rPr>
          <w:sz w:val="28"/>
          <w:szCs w:val="28"/>
        </w:rPr>
      </w:pPr>
    </w:p>
    <w:p w:rsidR="00347AFF" w:rsidRDefault="00347AFF" w:rsidP="00AF3EFE">
      <w:pPr>
        <w:jc w:val="both"/>
        <w:rPr>
          <w:sz w:val="28"/>
          <w:szCs w:val="28"/>
        </w:rPr>
      </w:pPr>
    </w:p>
    <w:p w:rsidR="00AF3EFE" w:rsidRPr="00347AFF" w:rsidRDefault="002E2A94" w:rsidP="00AF3EFE">
      <w:pPr>
        <w:jc w:val="both"/>
        <w:rPr>
          <w:sz w:val="28"/>
          <w:szCs w:val="28"/>
        </w:rPr>
      </w:pPr>
      <w:r w:rsidRPr="00347AFF">
        <w:rPr>
          <w:sz w:val="28"/>
          <w:szCs w:val="28"/>
        </w:rPr>
        <w:t>T</w:t>
      </w:r>
      <w:r w:rsidR="00606F89" w:rsidRPr="00347AFF">
        <w:rPr>
          <w:sz w:val="28"/>
          <w:szCs w:val="28"/>
        </w:rPr>
        <w:t>ieslietu ministrs</w:t>
      </w:r>
      <w:r w:rsidR="00AF3EFE" w:rsidRPr="00347AFF">
        <w:rPr>
          <w:sz w:val="28"/>
          <w:szCs w:val="28"/>
        </w:rPr>
        <w:tab/>
      </w:r>
      <w:r w:rsidR="00AF3EFE" w:rsidRPr="00347AFF">
        <w:rPr>
          <w:sz w:val="28"/>
          <w:szCs w:val="28"/>
        </w:rPr>
        <w:tab/>
        <w:t xml:space="preserve">    </w:t>
      </w:r>
      <w:r w:rsidR="00AF3EFE" w:rsidRPr="00347AFF">
        <w:rPr>
          <w:sz w:val="28"/>
          <w:szCs w:val="28"/>
        </w:rPr>
        <w:tab/>
      </w:r>
      <w:r w:rsidR="00AF3EFE" w:rsidRPr="00347AFF">
        <w:rPr>
          <w:sz w:val="28"/>
          <w:szCs w:val="28"/>
        </w:rPr>
        <w:tab/>
      </w:r>
      <w:r w:rsidR="00606F89" w:rsidRPr="00347AFF">
        <w:rPr>
          <w:sz w:val="28"/>
          <w:szCs w:val="28"/>
        </w:rPr>
        <w:t xml:space="preserve">           </w:t>
      </w:r>
      <w:r w:rsidR="00161011" w:rsidRPr="00347AFF">
        <w:rPr>
          <w:sz w:val="28"/>
          <w:szCs w:val="28"/>
        </w:rPr>
        <w:t xml:space="preserve"> </w:t>
      </w:r>
      <w:r w:rsidR="00606F89" w:rsidRPr="00347AFF">
        <w:rPr>
          <w:sz w:val="28"/>
          <w:szCs w:val="28"/>
        </w:rPr>
        <w:t xml:space="preserve">                   </w:t>
      </w:r>
      <w:r w:rsidR="00B32C27" w:rsidRPr="00347AFF">
        <w:rPr>
          <w:sz w:val="28"/>
          <w:szCs w:val="28"/>
        </w:rPr>
        <w:t xml:space="preserve">     </w:t>
      </w:r>
      <w:r w:rsidR="00606F89" w:rsidRPr="00347AFF">
        <w:rPr>
          <w:sz w:val="28"/>
          <w:szCs w:val="28"/>
        </w:rPr>
        <w:t xml:space="preserve"> </w:t>
      </w:r>
      <w:r w:rsidR="00F3140D">
        <w:rPr>
          <w:sz w:val="28"/>
          <w:szCs w:val="28"/>
        </w:rPr>
        <w:t xml:space="preserve">      </w:t>
      </w:r>
      <w:r w:rsidR="00606F89" w:rsidRPr="00347AFF">
        <w:rPr>
          <w:sz w:val="28"/>
          <w:szCs w:val="28"/>
        </w:rPr>
        <w:t xml:space="preserve">A. Štokenbergs </w:t>
      </w:r>
    </w:p>
    <w:p w:rsidR="00797603" w:rsidRPr="00347AFF" w:rsidRDefault="00797603" w:rsidP="00AF3EFE">
      <w:pPr>
        <w:jc w:val="both"/>
        <w:rPr>
          <w:sz w:val="28"/>
          <w:szCs w:val="28"/>
        </w:rPr>
      </w:pPr>
    </w:p>
    <w:p w:rsidR="000E7D99" w:rsidRPr="00347AFF" w:rsidRDefault="000E7D99" w:rsidP="00AF3EFE">
      <w:pPr>
        <w:jc w:val="both"/>
        <w:rPr>
          <w:sz w:val="28"/>
          <w:szCs w:val="28"/>
        </w:rPr>
      </w:pPr>
    </w:p>
    <w:p w:rsidR="00EF3A61" w:rsidRPr="00347AFF" w:rsidRDefault="00EF3A61" w:rsidP="00AF3EFE">
      <w:pPr>
        <w:jc w:val="both"/>
        <w:rPr>
          <w:sz w:val="28"/>
          <w:szCs w:val="28"/>
        </w:rPr>
      </w:pPr>
    </w:p>
    <w:p w:rsidR="00EF3A61" w:rsidRPr="00347AFF" w:rsidRDefault="00EF3A61" w:rsidP="00AF3EFE">
      <w:pPr>
        <w:jc w:val="both"/>
        <w:rPr>
          <w:sz w:val="28"/>
          <w:szCs w:val="28"/>
        </w:rPr>
      </w:pPr>
    </w:p>
    <w:p w:rsidR="00AF3EFE" w:rsidRPr="00347AFF" w:rsidRDefault="00227CB0" w:rsidP="00AF3EFE">
      <w:pPr>
        <w:jc w:val="both"/>
        <w:rPr>
          <w:sz w:val="20"/>
          <w:szCs w:val="20"/>
        </w:rPr>
      </w:pPr>
      <w:r w:rsidRPr="00347AFF">
        <w:rPr>
          <w:sz w:val="20"/>
          <w:szCs w:val="20"/>
        </w:rPr>
        <w:t>2</w:t>
      </w:r>
      <w:r w:rsidR="0027135D" w:rsidRPr="00347AFF">
        <w:rPr>
          <w:sz w:val="20"/>
          <w:szCs w:val="20"/>
        </w:rPr>
        <w:t>3</w:t>
      </w:r>
      <w:r w:rsidR="00CC780E" w:rsidRPr="00347AFF">
        <w:rPr>
          <w:sz w:val="20"/>
          <w:szCs w:val="20"/>
        </w:rPr>
        <w:t>.</w:t>
      </w:r>
      <w:r w:rsidR="007044DD" w:rsidRPr="00347AFF">
        <w:rPr>
          <w:sz w:val="20"/>
          <w:szCs w:val="20"/>
        </w:rPr>
        <w:t>0</w:t>
      </w:r>
      <w:r w:rsidR="002A25A0" w:rsidRPr="00347AFF">
        <w:rPr>
          <w:sz w:val="20"/>
          <w:szCs w:val="20"/>
        </w:rPr>
        <w:t>5</w:t>
      </w:r>
      <w:r w:rsidR="007044DD" w:rsidRPr="00347AFF">
        <w:rPr>
          <w:sz w:val="20"/>
          <w:szCs w:val="20"/>
        </w:rPr>
        <w:t>.2011</w:t>
      </w:r>
      <w:r w:rsidR="00AF3EFE" w:rsidRPr="00347AFF">
        <w:rPr>
          <w:sz w:val="20"/>
          <w:szCs w:val="20"/>
        </w:rPr>
        <w:t xml:space="preserve"> </w:t>
      </w:r>
      <w:r w:rsidR="00E33EC4">
        <w:rPr>
          <w:sz w:val="20"/>
          <w:szCs w:val="20"/>
        </w:rPr>
        <w:t>10</w:t>
      </w:r>
      <w:r w:rsidR="00AF3EFE" w:rsidRPr="00347AFF">
        <w:rPr>
          <w:sz w:val="20"/>
          <w:szCs w:val="20"/>
        </w:rPr>
        <w:t>:</w:t>
      </w:r>
      <w:r w:rsidR="00734A4B">
        <w:rPr>
          <w:sz w:val="20"/>
          <w:szCs w:val="20"/>
        </w:rPr>
        <w:t>03</w:t>
      </w:r>
    </w:p>
    <w:p w:rsidR="00AF3EFE" w:rsidRPr="00347AFF" w:rsidRDefault="00AB2FE8" w:rsidP="00AF3EFE">
      <w:pPr>
        <w:jc w:val="both"/>
        <w:rPr>
          <w:sz w:val="20"/>
          <w:szCs w:val="20"/>
        </w:rPr>
      </w:pPr>
      <w:r w:rsidRPr="00347AFF">
        <w:rPr>
          <w:sz w:val="20"/>
          <w:szCs w:val="20"/>
        </w:rPr>
        <w:t>1062</w:t>
      </w:r>
    </w:p>
    <w:p w:rsidR="00642365" w:rsidRPr="00347AFF" w:rsidRDefault="002A25A0" w:rsidP="00AF3EFE">
      <w:pPr>
        <w:jc w:val="both"/>
        <w:rPr>
          <w:sz w:val="20"/>
          <w:szCs w:val="20"/>
        </w:rPr>
      </w:pPr>
      <w:r w:rsidRPr="00347AFF">
        <w:rPr>
          <w:sz w:val="20"/>
          <w:szCs w:val="20"/>
        </w:rPr>
        <w:t>Dace Vītola</w:t>
      </w:r>
    </w:p>
    <w:p w:rsidR="00E61C0B" w:rsidRPr="00347AFF" w:rsidRDefault="00642365" w:rsidP="00AF3EFE">
      <w:pPr>
        <w:jc w:val="both"/>
        <w:rPr>
          <w:sz w:val="20"/>
          <w:szCs w:val="20"/>
        </w:rPr>
      </w:pPr>
      <w:r w:rsidRPr="00347AFF">
        <w:rPr>
          <w:sz w:val="20"/>
          <w:szCs w:val="20"/>
        </w:rPr>
        <w:t>670369</w:t>
      </w:r>
      <w:r w:rsidR="00606F89" w:rsidRPr="00347AFF">
        <w:rPr>
          <w:sz w:val="20"/>
          <w:szCs w:val="20"/>
        </w:rPr>
        <w:t>1</w:t>
      </w:r>
      <w:r w:rsidR="002A25A0" w:rsidRPr="00347AFF">
        <w:rPr>
          <w:sz w:val="20"/>
          <w:szCs w:val="20"/>
        </w:rPr>
        <w:t>3</w:t>
      </w:r>
      <w:r w:rsidRPr="00347AFF">
        <w:rPr>
          <w:sz w:val="20"/>
          <w:szCs w:val="20"/>
        </w:rPr>
        <w:t xml:space="preserve">, </w:t>
      </w:r>
      <w:hyperlink r:id="rId8" w:history="1">
        <w:r w:rsidR="002A25A0" w:rsidRPr="00347AFF">
          <w:rPr>
            <w:rStyle w:val="Hipersaite"/>
            <w:sz w:val="20"/>
            <w:szCs w:val="20"/>
          </w:rPr>
          <w:t>Dace.Vitola@tm.gov.lv</w:t>
        </w:r>
      </w:hyperlink>
    </w:p>
    <w:p w:rsidR="00C655A0" w:rsidRPr="00347AFF" w:rsidRDefault="00C655A0" w:rsidP="00AF3EFE">
      <w:pPr>
        <w:jc w:val="both"/>
        <w:rPr>
          <w:sz w:val="20"/>
          <w:szCs w:val="20"/>
        </w:rPr>
      </w:pPr>
    </w:p>
    <w:sectPr w:rsidR="00C655A0" w:rsidRPr="00347AFF" w:rsidSect="004C16B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E7" w:rsidRDefault="009003E7" w:rsidP="00A70D10">
      <w:r>
        <w:separator/>
      </w:r>
    </w:p>
  </w:endnote>
  <w:endnote w:type="continuationSeparator" w:id="0">
    <w:p w:rsidR="009003E7" w:rsidRDefault="009003E7"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Pr="002A25A0" w:rsidRDefault="002A25A0" w:rsidP="002A25A0">
    <w:pPr>
      <w:pStyle w:val="Nosaukums"/>
      <w:jc w:val="both"/>
      <w:outlineLvl w:val="0"/>
      <w:rPr>
        <w:b w:val="0"/>
        <w:bCs w:val="0"/>
        <w:i/>
        <w:sz w:val="20"/>
        <w:szCs w:val="20"/>
      </w:rPr>
    </w:pPr>
    <w:r w:rsidRPr="002A25A0">
      <w:rPr>
        <w:b w:val="0"/>
        <w:i/>
        <w:sz w:val="20"/>
        <w:szCs w:val="20"/>
      </w:rPr>
      <w:t>TMzino_</w:t>
    </w:r>
    <w:r w:rsidR="00682533">
      <w:rPr>
        <w:b w:val="0"/>
        <w:i/>
        <w:sz w:val="20"/>
        <w:szCs w:val="20"/>
      </w:rPr>
      <w:t>2</w:t>
    </w:r>
    <w:r w:rsidR="0027135D">
      <w:rPr>
        <w:b w:val="0"/>
        <w:i/>
        <w:sz w:val="20"/>
        <w:szCs w:val="20"/>
      </w:rPr>
      <w:t>3</w:t>
    </w:r>
    <w:r w:rsidRPr="002A25A0">
      <w:rPr>
        <w:b w:val="0"/>
        <w:i/>
        <w:sz w:val="20"/>
        <w:szCs w:val="20"/>
      </w:rPr>
      <w:t xml:space="preserve">0511_COMPET; informatīvais </w:t>
    </w:r>
    <w:smartTag w:uri="schemas-tilde-lv/tildestengine" w:element="veidnes">
      <w:smartTagPr>
        <w:attr w:name="text" w:val="ziņojums"/>
        <w:attr w:name="baseform" w:val="ziņojums"/>
        <w:attr w:name="id" w:val="-1"/>
      </w:smartTagPr>
      <w:r w:rsidRPr="002A25A0">
        <w:rPr>
          <w:b w:val="0"/>
          <w:i/>
          <w:sz w:val="20"/>
          <w:szCs w:val="20"/>
        </w:rPr>
        <w:t>ziņojums</w:t>
      </w:r>
    </w:smartTag>
    <w:r w:rsidRPr="002A25A0">
      <w:rPr>
        <w:b w:val="0"/>
        <w:i/>
        <w:sz w:val="20"/>
        <w:szCs w:val="20"/>
      </w:rPr>
      <w:t xml:space="preserve"> par Latvijas nacionāl</w:t>
    </w:r>
    <w:r w:rsidR="00650301">
      <w:rPr>
        <w:b w:val="0"/>
        <w:i/>
        <w:sz w:val="20"/>
        <w:szCs w:val="20"/>
      </w:rPr>
      <w:t>ajām</w:t>
    </w:r>
    <w:r w:rsidRPr="002A25A0">
      <w:rPr>
        <w:b w:val="0"/>
        <w:i/>
        <w:sz w:val="20"/>
        <w:szCs w:val="20"/>
      </w:rPr>
      <w:t xml:space="preserve"> pozīcij</w:t>
    </w:r>
    <w:r w:rsidR="00650301">
      <w:rPr>
        <w:b w:val="0"/>
        <w:i/>
        <w:sz w:val="20"/>
        <w:szCs w:val="20"/>
      </w:rPr>
      <w:t>ām</w:t>
    </w:r>
    <w:r w:rsidRPr="002A25A0">
      <w:rPr>
        <w:b w:val="0"/>
        <w:i/>
        <w:sz w:val="20"/>
        <w:szCs w:val="20"/>
      </w:rPr>
      <w:t xml:space="preserve"> un Eiropas Savienības Konkurētspējas padomes 2011.gada 30.-31.maija sanāksmē izskatāmajiem jautājumiem</w:t>
    </w:r>
    <w:r w:rsidRPr="002A25A0">
      <w:rPr>
        <w:b w:val="0"/>
        <w:bCs w:val="0"/>
        <w:i/>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Pr="002A25A0" w:rsidRDefault="009003E7" w:rsidP="002A25A0">
    <w:pPr>
      <w:pStyle w:val="Nosaukums"/>
      <w:jc w:val="both"/>
      <w:outlineLvl w:val="0"/>
      <w:rPr>
        <w:b w:val="0"/>
        <w:bCs w:val="0"/>
        <w:i/>
        <w:sz w:val="20"/>
        <w:szCs w:val="20"/>
      </w:rPr>
    </w:pPr>
    <w:r w:rsidRPr="002A25A0">
      <w:rPr>
        <w:b w:val="0"/>
        <w:i/>
        <w:sz w:val="20"/>
        <w:szCs w:val="20"/>
      </w:rPr>
      <w:t>TMzino_</w:t>
    </w:r>
    <w:r w:rsidR="00DF6A33">
      <w:rPr>
        <w:b w:val="0"/>
        <w:i/>
        <w:sz w:val="20"/>
        <w:szCs w:val="20"/>
      </w:rPr>
      <w:t>2</w:t>
    </w:r>
    <w:r w:rsidR="0027135D">
      <w:rPr>
        <w:b w:val="0"/>
        <w:i/>
        <w:sz w:val="20"/>
        <w:szCs w:val="20"/>
      </w:rPr>
      <w:t>3</w:t>
    </w:r>
    <w:r w:rsidRPr="002A25A0">
      <w:rPr>
        <w:b w:val="0"/>
        <w:i/>
        <w:sz w:val="20"/>
        <w:szCs w:val="20"/>
      </w:rPr>
      <w:t>0</w:t>
    </w:r>
    <w:r w:rsidR="002A25A0" w:rsidRPr="002A25A0">
      <w:rPr>
        <w:b w:val="0"/>
        <w:i/>
        <w:sz w:val="20"/>
        <w:szCs w:val="20"/>
      </w:rPr>
      <w:t>5</w:t>
    </w:r>
    <w:r w:rsidRPr="002A25A0">
      <w:rPr>
        <w:b w:val="0"/>
        <w:i/>
        <w:sz w:val="20"/>
        <w:szCs w:val="20"/>
      </w:rPr>
      <w:t>11_</w:t>
    </w:r>
    <w:r w:rsidR="002A25A0" w:rsidRPr="002A25A0">
      <w:rPr>
        <w:b w:val="0"/>
        <w:i/>
        <w:sz w:val="20"/>
        <w:szCs w:val="20"/>
      </w:rPr>
      <w:t>COMPET</w:t>
    </w:r>
    <w:r w:rsidRPr="002A25A0">
      <w:rPr>
        <w:b w:val="0"/>
        <w:i/>
        <w:sz w:val="20"/>
        <w:szCs w:val="20"/>
      </w:rPr>
      <w:t xml:space="preserve">; informatīvais </w:t>
    </w:r>
    <w:smartTag w:uri="schemas-tilde-lv/tildestengine" w:element="veidnes">
      <w:smartTagPr>
        <w:attr w:name="text" w:val="ziņojums"/>
        <w:attr w:name="baseform" w:val="ziņojums"/>
        <w:attr w:name="id" w:val="-1"/>
      </w:smartTagPr>
      <w:r w:rsidRPr="002A25A0">
        <w:rPr>
          <w:b w:val="0"/>
          <w:i/>
          <w:sz w:val="20"/>
          <w:szCs w:val="20"/>
        </w:rPr>
        <w:t>ziņojums</w:t>
      </w:r>
    </w:smartTag>
    <w:r w:rsidRPr="002A25A0">
      <w:rPr>
        <w:b w:val="0"/>
        <w:i/>
        <w:sz w:val="20"/>
        <w:szCs w:val="20"/>
      </w:rPr>
      <w:t xml:space="preserve"> par </w:t>
    </w:r>
    <w:r w:rsidR="002A25A0" w:rsidRPr="002A25A0">
      <w:rPr>
        <w:b w:val="0"/>
        <w:i/>
        <w:sz w:val="20"/>
        <w:szCs w:val="20"/>
      </w:rPr>
      <w:t>Latvijas nacionāl</w:t>
    </w:r>
    <w:r w:rsidR="00E62A96">
      <w:rPr>
        <w:b w:val="0"/>
        <w:i/>
        <w:sz w:val="20"/>
        <w:szCs w:val="20"/>
      </w:rPr>
      <w:t>ajām</w:t>
    </w:r>
    <w:r w:rsidR="002A25A0" w:rsidRPr="002A25A0">
      <w:rPr>
        <w:b w:val="0"/>
        <w:i/>
        <w:sz w:val="20"/>
        <w:szCs w:val="20"/>
      </w:rPr>
      <w:t xml:space="preserve"> pozīcij</w:t>
    </w:r>
    <w:r w:rsidR="00E62A96">
      <w:rPr>
        <w:b w:val="0"/>
        <w:i/>
        <w:sz w:val="20"/>
        <w:szCs w:val="20"/>
      </w:rPr>
      <w:t>ām</w:t>
    </w:r>
    <w:r w:rsidR="002A25A0" w:rsidRPr="002A25A0">
      <w:rPr>
        <w:b w:val="0"/>
        <w:i/>
        <w:sz w:val="20"/>
        <w:szCs w:val="20"/>
      </w:rPr>
      <w:t xml:space="preserve"> un Eiropas Savienības Konkurētspējas padomes 2011.gada 30.-31.maija sanāksmē izskatāmajiem jautājumiem</w:t>
    </w:r>
    <w:r w:rsidR="002A25A0" w:rsidRPr="002A25A0">
      <w:rPr>
        <w:b w:val="0"/>
        <w:bCs w:val="0"/>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E7" w:rsidRDefault="009003E7" w:rsidP="00A70D10">
      <w:r>
        <w:separator/>
      </w:r>
    </w:p>
  </w:footnote>
  <w:footnote w:type="continuationSeparator" w:id="0">
    <w:p w:rsidR="009003E7" w:rsidRDefault="009003E7" w:rsidP="00A7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E7" w:rsidRDefault="00D16C5A">
    <w:pPr>
      <w:pStyle w:val="Galvene"/>
      <w:framePr w:wrap="auto" w:vAnchor="text" w:hAnchor="margin" w:xAlign="center" w:y="1"/>
      <w:rPr>
        <w:rStyle w:val="Lappusesnumurs"/>
      </w:rPr>
    </w:pPr>
    <w:r>
      <w:rPr>
        <w:rStyle w:val="Lappusesnumurs"/>
      </w:rPr>
      <w:fldChar w:fldCharType="begin"/>
    </w:r>
    <w:r w:rsidR="009003E7">
      <w:rPr>
        <w:rStyle w:val="Lappusesnumurs"/>
      </w:rPr>
      <w:instrText xml:space="preserve">PAGE  </w:instrText>
    </w:r>
    <w:r>
      <w:rPr>
        <w:rStyle w:val="Lappusesnumurs"/>
      </w:rPr>
      <w:fldChar w:fldCharType="separate"/>
    </w:r>
    <w:r w:rsidR="00F3140D">
      <w:rPr>
        <w:rStyle w:val="Lappusesnumurs"/>
        <w:noProof/>
      </w:rPr>
      <w:t>4</w:t>
    </w:r>
    <w:r>
      <w:rPr>
        <w:rStyle w:val="Lappusesnumurs"/>
      </w:rPr>
      <w:fldChar w:fldCharType="end"/>
    </w:r>
  </w:p>
  <w:p w:rsidR="009003E7" w:rsidRDefault="009003E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2F3"/>
    <w:multiLevelType w:val="multilevel"/>
    <w:tmpl w:val="0736E5B4"/>
    <w:lvl w:ilvl="0">
      <w:start w:val="1"/>
      <w:numFmt w:val="decimal"/>
      <w:lvlText w:val="%1."/>
      <w:lvlJc w:val="left"/>
      <w:pPr>
        <w:ind w:left="846" w:hanging="360"/>
      </w:pPr>
      <w:rPr>
        <w:rFonts w:hint="default"/>
      </w:rPr>
    </w:lvl>
    <w:lvl w:ilvl="1">
      <w:start w:val="1"/>
      <w:numFmt w:val="decimal"/>
      <w:isLgl/>
      <w:lvlText w:val="%1.%2."/>
      <w:lvlJc w:val="left"/>
      <w:pPr>
        <w:ind w:left="1206" w:hanging="72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566" w:hanging="1080"/>
      </w:pPr>
      <w:rPr>
        <w:rFonts w:hint="default"/>
      </w:rPr>
    </w:lvl>
    <w:lvl w:ilvl="4">
      <w:start w:val="1"/>
      <w:numFmt w:val="decimal"/>
      <w:isLgl/>
      <w:lvlText w:val="%1.%2.%3.%4.%5."/>
      <w:lvlJc w:val="left"/>
      <w:pPr>
        <w:ind w:left="1566" w:hanging="1080"/>
      </w:pPr>
      <w:rPr>
        <w:rFonts w:hint="default"/>
      </w:rPr>
    </w:lvl>
    <w:lvl w:ilvl="5">
      <w:start w:val="1"/>
      <w:numFmt w:val="decimal"/>
      <w:isLgl/>
      <w:lvlText w:val="%1.%2.%3.%4.%5.%6."/>
      <w:lvlJc w:val="left"/>
      <w:pPr>
        <w:ind w:left="1926" w:hanging="1440"/>
      </w:pPr>
      <w:rPr>
        <w:rFonts w:hint="default"/>
      </w:rPr>
    </w:lvl>
    <w:lvl w:ilvl="6">
      <w:start w:val="1"/>
      <w:numFmt w:val="decimal"/>
      <w:isLgl/>
      <w:lvlText w:val="%1.%2.%3.%4.%5.%6.%7."/>
      <w:lvlJc w:val="left"/>
      <w:pPr>
        <w:ind w:left="1926"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286" w:hanging="1800"/>
      </w:pPr>
      <w:rPr>
        <w:rFonts w:hint="default"/>
      </w:r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42E6DEA"/>
    <w:multiLevelType w:val="multilevel"/>
    <w:tmpl w:val="FE3C0C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924D9B"/>
    <w:multiLevelType w:val="multilevel"/>
    <w:tmpl w:val="F40E5C6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F30F10"/>
    <w:multiLevelType w:val="multilevel"/>
    <w:tmpl w:val="F9DC0260"/>
    <w:lvl w:ilvl="0">
      <w:start w:val="1"/>
      <w:numFmt w:val="decimal"/>
      <w:lvlText w:val="%1"/>
      <w:lvlJc w:val="left"/>
      <w:pPr>
        <w:ind w:left="360" w:hanging="360"/>
      </w:pPr>
      <w:rPr>
        <w:rFonts w:hint="default"/>
        <w:b w:val="0"/>
        <w:sz w:val="26"/>
      </w:rPr>
    </w:lvl>
    <w:lvl w:ilvl="1">
      <w:start w:val="2"/>
      <w:numFmt w:val="decimal"/>
      <w:lvlText w:val="%1.%2"/>
      <w:lvlJc w:val="left"/>
      <w:pPr>
        <w:ind w:left="846" w:hanging="360"/>
      </w:pPr>
      <w:rPr>
        <w:rFonts w:hint="default"/>
        <w:b w:val="0"/>
        <w:sz w:val="26"/>
      </w:rPr>
    </w:lvl>
    <w:lvl w:ilvl="2">
      <w:start w:val="1"/>
      <w:numFmt w:val="decimal"/>
      <w:lvlText w:val="%1.%2.%3"/>
      <w:lvlJc w:val="left"/>
      <w:pPr>
        <w:ind w:left="1692" w:hanging="720"/>
      </w:pPr>
      <w:rPr>
        <w:rFonts w:hint="default"/>
        <w:b w:val="0"/>
        <w:sz w:val="26"/>
      </w:rPr>
    </w:lvl>
    <w:lvl w:ilvl="3">
      <w:start w:val="1"/>
      <w:numFmt w:val="decimal"/>
      <w:lvlText w:val="%1.%2.%3.%4"/>
      <w:lvlJc w:val="left"/>
      <w:pPr>
        <w:ind w:left="2178" w:hanging="720"/>
      </w:pPr>
      <w:rPr>
        <w:rFonts w:hint="default"/>
        <w:b w:val="0"/>
        <w:sz w:val="26"/>
      </w:rPr>
    </w:lvl>
    <w:lvl w:ilvl="4">
      <w:start w:val="1"/>
      <w:numFmt w:val="decimal"/>
      <w:lvlText w:val="%1.%2.%3.%4.%5"/>
      <w:lvlJc w:val="left"/>
      <w:pPr>
        <w:ind w:left="3024" w:hanging="1080"/>
      </w:pPr>
      <w:rPr>
        <w:rFonts w:hint="default"/>
        <w:b w:val="0"/>
        <w:sz w:val="26"/>
      </w:rPr>
    </w:lvl>
    <w:lvl w:ilvl="5">
      <w:start w:val="1"/>
      <w:numFmt w:val="decimal"/>
      <w:lvlText w:val="%1.%2.%3.%4.%5.%6"/>
      <w:lvlJc w:val="left"/>
      <w:pPr>
        <w:ind w:left="3510" w:hanging="1080"/>
      </w:pPr>
      <w:rPr>
        <w:rFonts w:hint="default"/>
        <w:b w:val="0"/>
        <w:sz w:val="26"/>
      </w:rPr>
    </w:lvl>
    <w:lvl w:ilvl="6">
      <w:start w:val="1"/>
      <w:numFmt w:val="decimal"/>
      <w:lvlText w:val="%1.%2.%3.%4.%5.%6.%7"/>
      <w:lvlJc w:val="left"/>
      <w:pPr>
        <w:ind w:left="4356" w:hanging="1440"/>
      </w:pPr>
      <w:rPr>
        <w:rFonts w:hint="default"/>
        <w:b w:val="0"/>
        <w:sz w:val="26"/>
      </w:rPr>
    </w:lvl>
    <w:lvl w:ilvl="7">
      <w:start w:val="1"/>
      <w:numFmt w:val="decimal"/>
      <w:lvlText w:val="%1.%2.%3.%4.%5.%6.%7.%8"/>
      <w:lvlJc w:val="left"/>
      <w:pPr>
        <w:ind w:left="4842" w:hanging="1440"/>
      </w:pPr>
      <w:rPr>
        <w:rFonts w:hint="default"/>
        <w:b w:val="0"/>
        <w:sz w:val="26"/>
      </w:rPr>
    </w:lvl>
    <w:lvl w:ilvl="8">
      <w:start w:val="1"/>
      <w:numFmt w:val="decimal"/>
      <w:lvlText w:val="%1.%2.%3.%4.%5.%6.%7.%8.%9"/>
      <w:lvlJc w:val="left"/>
      <w:pPr>
        <w:ind w:left="5688" w:hanging="1800"/>
      </w:pPr>
      <w:rPr>
        <w:rFonts w:hint="default"/>
        <w:b w:val="0"/>
        <w:sz w:val="26"/>
      </w:rPr>
    </w:lvl>
  </w:abstractNum>
  <w:abstractNum w:abstractNumId="9">
    <w:nsid w:val="3DDD0DFD"/>
    <w:multiLevelType w:val="hybridMultilevel"/>
    <w:tmpl w:val="F816E924"/>
    <w:lvl w:ilvl="0" w:tplc="5B0AF7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C632CD"/>
    <w:multiLevelType w:val="hybridMultilevel"/>
    <w:tmpl w:val="EB5A86B6"/>
    <w:lvl w:ilvl="0" w:tplc="04260011">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7670BB9"/>
    <w:multiLevelType w:val="hybridMultilevel"/>
    <w:tmpl w:val="518A973A"/>
    <w:lvl w:ilvl="0" w:tplc="95E01C0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9B4197"/>
    <w:multiLevelType w:val="hybridMultilevel"/>
    <w:tmpl w:val="95788046"/>
    <w:lvl w:ilvl="0" w:tplc="FE3292D6">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3">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584E76A5"/>
    <w:multiLevelType w:val="hybridMultilevel"/>
    <w:tmpl w:val="152A47B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6A50BE4"/>
    <w:multiLevelType w:val="hybridMultilevel"/>
    <w:tmpl w:val="E1F04416"/>
    <w:lvl w:ilvl="0" w:tplc="5290DC60">
      <w:start w:val="2008"/>
      <w:numFmt w:val="bullet"/>
      <w:lvlText w:val="-"/>
      <w:lvlJc w:val="left"/>
      <w:pPr>
        <w:ind w:left="1800" w:hanging="360"/>
      </w:pPr>
      <w:rPr>
        <w:rFonts w:ascii="Calibri" w:eastAsia="Times New Roman" w:hAnsi="Calibri" w:hint="default"/>
      </w:rPr>
    </w:lvl>
    <w:lvl w:ilvl="1" w:tplc="040E0019">
      <w:start w:val="1"/>
      <w:numFmt w:val="bullet"/>
      <w:lvlText w:val="o"/>
      <w:lvlJc w:val="left"/>
      <w:pPr>
        <w:ind w:left="2520" w:hanging="360"/>
      </w:pPr>
      <w:rPr>
        <w:rFonts w:ascii="Courier New" w:hAnsi="Courier New" w:cs="Courier New" w:hint="default"/>
      </w:rPr>
    </w:lvl>
    <w:lvl w:ilvl="2" w:tplc="040E001B">
      <w:start w:val="1"/>
      <w:numFmt w:val="bullet"/>
      <w:lvlText w:val=""/>
      <w:lvlJc w:val="left"/>
      <w:pPr>
        <w:ind w:left="3240" w:hanging="360"/>
      </w:pPr>
      <w:rPr>
        <w:rFonts w:ascii="Wingdings" w:hAnsi="Wingdings" w:cs="Wingdings" w:hint="default"/>
      </w:rPr>
    </w:lvl>
    <w:lvl w:ilvl="3" w:tplc="040E000F" w:tentative="1">
      <w:start w:val="1"/>
      <w:numFmt w:val="bullet"/>
      <w:lvlText w:val=""/>
      <w:lvlJc w:val="left"/>
      <w:pPr>
        <w:ind w:left="3960" w:hanging="360"/>
      </w:pPr>
      <w:rPr>
        <w:rFonts w:ascii="Symbol" w:hAnsi="Symbol" w:cs="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cs="Wingdings" w:hint="default"/>
      </w:rPr>
    </w:lvl>
    <w:lvl w:ilvl="6" w:tplc="040E000F" w:tentative="1">
      <w:start w:val="1"/>
      <w:numFmt w:val="bullet"/>
      <w:lvlText w:val=""/>
      <w:lvlJc w:val="left"/>
      <w:pPr>
        <w:ind w:left="6120" w:hanging="360"/>
      </w:pPr>
      <w:rPr>
        <w:rFonts w:ascii="Symbol" w:hAnsi="Symbol" w:cs="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cs="Wingdings" w:hint="default"/>
      </w:rPr>
    </w:lvl>
  </w:abstractNum>
  <w:abstractNum w:abstractNumId="18">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6B1A0647"/>
    <w:multiLevelType w:val="hybridMultilevel"/>
    <w:tmpl w:val="49C68676"/>
    <w:lvl w:ilvl="0" w:tplc="C718676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17D2B40"/>
    <w:multiLevelType w:val="hybridMultilevel"/>
    <w:tmpl w:val="90D6E974"/>
    <w:lvl w:ilvl="0" w:tplc="8EE0AC70">
      <w:start w:val="1"/>
      <w:numFmt w:val="decimal"/>
      <w:lvlText w:val="%1."/>
      <w:lvlJc w:val="left"/>
      <w:pPr>
        <w:ind w:left="720" w:hanging="360"/>
      </w:pPr>
      <w:rPr>
        <w:rFonts w:hint="default"/>
        <w:b/>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DE2E73"/>
    <w:multiLevelType w:val="hybridMultilevel"/>
    <w:tmpl w:val="B1603FBA"/>
    <w:lvl w:ilvl="0" w:tplc="FE3CFC90">
      <w:start w:val="2"/>
      <w:numFmt w:val="bullet"/>
      <w:lvlText w:val="-"/>
      <w:lvlJc w:val="left"/>
      <w:pPr>
        <w:ind w:left="720" w:hanging="360"/>
      </w:pPr>
      <w:rPr>
        <w:rFonts w:ascii="TimesNewRoman" w:eastAsia="Calibri"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7281D08"/>
    <w:multiLevelType w:val="hybridMultilevel"/>
    <w:tmpl w:val="0A0821C4"/>
    <w:lvl w:ilvl="0" w:tplc="BD58691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num w:numId="1">
    <w:abstractNumId w:val="16"/>
  </w:num>
  <w:num w:numId="2">
    <w:abstractNumId w:val="13"/>
  </w:num>
  <w:num w:numId="3">
    <w:abstractNumId w:val="14"/>
  </w:num>
  <w:num w:numId="4">
    <w:abstractNumId w:val="1"/>
  </w:num>
  <w:num w:numId="5">
    <w:abstractNumId w:val="5"/>
  </w:num>
  <w:num w:numId="6">
    <w:abstractNumId w:val="18"/>
  </w:num>
  <w:num w:numId="7">
    <w:abstractNumId w:val="22"/>
  </w:num>
  <w:num w:numId="8">
    <w:abstractNumId w:val="2"/>
  </w:num>
  <w:num w:numId="9">
    <w:abstractNumId w:val="24"/>
  </w:num>
  <w:num w:numId="10">
    <w:abstractNumId w:val="12"/>
  </w:num>
  <w:num w:numId="11">
    <w:abstractNumId w:val="6"/>
  </w:num>
  <w:num w:numId="12">
    <w:abstractNumId w:val="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9"/>
  </w:num>
  <w:num w:numId="17">
    <w:abstractNumId w:val="21"/>
  </w:num>
  <w:num w:numId="18">
    <w:abstractNumId w:val="15"/>
  </w:num>
  <w:num w:numId="19">
    <w:abstractNumId w:val="20"/>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7"/>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3EFE"/>
    <w:rsid w:val="000175C5"/>
    <w:rsid w:val="00027544"/>
    <w:rsid w:val="00047D6D"/>
    <w:rsid w:val="00076F95"/>
    <w:rsid w:val="00096204"/>
    <w:rsid w:val="000D3C69"/>
    <w:rsid w:val="000D406D"/>
    <w:rsid w:val="000E6CE0"/>
    <w:rsid w:val="000E7D99"/>
    <w:rsid w:val="0014238C"/>
    <w:rsid w:val="00161011"/>
    <w:rsid w:val="00165B07"/>
    <w:rsid w:val="001729AD"/>
    <w:rsid w:val="00192C7A"/>
    <w:rsid w:val="001B4ED9"/>
    <w:rsid w:val="001B79BA"/>
    <w:rsid w:val="001C7881"/>
    <w:rsid w:val="001E604A"/>
    <w:rsid w:val="001F377A"/>
    <w:rsid w:val="00227CB0"/>
    <w:rsid w:val="00247320"/>
    <w:rsid w:val="00247A3A"/>
    <w:rsid w:val="0025030E"/>
    <w:rsid w:val="0025662A"/>
    <w:rsid w:val="0027135D"/>
    <w:rsid w:val="00292D2D"/>
    <w:rsid w:val="0029413D"/>
    <w:rsid w:val="00294C62"/>
    <w:rsid w:val="002A25A0"/>
    <w:rsid w:val="002A2A1A"/>
    <w:rsid w:val="002C73EA"/>
    <w:rsid w:val="002E2A94"/>
    <w:rsid w:val="00322722"/>
    <w:rsid w:val="00347AFF"/>
    <w:rsid w:val="0036070D"/>
    <w:rsid w:val="00380CB7"/>
    <w:rsid w:val="0038299F"/>
    <w:rsid w:val="0038728E"/>
    <w:rsid w:val="003C0399"/>
    <w:rsid w:val="003D5110"/>
    <w:rsid w:val="003E4392"/>
    <w:rsid w:val="00404BD0"/>
    <w:rsid w:val="004440D9"/>
    <w:rsid w:val="004502EC"/>
    <w:rsid w:val="004525EE"/>
    <w:rsid w:val="00460ACD"/>
    <w:rsid w:val="004631DE"/>
    <w:rsid w:val="004677C7"/>
    <w:rsid w:val="0047401D"/>
    <w:rsid w:val="0049284E"/>
    <w:rsid w:val="004B3DE0"/>
    <w:rsid w:val="004C16BE"/>
    <w:rsid w:val="004C7B2D"/>
    <w:rsid w:val="004E0F8D"/>
    <w:rsid w:val="004F3719"/>
    <w:rsid w:val="0053148A"/>
    <w:rsid w:val="005322A1"/>
    <w:rsid w:val="005502BE"/>
    <w:rsid w:val="00551CC0"/>
    <w:rsid w:val="00557757"/>
    <w:rsid w:val="005660D7"/>
    <w:rsid w:val="00572D7A"/>
    <w:rsid w:val="005C1483"/>
    <w:rsid w:val="005E01AD"/>
    <w:rsid w:val="005E414C"/>
    <w:rsid w:val="00601E7E"/>
    <w:rsid w:val="00603223"/>
    <w:rsid w:val="00606F89"/>
    <w:rsid w:val="00642365"/>
    <w:rsid w:val="00650301"/>
    <w:rsid w:val="00682533"/>
    <w:rsid w:val="006871EB"/>
    <w:rsid w:val="006911EA"/>
    <w:rsid w:val="006B6CAF"/>
    <w:rsid w:val="006B70AF"/>
    <w:rsid w:val="006D7005"/>
    <w:rsid w:val="006E406B"/>
    <w:rsid w:val="006E4E37"/>
    <w:rsid w:val="00701228"/>
    <w:rsid w:val="007044DD"/>
    <w:rsid w:val="00734A4B"/>
    <w:rsid w:val="007454FC"/>
    <w:rsid w:val="00755917"/>
    <w:rsid w:val="00765D84"/>
    <w:rsid w:val="00771BCE"/>
    <w:rsid w:val="00795E07"/>
    <w:rsid w:val="00797603"/>
    <w:rsid w:val="007A3A76"/>
    <w:rsid w:val="007B112D"/>
    <w:rsid w:val="007B4B48"/>
    <w:rsid w:val="007C2497"/>
    <w:rsid w:val="007C337E"/>
    <w:rsid w:val="007D23F4"/>
    <w:rsid w:val="007F2316"/>
    <w:rsid w:val="007F4BB7"/>
    <w:rsid w:val="00826B70"/>
    <w:rsid w:val="008358D8"/>
    <w:rsid w:val="008477DB"/>
    <w:rsid w:val="00855279"/>
    <w:rsid w:val="00856313"/>
    <w:rsid w:val="00866FA4"/>
    <w:rsid w:val="008708A7"/>
    <w:rsid w:val="00880062"/>
    <w:rsid w:val="008952AF"/>
    <w:rsid w:val="008A1FC8"/>
    <w:rsid w:val="008B2572"/>
    <w:rsid w:val="008B5841"/>
    <w:rsid w:val="008C50B2"/>
    <w:rsid w:val="008C6ED3"/>
    <w:rsid w:val="008E09EF"/>
    <w:rsid w:val="008F2555"/>
    <w:rsid w:val="008F2B9C"/>
    <w:rsid w:val="009003E7"/>
    <w:rsid w:val="009034C5"/>
    <w:rsid w:val="00911D09"/>
    <w:rsid w:val="00925970"/>
    <w:rsid w:val="009365B0"/>
    <w:rsid w:val="00943BDE"/>
    <w:rsid w:val="00967A6F"/>
    <w:rsid w:val="00973667"/>
    <w:rsid w:val="009776EA"/>
    <w:rsid w:val="009805D0"/>
    <w:rsid w:val="00981E9C"/>
    <w:rsid w:val="00995E29"/>
    <w:rsid w:val="00996994"/>
    <w:rsid w:val="009972A8"/>
    <w:rsid w:val="009E71A1"/>
    <w:rsid w:val="009F0810"/>
    <w:rsid w:val="009F447D"/>
    <w:rsid w:val="00A00EB5"/>
    <w:rsid w:val="00A07BCF"/>
    <w:rsid w:val="00A20EAD"/>
    <w:rsid w:val="00A30452"/>
    <w:rsid w:val="00A36504"/>
    <w:rsid w:val="00A55792"/>
    <w:rsid w:val="00A6344D"/>
    <w:rsid w:val="00A651AD"/>
    <w:rsid w:val="00A70D10"/>
    <w:rsid w:val="00A74004"/>
    <w:rsid w:val="00A86D4D"/>
    <w:rsid w:val="00A97731"/>
    <w:rsid w:val="00AA00CF"/>
    <w:rsid w:val="00AB2FE8"/>
    <w:rsid w:val="00AB314F"/>
    <w:rsid w:val="00AB4431"/>
    <w:rsid w:val="00AD0B0C"/>
    <w:rsid w:val="00AD2AFB"/>
    <w:rsid w:val="00AF3EFE"/>
    <w:rsid w:val="00B11940"/>
    <w:rsid w:val="00B21578"/>
    <w:rsid w:val="00B23425"/>
    <w:rsid w:val="00B32C27"/>
    <w:rsid w:val="00B434B6"/>
    <w:rsid w:val="00B54201"/>
    <w:rsid w:val="00B6275E"/>
    <w:rsid w:val="00B709BD"/>
    <w:rsid w:val="00BA0049"/>
    <w:rsid w:val="00BA5642"/>
    <w:rsid w:val="00BA5DC0"/>
    <w:rsid w:val="00BB5407"/>
    <w:rsid w:val="00BC35A5"/>
    <w:rsid w:val="00BD35BC"/>
    <w:rsid w:val="00BD7679"/>
    <w:rsid w:val="00BE3474"/>
    <w:rsid w:val="00BE4910"/>
    <w:rsid w:val="00C07392"/>
    <w:rsid w:val="00C137BF"/>
    <w:rsid w:val="00C20E89"/>
    <w:rsid w:val="00C36ED9"/>
    <w:rsid w:val="00C43058"/>
    <w:rsid w:val="00C471AC"/>
    <w:rsid w:val="00C643D6"/>
    <w:rsid w:val="00C643F2"/>
    <w:rsid w:val="00C655A0"/>
    <w:rsid w:val="00C72112"/>
    <w:rsid w:val="00C73AB9"/>
    <w:rsid w:val="00C7575F"/>
    <w:rsid w:val="00C926F0"/>
    <w:rsid w:val="00CC1A74"/>
    <w:rsid w:val="00CC780E"/>
    <w:rsid w:val="00CC79A7"/>
    <w:rsid w:val="00CF108E"/>
    <w:rsid w:val="00CF28AC"/>
    <w:rsid w:val="00D01C6F"/>
    <w:rsid w:val="00D03554"/>
    <w:rsid w:val="00D16C5A"/>
    <w:rsid w:val="00D33DF9"/>
    <w:rsid w:val="00D361A4"/>
    <w:rsid w:val="00D62F8D"/>
    <w:rsid w:val="00D862F0"/>
    <w:rsid w:val="00D91A10"/>
    <w:rsid w:val="00DB5F8C"/>
    <w:rsid w:val="00DB6E73"/>
    <w:rsid w:val="00DD007F"/>
    <w:rsid w:val="00DE5327"/>
    <w:rsid w:val="00DF2CAC"/>
    <w:rsid w:val="00DF6A33"/>
    <w:rsid w:val="00E0698D"/>
    <w:rsid w:val="00E318FA"/>
    <w:rsid w:val="00E33EC4"/>
    <w:rsid w:val="00E61C0B"/>
    <w:rsid w:val="00E62A96"/>
    <w:rsid w:val="00E80699"/>
    <w:rsid w:val="00EC6D9E"/>
    <w:rsid w:val="00EE1687"/>
    <w:rsid w:val="00EF3A61"/>
    <w:rsid w:val="00EF67A3"/>
    <w:rsid w:val="00F1080F"/>
    <w:rsid w:val="00F23888"/>
    <w:rsid w:val="00F3140D"/>
    <w:rsid w:val="00F40C63"/>
    <w:rsid w:val="00F455F8"/>
    <w:rsid w:val="00F568C5"/>
    <w:rsid w:val="00F77FC8"/>
    <w:rsid w:val="00F9432E"/>
    <w:rsid w:val="00FC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2">
    <w:name w:val="heading 2"/>
    <w:basedOn w:val="Parastais"/>
    <w:next w:val="Parastais"/>
    <w:link w:val="Virsraksts2Rakstz"/>
    <w:uiPriority w:val="9"/>
    <w:semiHidden/>
    <w:unhideWhenUsed/>
    <w:qFormat/>
    <w:rsid w:val="00017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paragraph" w:customStyle="1" w:styleId="CarcterCarcterCharCarcterCarcterCharCarcterCarcterCharCharCarcterCarcter">
    <w:name w:val="Carácter Carácter Char Carácter Carácter Char Carácter Carácter Char Char Carácter Carácter"/>
    <w:basedOn w:val="Parastais"/>
    <w:rsid w:val="002A25A0"/>
    <w:rPr>
      <w:lang w:val="pl-PL" w:eastAsia="pl-PL"/>
    </w:rPr>
  </w:style>
  <w:style w:type="character" w:customStyle="1" w:styleId="Virsraksts2Rakstz">
    <w:name w:val="Virsraksts 2 Rakstz."/>
    <w:basedOn w:val="Noklusjumarindkopasfonts"/>
    <w:link w:val="Virsraksts2"/>
    <w:uiPriority w:val="9"/>
    <w:semiHidden/>
    <w:rsid w:val="000175C5"/>
    <w:rPr>
      <w:rFonts w:asciiTheme="majorHAnsi" w:eastAsiaTheme="majorEastAsia" w:hAnsiTheme="majorHAnsi" w:cstheme="majorBidi"/>
      <w:b/>
      <w:bCs/>
      <w:color w:val="4F81BD" w:themeColor="accent1"/>
      <w:sz w:val="26"/>
      <w:szCs w:val="26"/>
    </w:rPr>
  </w:style>
  <w:style w:type="character" w:styleId="Izclums">
    <w:name w:val="Emphasis"/>
    <w:basedOn w:val="Noklusjumarindkopasfonts"/>
    <w:uiPriority w:val="20"/>
    <w:qFormat/>
    <w:rsid w:val="000E6CE0"/>
    <w:rPr>
      <w:b/>
      <w:bCs/>
      <w:i w:val="0"/>
      <w:iCs w:val="0"/>
    </w:rPr>
  </w:style>
</w:styles>
</file>

<file path=word/webSettings.xml><?xml version="1.0" encoding="utf-8"?>
<w:webSettings xmlns:r="http://schemas.openxmlformats.org/officeDocument/2006/relationships" xmlns:w="http://schemas.openxmlformats.org/wordprocessingml/2006/main">
  <w:divs>
    <w:div w:id="46491403">
      <w:bodyDiv w:val="1"/>
      <w:marLeft w:val="0"/>
      <w:marRight w:val="0"/>
      <w:marTop w:val="0"/>
      <w:marBottom w:val="0"/>
      <w:divBdr>
        <w:top w:val="none" w:sz="0" w:space="0" w:color="auto"/>
        <w:left w:val="none" w:sz="0" w:space="0" w:color="auto"/>
        <w:bottom w:val="none" w:sz="0" w:space="0" w:color="auto"/>
        <w:right w:val="none" w:sz="0" w:space="0" w:color="auto"/>
      </w:divBdr>
    </w:div>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tol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3C5A-C30D-425F-897B-1AF7E68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5756</Words>
  <Characters>3282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
    </vt:vector>
  </TitlesOfParts>
  <Company>Tieslietu Ministrija</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un Eiropas Savienības Konkurētspējas padomes 2011.gada 30.-31.maija sanāksmē izskatāmajiem jautājumiem </dc:subject>
  <dc:creator>Dace Vītola</dc:creator>
  <dc:description>Dace.Vitola@tm.gov.lv; 67036913</dc:description>
  <cp:lastModifiedBy>dv1201</cp:lastModifiedBy>
  <cp:revision>43</cp:revision>
  <cp:lastPrinted>2011-05-20T13:19:00Z</cp:lastPrinted>
  <dcterms:created xsi:type="dcterms:W3CDTF">2011-05-17T08:04:00Z</dcterms:created>
  <dcterms:modified xsi:type="dcterms:W3CDTF">2011-05-23T07:03:00Z</dcterms:modified>
</cp:coreProperties>
</file>