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174" w:rsidRPr="002A6112" w:rsidRDefault="003F6A73" w:rsidP="003D7174">
      <w:pPr>
        <w:pStyle w:val="Title"/>
        <w:rPr>
          <w:sz w:val="28"/>
          <w:szCs w:val="28"/>
        </w:rPr>
      </w:pPr>
      <w:bookmarkStart w:id="0" w:name="OLE_LINK11"/>
      <w:bookmarkStart w:id="1" w:name="OLE_LINK12"/>
      <w:r w:rsidRPr="003F6A73">
        <w:rPr>
          <w:sz w:val="28"/>
          <w:szCs w:val="28"/>
        </w:rPr>
        <w:t xml:space="preserve">Informatīvais ziņojums </w:t>
      </w:r>
    </w:p>
    <w:p w:rsidR="003D7174" w:rsidRPr="002A6112" w:rsidRDefault="003D7174" w:rsidP="003D7174">
      <w:pPr>
        <w:jc w:val="center"/>
        <w:rPr>
          <w:b/>
          <w:bCs/>
          <w:sz w:val="28"/>
          <w:szCs w:val="28"/>
        </w:rPr>
      </w:pPr>
    </w:p>
    <w:bookmarkEnd w:id="0"/>
    <w:bookmarkEnd w:id="1"/>
    <w:p w:rsidR="003D7174" w:rsidRPr="002A6112" w:rsidRDefault="003F6A73" w:rsidP="003D7174">
      <w:pPr>
        <w:pStyle w:val="BodyText"/>
        <w:jc w:val="center"/>
        <w:rPr>
          <w:b/>
          <w:sz w:val="28"/>
          <w:szCs w:val="28"/>
        </w:rPr>
      </w:pPr>
      <w:r w:rsidRPr="003F6A73">
        <w:rPr>
          <w:b/>
          <w:sz w:val="28"/>
          <w:szCs w:val="28"/>
        </w:rPr>
        <w:t xml:space="preserve">par Latvijas nacionālo (sākotnējo) pozīciju par priekšlikumu Eiropas Parlamenta un Padomes regulai par aizsardzības pasākumu savstarpēju atzīšanu civillietās </w:t>
      </w:r>
    </w:p>
    <w:p w:rsidR="003D7174" w:rsidRPr="002A6112" w:rsidRDefault="003D7174" w:rsidP="003D7174">
      <w:pPr>
        <w:pStyle w:val="BodyText"/>
        <w:rPr>
          <w:b/>
          <w:sz w:val="28"/>
          <w:szCs w:val="28"/>
        </w:rPr>
      </w:pPr>
    </w:p>
    <w:p w:rsidR="003D7174" w:rsidRPr="002A6112" w:rsidRDefault="003F6A73" w:rsidP="003D7174">
      <w:pPr>
        <w:tabs>
          <w:tab w:val="left" w:pos="6560"/>
        </w:tabs>
        <w:ind w:right="37"/>
        <w:jc w:val="both"/>
        <w:rPr>
          <w:sz w:val="28"/>
          <w:szCs w:val="28"/>
        </w:rPr>
      </w:pPr>
      <w:r w:rsidRPr="003F6A73">
        <w:rPr>
          <w:sz w:val="28"/>
          <w:szCs w:val="28"/>
        </w:rPr>
        <w:t>Priekšlikuma Eiropas Parlamenta un Padomes regulai par aizsardzības pasākumu savstarpēju atzīšanu civillietās (turpmāk – priekšlikums) mērķis ir nodrošināt efektīvu civiltiesisku mehānismu aizsardzības pasākumu pārrobežu atzīšanai. Tas papildina regulējumu par aizsardzības pasākumu pārrobežu atzīšanu krimināllietās</w:t>
      </w:r>
      <w:r w:rsidRPr="003F6A73">
        <w:rPr>
          <w:rStyle w:val="FootnoteReference"/>
          <w:sz w:val="28"/>
          <w:szCs w:val="28"/>
        </w:rPr>
        <w:footnoteReference w:id="1"/>
      </w:r>
      <w:r w:rsidRPr="003F6A73">
        <w:rPr>
          <w:sz w:val="28"/>
          <w:szCs w:val="28"/>
        </w:rPr>
        <w:t xml:space="preserve">, kas šobrīd ir izstrādes stadijā. </w:t>
      </w:r>
    </w:p>
    <w:p w:rsidR="003D7174" w:rsidRPr="002A6112" w:rsidRDefault="003D7174" w:rsidP="003D7174">
      <w:pPr>
        <w:tabs>
          <w:tab w:val="left" w:pos="6560"/>
        </w:tabs>
        <w:ind w:right="37"/>
        <w:jc w:val="both"/>
        <w:rPr>
          <w:sz w:val="28"/>
          <w:szCs w:val="28"/>
        </w:rPr>
      </w:pPr>
    </w:p>
    <w:p w:rsidR="003D7174" w:rsidRPr="002A6112" w:rsidRDefault="003F6A73" w:rsidP="003D7174">
      <w:pPr>
        <w:jc w:val="both"/>
        <w:rPr>
          <w:sz w:val="28"/>
          <w:szCs w:val="28"/>
        </w:rPr>
      </w:pPr>
      <w:r w:rsidRPr="003F6A73">
        <w:rPr>
          <w:sz w:val="28"/>
          <w:szCs w:val="28"/>
        </w:rPr>
        <w:t xml:space="preserve">Priekšlikumā paredzētais mehānisms ir vērts uz to, lai nodrošinātu, ka, ja apdraudētā persona ES ietvaros pārceļas uz citu dalībvalsti, tad dalībvalsts, uz kuru persona pārceļas, atzītu aizsardzības pasākumus, kas sākotnēji pieņemti izcelsmes dalībvalstī.  </w:t>
      </w:r>
    </w:p>
    <w:p w:rsidR="003D7174" w:rsidRPr="002A6112" w:rsidRDefault="003D7174" w:rsidP="003D7174">
      <w:pPr>
        <w:jc w:val="both"/>
        <w:rPr>
          <w:sz w:val="28"/>
          <w:szCs w:val="28"/>
        </w:rPr>
      </w:pPr>
    </w:p>
    <w:p w:rsidR="003D7174" w:rsidRPr="002A6112" w:rsidRDefault="003F6A73" w:rsidP="003D7174">
      <w:pPr>
        <w:jc w:val="both"/>
        <w:rPr>
          <w:sz w:val="28"/>
          <w:szCs w:val="28"/>
        </w:rPr>
      </w:pPr>
      <w:r w:rsidRPr="003F6A73">
        <w:rPr>
          <w:sz w:val="28"/>
          <w:szCs w:val="28"/>
        </w:rPr>
        <w:t xml:space="preserve">Līdzīgi kā citi savstarpējās atzīšanas tiesību akti civillietās, priekšlikums noteic, ka izcelsmes dalībvalsts kompetentās iestādes izdod standarta apliecību, kurā ietverta visa informācija, lai izpildes dalībvalsts, varētu nodrošināt aizsardzības pasākumu atzīšanu uz izpildi. Līdz ar to priekšlikums neparedz jebkādu starpposma procedūru </w:t>
      </w:r>
      <w:r w:rsidRPr="003F6A73">
        <w:rPr>
          <w:i/>
          <w:sz w:val="28"/>
          <w:szCs w:val="28"/>
        </w:rPr>
        <w:t>(</w:t>
      </w:r>
      <w:proofErr w:type="spellStart"/>
      <w:r w:rsidRPr="003F6A73">
        <w:rPr>
          <w:i/>
          <w:sz w:val="28"/>
          <w:szCs w:val="28"/>
        </w:rPr>
        <w:t>exequatur</w:t>
      </w:r>
      <w:proofErr w:type="spellEnd"/>
      <w:r w:rsidRPr="003F6A73">
        <w:rPr>
          <w:i/>
          <w:sz w:val="28"/>
          <w:szCs w:val="28"/>
        </w:rPr>
        <w:t>)</w:t>
      </w:r>
      <w:r w:rsidRPr="003F6A73">
        <w:rPr>
          <w:sz w:val="28"/>
          <w:szCs w:val="28"/>
        </w:rPr>
        <w:t xml:space="preserve"> aizsardzības pasākumu atzīšanas procesā, tomēr ir nodrošināta virkne procesuālo garantiju. Vienlaikus ir paredzēts tikai viens atzīšanas vai izpildes atteikuma iemesls – aizsardzības pasākumu atzīšana ir nesavienojama ar atzīšanas dalībvalstī pieņemto nolēmumu. </w:t>
      </w:r>
    </w:p>
    <w:p w:rsidR="00E51E0C" w:rsidRPr="002A6112" w:rsidRDefault="00E51E0C" w:rsidP="003D7174">
      <w:pPr>
        <w:jc w:val="both"/>
        <w:rPr>
          <w:sz w:val="28"/>
          <w:szCs w:val="28"/>
        </w:rPr>
      </w:pPr>
    </w:p>
    <w:p w:rsidR="00E51E0C" w:rsidRPr="002A6112" w:rsidRDefault="003F6A73" w:rsidP="003D7174">
      <w:pPr>
        <w:jc w:val="both"/>
        <w:rPr>
          <w:sz w:val="28"/>
          <w:szCs w:val="28"/>
        </w:rPr>
      </w:pPr>
      <w:r w:rsidRPr="003F6A73">
        <w:rPr>
          <w:sz w:val="28"/>
          <w:szCs w:val="28"/>
        </w:rPr>
        <w:t>Lai arī</w:t>
      </w:r>
      <w:r w:rsidRPr="003F6A73">
        <w:rPr>
          <w:b/>
          <w:sz w:val="28"/>
          <w:szCs w:val="28"/>
        </w:rPr>
        <w:t xml:space="preserve"> </w:t>
      </w:r>
      <w:r w:rsidRPr="003F6A73">
        <w:rPr>
          <w:sz w:val="28"/>
          <w:szCs w:val="28"/>
          <w:lang w:eastAsia="lv-LV"/>
        </w:rPr>
        <w:t xml:space="preserve">kopumā ir atbalstāma ideja </w:t>
      </w:r>
      <w:proofErr w:type="spellStart"/>
      <w:r w:rsidRPr="003F6A73">
        <w:rPr>
          <w:sz w:val="28"/>
          <w:szCs w:val="28"/>
        </w:rPr>
        <w:t>efektivizēt</w:t>
      </w:r>
      <w:proofErr w:type="spellEnd"/>
      <w:r w:rsidRPr="003F6A73">
        <w:rPr>
          <w:sz w:val="28"/>
          <w:szCs w:val="28"/>
        </w:rPr>
        <w:t xml:space="preserve"> civiltiesisku mehānismu aizsardzības pasākumiem pārrobežu civillietās, </w:t>
      </w:r>
      <w:r w:rsidRPr="003F6A73">
        <w:rPr>
          <w:b/>
          <w:sz w:val="28"/>
          <w:szCs w:val="28"/>
        </w:rPr>
        <w:t>Latvija šobrīd piesardzīgi vērtē Komisijas priekšlikumu</w:t>
      </w:r>
      <w:r w:rsidRPr="003F6A73">
        <w:rPr>
          <w:sz w:val="28"/>
          <w:szCs w:val="28"/>
        </w:rPr>
        <w:t>. Jāatzīmē, ka šobrīd Latvijas nacionālajā regulējumā nav paredzēti aizsardzības pasākumi personisko tiesību aizskārumu gadījumos civillietās. Taču šis regulējums ir izstrādes stadijā. Tāpēc vairākos būtiskos jautājumos Latvijai ir nepieciešams saņemt papildu skaidrojumu un precizējumus, lai Latvija Regulas projektu varētu atbalstīt pilnībā.</w:t>
      </w:r>
    </w:p>
    <w:p w:rsidR="003D7174" w:rsidRPr="002A6112" w:rsidRDefault="003D7174" w:rsidP="003D7174">
      <w:pPr>
        <w:jc w:val="both"/>
        <w:rPr>
          <w:sz w:val="28"/>
          <w:szCs w:val="28"/>
        </w:rPr>
      </w:pPr>
    </w:p>
    <w:p w:rsidR="005D5794" w:rsidRPr="005D5794" w:rsidRDefault="003F6A73" w:rsidP="005D5794">
      <w:pPr>
        <w:jc w:val="both"/>
        <w:rPr>
          <w:sz w:val="26"/>
          <w:szCs w:val="26"/>
        </w:rPr>
      </w:pPr>
      <w:r w:rsidRPr="003F6A73">
        <w:rPr>
          <w:sz w:val="28"/>
          <w:szCs w:val="28"/>
        </w:rPr>
        <w:t>Tieslietu ministrs</w:t>
      </w:r>
      <w:r w:rsidRPr="003F6A73">
        <w:rPr>
          <w:sz w:val="28"/>
          <w:szCs w:val="28"/>
        </w:rPr>
        <w:tab/>
      </w:r>
      <w:r w:rsidRPr="003F6A73">
        <w:rPr>
          <w:sz w:val="28"/>
          <w:szCs w:val="28"/>
        </w:rPr>
        <w:tab/>
      </w:r>
      <w:r w:rsidRPr="003F6A73">
        <w:rPr>
          <w:sz w:val="28"/>
          <w:szCs w:val="28"/>
        </w:rPr>
        <w:tab/>
      </w:r>
      <w:r w:rsidRPr="003F6A73">
        <w:rPr>
          <w:sz w:val="28"/>
          <w:szCs w:val="28"/>
        </w:rPr>
        <w:tab/>
      </w:r>
      <w:r w:rsidRPr="003F6A73">
        <w:rPr>
          <w:sz w:val="28"/>
          <w:szCs w:val="28"/>
        </w:rPr>
        <w:tab/>
      </w:r>
      <w:r w:rsidRPr="003F6A73">
        <w:rPr>
          <w:sz w:val="28"/>
          <w:szCs w:val="28"/>
        </w:rPr>
        <w:tab/>
      </w:r>
      <w:r w:rsidRPr="003F6A73">
        <w:rPr>
          <w:sz w:val="28"/>
          <w:szCs w:val="28"/>
        </w:rPr>
        <w:tab/>
      </w:r>
      <w:r w:rsidRPr="003F6A73">
        <w:rPr>
          <w:sz w:val="28"/>
          <w:szCs w:val="28"/>
        </w:rPr>
        <w:tab/>
        <w:t>A. Štokenbergs</w:t>
      </w:r>
    </w:p>
    <w:p w:rsidR="005D5794" w:rsidRDefault="005D5794" w:rsidP="005D5794">
      <w:pPr>
        <w:rPr>
          <w:sz w:val="20"/>
          <w:szCs w:val="20"/>
        </w:rPr>
      </w:pPr>
    </w:p>
    <w:p w:rsidR="005D5794" w:rsidRDefault="005D5794" w:rsidP="005D5794">
      <w:pPr>
        <w:rPr>
          <w:sz w:val="20"/>
          <w:szCs w:val="20"/>
        </w:rPr>
      </w:pPr>
    </w:p>
    <w:p w:rsidR="005D5794" w:rsidRDefault="005D5794" w:rsidP="005D5794">
      <w:pPr>
        <w:rPr>
          <w:sz w:val="20"/>
          <w:szCs w:val="20"/>
        </w:rPr>
      </w:pPr>
      <w:r>
        <w:rPr>
          <w:sz w:val="20"/>
          <w:szCs w:val="20"/>
        </w:rPr>
        <w:t>27.09.2011. 1</w:t>
      </w:r>
      <w:r w:rsidR="00CF0873">
        <w:rPr>
          <w:sz w:val="20"/>
          <w:szCs w:val="20"/>
        </w:rPr>
        <w:t>5:35</w:t>
      </w:r>
    </w:p>
    <w:p w:rsidR="005D5794" w:rsidRDefault="00CF0873" w:rsidP="005D5794">
      <w:pPr>
        <w:rPr>
          <w:sz w:val="20"/>
          <w:szCs w:val="20"/>
        </w:rPr>
      </w:pPr>
      <w:r>
        <w:rPr>
          <w:sz w:val="20"/>
          <w:szCs w:val="20"/>
        </w:rPr>
        <w:t>236</w:t>
      </w:r>
    </w:p>
    <w:p w:rsidR="005D5794" w:rsidRDefault="005D5794" w:rsidP="005D5794">
      <w:pPr>
        <w:tabs>
          <w:tab w:val="left" w:pos="3060"/>
        </w:tabs>
        <w:rPr>
          <w:sz w:val="20"/>
          <w:szCs w:val="20"/>
        </w:rPr>
      </w:pPr>
      <w:r>
        <w:rPr>
          <w:sz w:val="20"/>
          <w:szCs w:val="20"/>
        </w:rPr>
        <w:t xml:space="preserve">Liene </w:t>
      </w:r>
      <w:proofErr w:type="spellStart"/>
      <w:r>
        <w:rPr>
          <w:sz w:val="20"/>
          <w:szCs w:val="20"/>
        </w:rPr>
        <w:t>Jenča</w:t>
      </w:r>
      <w:proofErr w:type="spellEnd"/>
    </w:p>
    <w:p w:rsidR="005D5794" w:rsidRDefault="005D5794" w:rsidP="005D5794">
      <w:pPr>
        <w:tabs>
          <w:tab w:val="left" w:pos="3060"/>
        </w:tabs>
        <w:rPr>
          <w:sz w:val="20"/>
          <w:szCs w:val="20"/>
        </w:rPr>
      </w:pPr>
      <w:r>
        <w:rPr>
          <w:sz w:val="20"/>
          <w:szCs w:val="20"/>
        </w:rPr>
        <w:t>Eiropas lietu departaments</w:t>
      </w:r>
    </w:p>
    <w:p w:rsidR="005D5794" w:rsidRPr="007B2B55" w:rsidRDefault="005D5794" w:rsidP="005D5794">
      <w:pPr>
        <w:pStyle w:val="naisf"/>
        <w:spacing w:before="0" w:after="0"/>
        <w:ind w:firstLine="0"/>
        <w:rPr>
          <w:b/>
        </w:rPr>
      </w:pPr>
      <w:r>
        <w:rPr>
          <w:sz w:val="20"/>
          <w:szCs w:val="20"/>
        </w:rPr>
        <w:t xml:space="preserve">67036936, </w:t>
      </w:r>
      <w:hyperlink r:id="rId7" w:history="1">
        <w:r w:rsidRPr="009216D1">
          <w:rPr>
            <w:rStyle w:val="Hyperlink"/>
            <w:sz w:val="20"/>
            <w:szCs w:val="20"/>
          </w:rPr>
          <w:t>liene.jenca@tm.gov.lv</w:t>
        </w:r>
      </w:hyperlink>
    </w:p>
    <w:p w:rsidR="00276E40" w:rsidRPr="004B26BC" w:rsidRDefault="00276E40" w:rsidP="004B26BC">
      <w:pPr>
        <w:rPr>
          <w:sz w:val="28"/>
          <w:szCs w:val="28"/>
        </w:rPr>
      </w:pPr>
    </w:p>
    <w:sectPr w:rsidR="00276E40" w:rsidRPr="004B26BC" w:rsidSect="002A6112">
      <w:footerReference w:type="default" r:id="rId8"/>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54A" w:rsidRDefault="00E9154A" w:rsidP="003D7174">
      <w:r>
        <w:separator/>
      </w:r>
    </w:p>
  </w:endnote>
  <w:endnote w:type="continuationSeparator" w:id="0">
    <w:p w:rsidR="00E9154A" w:rsidRDefault="00E9154A" w:rsidP="003D71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51C" w:rsidRPr="002A6112" w:rsidRDefault="003F6A73" w:rsidP="005D5794">
    <w:pPr>
      <w:pStyle w:val="Footer"/>
      <w:jc w:val="both"/>
      <w:rPr>
        <w:i/>
        <w:sz w:val="20"/>
        <w:szCs w:val="20"/>
      </w:rPr>
    </w:pPr>
    <w:r w:rsidRPr="003F6A73">
      <w:rPr>
        <w:i/>
        <w:sz w:val="20"/>
        <w:szCs w:val="20"/>
      </w:rPr>
      <w:t>TMzin_270911_MK; Latvijas nacionālā (sākotnējā) pozīcija par priekšlikumu Eiropas Parlamenta un Padomes regulai</w:t>
    </w:r>
    <w:r w:rsidRPr="003F6A73">
      <w:rPr>
        <w:b/>
        <w:sz w:val="20"/>
        <w:szCs w:val="20"/>
      </w:rPr>
      <w:t xml:space="preserve"> </w:t>
    </w:r>
    <w:r w:rsidRPr="003F6A73">
      <w:rPr>
        <w:i/>
        <w:sz w:val="20"/>
        <w:szCs w:val="20"/>
      </w:rPr>
      <w:t>par aizsardzības pasākumu savstarpēju atzīšanu civillietās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54A" w:rsidRDefault="00E9154A" w:rsidP="003D7174">
      <w:r>
        <w:separator/>
      </w:r>
    </w:p>
  </w:footnote>
  <w:footnote w:type="continuationSeparator" w:id="0">
    <w:p w:rsidR="00E9154A" w:rsidRDefault="00E9154A" w:rsidP="003D7174">
      <w:r>
        <w:continuationSeparator/>
      </w:r>
    </w:p>
  </w:footnote>
  <w:footnote w:id="1">
    <w:p w:rsidR="003D7174" w:rsidRDefault="003D7174" w:rsidP="00E51E0C">
      <w:pPr>
        <w:pStyle w:val="FootnoteText"/>
        <w:ind w:left="284" w:right="-1" w:hanging="284"/>
        <w:jc w:val="both"/>
      </w:pPr>
      <w:r>
        <w:rPr>
          <w:rStyle w:val="FootnoteReference"/>
        </w:rPr>
        <w:footnoteRef/>
      </w:r>
      <w:r>
        <w:t xml:space="preserve">  </w:t>
      </w:r>
      <w:r w:rsidRPr="00534267">
        <w:rPr>
          <w:noProof/>
        </w:rPr>
        <w:t>Piekšlikums Eiropas Parlamenta un Padomes Direktīvai par Eiropas aizsardzības rīkojumu</w:t>
      </w:r>
      <w:r>
        <w:rPr>
          <w:noProof/>
          <w:sz w:val="24"/>
          <w:szCs w:val="24"/>
        </w:rPr>
        <w:t xml:space="preserve"> </w:t>
      </w:r>
      <w:r>
        <w:rPr>
          <w:szCs w:val="24"/>
        </w:rPr>
        <w:t>13577/09 COPEN 176, 2009. gada 23.septembris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D7174"/>
    <w:rsid w:val="00004582"/>
    <w:rsid w:val="0002168D"/>
    <w:rsid w:val="00086AEE"/>
    <w:rsid w:val="00150330"/>
    <w:rsid w:val="00241189"/>
    <w:rsid w:val="00272D32"/>
    <w:rsid w:val="00276E40"/>
    <w:rsid w:val="002900F4"/>
    <w:rsid w:val="002A6112"/>
    <w:rsid w:val="003A3B34"/>
    <w:rsid w:val="003D7174"/>
    <w:rsid w:val="003F6A73"/>
    <w:rsid w:val="00444458"/>
    <w:rsid w:val="0046649C"/>
    <w:rsid w:val="004B26BC"/>
    <w:rsid w:val="0055114F"/>
    <w:rsid w:val="005D5794"/>
    <w:rsid w:val="006C3AAF"/>
    <w:rsid w:val="00765FB6"/>
    <w:rsid w:val="007C42A5"/>
    <w:rsid w:val="008A0C55"/>
    <w:rsid w:val="008A4628"/>
    <w:rsid w:val="00A03F58"/>
    <w:rsid w:val="00A17ADD"/>
    <w:rsid w:val="00A22591"/>
    <w:rsid w:val="00A43373"/>
    <w:rsid w:val="00AE75F1"/>
    <w:rsid w:val="00B16762"/>
    <w:rsid w:val="00B24501"/>
    <w:rsid w:val="00BA4D6B"/>
    <w:rsid w:val="00BE2F9A"/>
    <w:rsid w:val="00C374E2"/>
    <w:rsid w:val="00CF0873"/>
    <w:rsid w:val="00D50594"/>
    <w:rsid w:val="00D56CE1"/>
    <w:rsid w:val="00D86488"/>
    <w:rsid w:val="00DC52A7"/>
    <w:rsid w:val="00E51E0C"/>
    <w:rsid w:val="00E6751C"/>
    <w:rsid w:val="00E9154A"/>
    <w:rsid w:val="00E942E4"/>
    <w:rsid w:val="00F43B17"/>
    <w:rsid w:val="00F823D1"/>
    <w:rsid w:val="00FA1F6B"/>
    <w:rsid w:val="00FB3514"/>
    <w:rsid w:val="00FE1B1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1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7174"/>
    <w:pPr>
      <w:jc w:val="center"/>
    </w:pPr>
    <w:rPr>
      <w:b/>
      <w:bCs/>
    </w:rPr>
  </w:style>
  <w:style w:type="character" w:customStyle="1" w:styleId="TitleChar">
    <w:name w:val="Title Char"/>
    <w:basedOn w:val="DefaultParagraphFont"/>
    <w:link w:val="Title"/>
    <w:rsid w:val="003D7174"/>
    <w:rPr>
      <w:rFonts w:ascii="Times New Roman" w:eastAsia="Times New Roman" w:hAnsi="Times New Roman" w:cs="Times New Roman"/>
      <w:b/>
      <w:bCs/>
      <w:sz w:val="24"/>
      <w:szCs w:val="24"/>
    </w:rPr>
  </w:style>
  <w:style w:type="paragraph" w:styleId="BodyText">
    <w:name w:val="Body Text"/>
    <w:basedOn w:val="Normal"/>
    <w:link w:val="BodyTextChar"/>
    <w:rsid w:val="003D7174"/>
    <w:pPr>
      <w:suppressAutoHyphens/>
      <w:jc w:val="both"/>
    </w:pPr>
    <w:rPr>
      <w:lang w:eastAsia="ar-SA"/>
    </w:rPr>
  </w:style>
  <w:style w:type="character" w:customStyle="1" w:styleId="BodyTextChar">
    <w:name w:val="Body Text Char"/>
    <w:basedOn w:val="DefaultParagraphFont"/>
    <w:link w:val="BodyText"/>
    <w:rsid w:val="003D7174"/>
    <w:rPr>
      <w:rFonts w:ascii="Times New Roman" w:eastAsia="Times New Roman" w:hAnsi="Times New Roman" w:cs="Times New Roman"/>
      <w:sz w:val="24"/>
      <w:szCs w:val="24"/>
      <w:lang w:eastAsia="ar-SA"/>
    </w:rPr>
  </w:style>
  <w:style w:type="paragraph" w:styleId="FootnoteText">
    <w:name w:val="footnote text"/>
    <w:basedOn w:val="Normal"/>
    <w:link w:val="FootnoteTextChar"/>
    <w:unhideWhenUsed/>
    <w:rsid w:val="003D7174"/>
    <w:rPr>
      <w:sz w:val="20"/>
      <w:szCs w:val="20"/>
      <w:lang w:eastAsia="lv-LV"/>
    </w:rPr>
  </w:style>
  <w:style w:type="character" w:customStyle="1" w:styleId="FootnoteTextChar">
    <w:name w:val="Footnote Text Char"/>
    <w:basedOn w:val="DefaultParagraphFont"/>
    <w:link w:val="FootnoteText"/>
    <w:rsid w:val="003D7174"/>
    <w:rPr>
      <w:rFonts w:ascii="Times New Roman" w:eastAsia="Times New Roman" w:hAnsi="Times New Roman" w:cs="Times New Roman"/>
      <w:sz w:val="20"/>
      <w:szCs w:val="20"/>
      <w:lang w:eastAsia="lv-LV"/>
    </w:rPr>
  </w:style>
  <w:style w:type="character" w:styleId="FootnoteReference">
    <w:name w:val="footnote reference"/>
    <w:basedOn w:val="DefaultParagraphFont"/>
    <w:unhideWhenUsed/>
    <w:rsid w:val="003D7174"/>
    <w:rPr>
      <w:vertAlign w:val="superscript"/>
    </w:rPr>
  </w:style>
  <w:style w:type="paragraph" w:styleId="Header">
    <w:name w:val="header"/>
    <w:basedOn w:val="Normal"/>
    <w:link w:val="HeaderChar"/>
    <w:uiPriority w:val="99"/>
    <w:semiHidden/>
    <w:unhideWhenUsed/>
    <w:rsid w:val="00E6751C"/>
    <w:pPr>
      <w:tabs>
        <w:tab w:val="center" w:pos="4153"/>
        <w:tab w:val="right" w:pos="8306"/>
      </w:tabs>
    </w:pPr>
  </w:style>
  <w:style w:type="character" w:customStyle="1" w:styleId="HeaderChar">
    <w:name w:val="Header Char"/>
    <w:basedOn w:val="DefaultParagraphFont"/>
    <w:link w:val="Header"/>
    <w:uiPriority w:val="99"/>
    <w:semiHidden/>
    <w:rsid w:val="00E6751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6751C"/>
    <w:pPr>
      <w:tabs>
        <w:tab w:val="center" w:pos="4153"/>
        <w:tab w:val="right" w:pos="8306"/>
      </w:tabs>
    </w:pPr>
  </w:style>
  <w:style w:type="character" w:customStyle="1" w:styleId="FooterChar">
    <w:name w:val="Footer Char"/>
    <w:basedOn w:val="DefaultParagraphFont"/>
    <w:link w:val="Footer"/>
    <w:uiPriority w:val="99"/>
    <w:semiHidden/>
    <w:rsid w:val="00E6751C"/>
    <w:rPr>
      <w:rFonts w:ascii="Times New Roman" w:eastAsia="Times New Roman" w:hAnsi="Times New Roman" w:cs="Times New Roman"/>
      <w:sz w:val="24"/>
      <w:szCs w:val="24"/>
    </w:rPr>
  </w:style>
  <w:style w:type="paragraph" w:customStyle="1" w:styleId="naisf">
    <w:name w:val="naisf"/>
    <w:basedOn w:val="Normal"/>
    <w:rsid w:val="005D5794"/>
    <w:pPr>
      <w:spacing w:before="44" w:after="44"/>
      <w:ind w:firstLine="221"/>
      <w:jc w:val="both"/>
    </w:pPr>
    <w:rPr>
      <w:lang w:eastAsia="lv-LV"/>
    </w:rPr>
  </w:style>
  <w:style w:type="character" w:styleId="Hyperlink">
    <w:name w:val="Hyperlink"/>
    <w:basedOn w:val="DefaultParagraphFont"/>
    <w:uiPriority w:val="99"/>
    <w:unhideWhenUsed/>
    <w:rsid w:val="005D5794"/>
    <w:rPr>
      <w:color w:val="0000FF"/>
      <w:u w:val="single"/>
    </w:rPr>
  </w:style>
  <w:style w:type="paragraph" w:styleId="BalloonText">
    <w:name w:val="Balloon Text"/>
    <w:basedOn w:val="Normal"/>
    <w:link w:val="BalloonTextChar"/>
    <w:uiPriority w:val="99"/>
    <w:semiHidden/>
    <w:unhideWhenUsed/>
    <w:rsid w:val="005D5794"/>
    <w:rPr>
      <w:rFonts w:ascii="Tahoma" w:hAnsi="Tahoma" w:cs="Tahoma"/>
      <w:sz w:val="16"/>
      <w:szCs w:val="16"/>
    </w:rPr>
  </w:style>
  <w:style w:type="character" w:customStyle="1" w:styleId="BalloonTextChar">
    <w:name w:val="Balloon Text Char"/>
    <w:basedOn w:val="DefaultParagraphFont"/>
    <w:link w:val="BalloonText"/>
    <w:uiPriority w:val="99"/>
    <w:semiHidden/>
    <w:rsid w:val="005D579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ene.jenca@tm.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9CD67-4E82-46F7-BA44-91E3023B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1876</Characters>
  <Application>Microsoft Office Word</Application>
  <DocSecurity>4</DocSecurity>
  <Lines>15</Lines>
  <Paragraphs>4</Paragraphs>
  <ScaleCrop>false</ScaleCrop>
  <Company>Tieslietu Ministrija</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TMzin_270911_MK</dc:title>
  <dc:creator>liene jenča</dc:creator>
  <dc:description>L.Jenča 67036936, liene.jenca@tm.gov.lv</dc:description>
  <cp:lastModifiedBy>liene</cp:lastModifiedBy>
  <cp:revision>2</cp:revision>
  <cp:lastPrinted>2011-09-27T08:57:00Z</cp:lastPrinted>
  <dcterms:created xsi:type="dcterms:W3CDTF">2011-09-28T07:30:00Z</dcterms:created>
  <dcterms:modified xsi:type="dcterms:W3CDTF">2011-09-28T07:30:00Z</dcterms:modified>
</cp:coreProperties>
</file>