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A3" w:rsidRPr="00314EA5" w:rsidRDefault="00DC3DA3" w:rsidP="00DC3DA3">
      <w:pPr>
        <w:jc w:val="right"/>
        <w:rPr>
          <w:rFonts w:ascii="Times New Roman" w:hAnsi="Times New Roman"/>
          <w:b/>
          <w:i/>
          <w:sz w:val="28"/>
          <w:szCs w:val="28"/>
        </w:rPr>
      </w:pPr>
      <w:bookmarkStart w:id="0" w:name="_GoBack"/>
      <w:bookmarkEnd w:id="0"/>
      <w:r w:rsidRPr="00314EA5">
        <w:rPr>
          <w:rFonts w:ascii="Times New Roman" w:hAnsi="Times New Roman"/>
          <w:b/>
          <w:i/>
          <w:sz w:val="28"/>
          <w:szCs w:val="28"/>
        </w:rPr>
        <w:t>Projekts</w:t>
      </w:r>
    </w:p>
    <w:p w:rsidR="00DC3DA3" w:rsidRDefault="00DC3DA3" w:rsidP="00DC3DA3">
      <w:pPr>
        <w:spacing w:after="0" w:line="240" w:lineRule="auto"/>
        <w:jc w:val="center"/>
        <w:rPr>
          <w:rFonts w:ascii="Times New Roman" w:hAnsi="Times New Roman"/>
          <w:b/>
          <w:sz w:val="28"/>
          <w:szCs w:val="28"/>
        </w:rPr>
      </w:pPr>
      <w:r w:rsidRPr="00314EA5">
        <w:rPr>
          <w:rFonts w:ascii="Times New Roman" w:hAnsi="Times New Roman"/>
          <w:b/>
          <w:sz w:val="28"/>
          <w:szCs w:val="28"/>
        </w:rPr>
        <w:t xml:space="preserve">Informatīvais ziņojums par tiesību aktu virzību saistībā ar Koncepcijas par Civillikuma mantojuma tiesību daļas modernizāciju izpildi </w:t>
      </w:r>
    </w:p>
    <w:p w:rsidR="00DC3DA3" w:rsidRDefault="00DC3DA3" w:rsidP="00DC3DA3">
      <w:pPr>
        <w:spacing w:after="0" w:line="240" w:lineRule="auto"/>
        <w:jc w:val="center"/>
        <w:rPr>
          <w:rFonts w:ascii="Times New Roman" w:hAnsi="Times New Roman"/>
          <w:b/>
          <w:sz w:val="28"/>
          <w:szCs w:val="28"/>
        </w:rPr>
      </w:pPr>
    </w:p>
    <w:p w:rsidR="00DC3DA3" w:rsidRPr="00314EA5" w:rsidRDefault="00DC3DA3" w:rsidP="00DC3DA3">
      <w:pPr>
        <w:pStyle w:val="naisf"/>
        <w:spacing w:before="0" w:beforeAutospacing="0" w:after="0" w:afterAutospacing="0"/>
        <w:ind w:firstLine="720"/>
        <w:jc w:val="both"/>
        <w:rPr>
          <w:sz w:val="28"/>
          <w:szCs w:val="28"/>
        </w:rPr>
      </w:pPr>
      <w:r w:rsidRPr="00314EA5">
        <w:rPr>
          <w:sz w:val="28"/>
          <w:szCs w:val="28"/>
        </w:rPr>
        <w:t>Ar Ministru kabineta 2009. gada 19. novembra rīkojuma Nr. 797 „</w:t>
      </w:r>
      <w:r w:rsidRPr="00314EA5">
        <w:rPr>
          <w:bCs/>
          <w:sz w:val="28"/>
          <w:szCs w:val="28"/>
        </w:rPr>
        <w:t>Par Koncepciju par Civillikuma Mantojuma tiesību daļas modernizāciju</w:t>
      </w:r>
      <w:r w:rsidRPr="00314EA5">
        <w:rPr>
          <w:sz w:val="28"/>
          <w:szCs w:val="28"/>
        </w:rPr>
        <w:t xml:space="preserve">” (turpmāk – MK rīkojums) tika apstiprināta </w:t>
      </w:r>
      <w:r w:rsidRPr="00314EA5">
        <w:rPr>
          <w:bCs/>
          <w:sz w:val="28"/>
          <w:szCs w:val="28"/>
        </w:rPr>
        <w:t>Koncepcija par Civillikuma Mantojuma tiesību daļas modernizāciju.</w:t>
      </w:r>
      <w:r w:rsidRPr="00314EA5">
        <w:rPr>
          <w:sz w:val="28"/>
          <w:szCs w:val="28"/>
        </w:rPr>
        <w:t xml:space="preserve"> </w:t>
      </w:r>
    </w:p>
    <w:p w:rsidR="00DC3DA3" w:rsidRDefault="00DC3DA3" w:rsidP="00DC3DA3">
      <w:pPr>
        <w:pStyle w:val="Paraststmeklis"/>
        <w:spacing w:before="0" w:beforeAutospacing="0" w:after="0" w:afterAutospacing="0"/>
        <w:ind w:firstLine="720"/>
        <w:jc w:val="both"/>
        <w:rPr>
          <w:rFonts w:ascii="Times New Roman" w:hAnsi="Times New Roman"/>
          <w:sz w:val="28"/>
          <w:szCs w:val="28"/>
        </w:rPr>
      </w:pPr>
      <w:r w:rsidRPr="00314EA5">
        <w:rPr>
          <w:rFonts w:ascii="Times New Roman" w:hAnsi="Times New Roman"/>
          <w:sz w:val="28"/>
          <w:szCs w:val="28"/>
        </w:rPr>
        <w:t xml:space="preserve">Koncepcija </w:t>
      </w:r>
      <w:r>
        <w:rPr>
          <w:rFonts w:ascii="Times New Roman" w:hAnsi="Times New Roman"/>
          <w:sz w:val="28"/>
          <w:szCs w:val="28"/>
        </w:rPr>
        <w:t>satur</w:t>
      </w:r>
      <w:r w:rsidRPr="00314EA5">
        <w:rPr>
          <w:rFonts w:ascii="Times New Roman" w:hAnsi="Times New Roman"/>
          <w:sz w:val="28"/>
          <w:szCs w:val="28"/>
        </w:rPr>
        <w:t xml:space="preserve"> Civillikuma Mantojuma tiesību daļas analīzi, atspoguļojot konstatētās nepilnības, kas saistītas ar tās piemērošanu praksē.</w:t>
      </w:r>
    </w:p>
    <w:p w:rsidR="00DC3DA3" w:rsidRPr="00EF29CF" w:rsidRDefault="00DC3DA3" w:rsidP="00DC3DA3">
      <w:pPr>
        <w:pStyle w:val="naisf"/>
        <w:spacing w:before="0" w:beforeAutospacing="0" w:after="0" w:afterAutospacing="0"/>
        <w:ind w:firstLine="720"/>
        <w:jc w:val="both"/>
        <w:rPr>
          <w:sz w:val="28"/>
          <w:szCs w:val="28"/>
        </w:rPr>
      </w:pPr>
      <w:r w:rsidRPr="00314EA5">
        <w:rPr>
          <w:sz w:val="28"/>
          <w:szCs w:val="28"/>
        </w:rPr>
        <w:t>Saskaņā ar MK rīkojuma 3. punktu ar tieslietu ministra 2009. gada 23. </w:t>
      </w:r>
      <w:r w:rsidRPr="00EF29CF">
        <w:rPr>
          <w:sz w:val="28"/>
          <w:szCs w:val="28"/>
        </w:rPr>
        <w:t>decembra rīkojumu Nr. 1-1/435 tika izveidota darba grupa normatīvo aktu projektu, kas saistīti ar Koncepcijas par Civillikuma Mantojuma tiesību daļas modernizācijas īstenošanu, izstrādei.</w:t>
      </w:r>
    </w:p>
    <w:p w:rsidR="00DC3DA3" w:rsidRPr="00DC3DA3" w:rsidRDefault="00DC3DA3" w:rsidP="00DC3DA3">
      <w:pPr>
        <w:pStyle w:val="naisf"/>
        <w:spacing w:before="0" w:beforeAutospacing="0" w:after="0" w:afterAutospacing="0"/>
        <w:ind w:firstLine="493"/>
        <w:jc w:val="both"/>
        <w:rPr>
          <w:sz w:val="28"/>
          <w:szCs w:val="28"/>
        </w:rPr>
      </w:pPr>
      <w:r w:rsidRPr="00EF29CF">
        <w:rPr>
          <w:sz w:val="28"/>
          <w:szCs w:val="28"/>
        </w:rPr>
        <w:t xml:space="preserve">Saskaņā ar MK rīkojuma 4. punktu paredzēts, ka šā rīkojuma 3. punktā minētā darba grupa izstrādā un tieslietu ministrs līdz 2010. gada 30. jūnijam iesniedz noteiktā kārtībā Ministru kabinetā likumprojektus, kas nepieciešami koncepcijas kopsavilkumā ietvertā risinājuma 2.varianta īstenošanai. </w:t>
      </w:r>
      <w:r w:rsidRPr="00DC3DA3">
        <w:rPr>
          <w:sz w:val="28"/>
          <w:szCs w:val="28"/>
        </w:rPr>
        <w:t xml:space="preserve">Savukārt saskaņā ar Ministru kabineta 2012. gada 16. februāra rīkojuma Nr. 84 „Par Valdības rīcības plānu Deklarācijas par Valda </w:t>
      </w:r>
      <w:proofErr w:type="spellStart"/>
      <w:r w:rsidRPr="00DC3DA3">
        <w:rPr>
          <w:sz w:val="28"/>
          <w:szCs w:val="28"/>
        </w:rPr>
        <w:t>Dombrovska</w:t>
      </w:r>
      <w:proofErr w:type="spellEnd"/>
      <w:r w:rsidRPr="00DC3DA3">
        <w:rPr>
          <w:sz w:val="28"/>
          <w:szCs w:val="28"/>
        </w:rPr>
        <w:t xml:space="preserve"> vadītā Ministru kabineta iecerēto darbību īstenošanai” 119.2.apakšpunktā noteikto ir jāizstrādā likumprojekti un tos jāiesniedz Ministru kabinetā līdz 2012. gada 1.septembrim.</w:t>
      </w:r>
    </w:p>
    <w:p w:rsidR="00DC3DA3" w:rsidRPr="00EF29CF" w:rsidRDefault="00DC3DA3" w:rsidP="00DC3DA3">
      <w:pPr>
        <w:spacing w:after="0" w:line="240" w:lineRule="auto"/>
        <w:ind w:firstLine="720"/>
        <w:jc w:val="both"/>
        <w:rPr>
          <w:rFonts w:ascii="Times New Roman" w:hAnsi="Times New Roman"/>
          <w:sz w:val="28"/>
          <w:szCs w:val="28"/>
        </w:rPr>
      </w:pPr>
      <w:r w:rsidRPr="00DC3DA3">
        <w:rPr>
          <w:rFonts w:ascii="Times New Roman" w:hAnsi="Times New Roman"/>
          <w:sz w:val="28"/>
          <w:szCs w:val="28"/>
        </w:rPr>
        <w:t>Līdz šim brīdim, strādājot darba grupā, ir skatīti visi koncepcijā</w:t>
      </w:r>
      <w:r w:rsidRPr="00EF29CF">
        <w:rPr>
          <w:rFonts w:ascii="Times New Roman" w:hAnsi="Times New Roman"/>
          <w:sz w:val="28"/>
          <w:szCs w:val="28"/>
        </w:rPr>
        <w:t xml:space="preserve"> minētie jautājumi: laulāto mantošana, radinieku un adoptēto mantošana, bezmantinieku manta, neatraidāmie mantinieki un to neatņemamā daļa, testamenta forma (publiskie testamenti, priviliģēti testamenti) un substitūcija, legāti (iegūšana un atraidīšana; izpildīšana), līgumiskā mantošana, mantojuma apsardzība un aizgādnība un mantojuma pieņemšana, dalīšana un atraidīšana; transmisija.</w:t>
      </w:r>
    </w:p>
    <w:p w:rsidR="00DC3DA3" w:rsidRPr="000456EF" w:rsidRDefault="00DC3DA3" w:rsidP="00DC3DA3">
      <w:pPr>
        <w:spacing w:after="0" w:line="240" w:lineRule="auto"/>
        <w:ind w:firstLine="720"/>
        <w:jc w:val="both"/>
        <w:rPr>
          <w:rFonts w:ascii="Times New Roman" w:hAnsi="Times New Roman"/>
          <w:sz w:val="28"/>
          <w:szCs w:val="28"/>
        </w:rPr>
      </w:pPr>
      <w:r w:rsidRPr="000456EF">
        <w:rPr>
          <w:rFonts w:ascii="Times New Roman" w:hAnsi="Times New Roman"/>
          <w:sz w:val="28"/>
          <w:szCs w:val="28"/>
        </w:rPr>
        <w:t>Šobrīd darba grupā ir panākta vienošanās un izstrādāti grozījumi saistībā ar šādiem Civillikuma Mantojuma tiesību daļā minēt</w:t>
      </w:r>
      <w:r w:rsidR="00744B7E">
        <w:rPr>
          <w:rFonts w:ascii="Times New Roman" w:hAnsi="Times New Roman"/>
          <w:sz w:val="28"/>
          <w:szCs w:val="28"/>
        </w:rPr>
        <w:t>aj</w:t>
      </w:r>
      <w:r w:rsidRPr="000456EF">
        <w:rPr>
          <w:rFonts w:ascii="Times New Roman" w:hAnsi="Times New Roman"/>
          <w:sz w:val="28"/>
          <w:szCs w:val="28"/>
        </w:rPr>
        <w:t>iem jautājumiem:</w:t>
      </w:r>
    </w:p>
    <w:p w:rsidR="00DC3DA3" w:rsidRPr="000456EF" w:rsidRDefault="00DC3DA3" w:rsidP="00DC3DA3">
      <w:pPr>
        <w:pStyle w:val="Komentrateksts"/>
        <w:numPr>
          <w:ilvl w:val="0"/>
          <w:numId w:val="1"/>
        </w:numPr>
        <w:spacing w:after="0"/>
        <w:ind w:left="714" w:hanging="357"/>
        <w:rPr>
          <w:rFonts w:ascii="Times New Roman" w:hAnsi="Times New Roman"/>
          <w:sz w:val="28"/>
          <w:szCs w:val="28"/>
        </w:rPr>
      </w:pPr>
      <w:r w:rsidRPr="000456EF">
        <w:rPr>
          <w:rFonts w:ascii="Times New Roman" w:hAnsi="Times New Roman"/>
          <w:sz w:val="28"/>
          <w:szCs w:val="28"/>
        </w:rPr>
        <w:t>Laulāto mantošana;</w:t>
      </w:r>
    </w:p>
    <w:p w:rsidR="00DC3DA3" w:rsidRPr="000456EF" w:rsidRDefault="00DC3DA3" w:rsidP="00DC3DA3">
      <w:pPr>
        <w:pStyle w:val="Komentrateksts"/>
        <w:numPr>
          <w:ilvl w:val="0"/>
          <w:numId w:val="1"/>
        </w:numPr>
        <w:spacing w:after="0"/>
        <w:ind w:left="714" w:hanging="357"/>
        <w:rPr>
          <w:rFonts w:ascii="Times New Roman" w:hAnsi="Times New Roman"/>
          <w:sz w:val="28"/>
          <w:szCs w:val="28"/>
        </w:rPr>
      </w:pPr>
      <w:r w:rsidRPr="000456EF">
        <w:rPr>
          <w:rFonts w:ascii="Times New Roman" w:hAnsi="Times New Roman"/>
          <w:sz w:val="28"/>
          <w:szCs w:val="28"/>
        </w:rPr>
        <w:t>Neatņemamās daļas tiesīgie;</w:t>
      </w:r>
    </w:p>
    <w:p w:rsidR="00DC3DA3" w:rsidRPr="000456EF" w:rsidRDefault="00DC3DA3" w:rsidP="00DC3DA3">
      <w:pPr>
        <w:pStyle w:val="Komentrateksts"/>
        <w:numPr>
          <w:ilvl w:val="0"/>
          <w:numId w:val="1"/>
        </w:numPr>
        <w:spacing w:after="0"/>
        <w:ind w:left="714" w:hanging="357"/>
        <w:jc w:val="both"/>
        <w:rPr>
          <w:rFonts w:ascii="Times New Roman" w:hAnsi="Times New Roman"/>
          <w:sz w:val="28"/>
          <w:szCs w:val="28"/>
        </w:rPr>
      </w:pPr>
      <w:r w:rsidRPr="000456EF">
        <w:rPr>
          <w:rFonts w:ascii="Times New Roman" w:hAnsi="Times New Roman"/>
          <w:sz w:val="28"/>
          <w:szCs w:val="28"/>
        </w:rPr>
        <w:t>Testamenti, izņemot substitūcijas jautājumu, kas saistīts ar mantojuma pieņemšanas tiesisko regulējumu;</w:t>
      </w:r>
    </w:p>
    <w:p w:rsidR="00DC3DA3" w:rsidRPr="000456EF" w:rsidRDefault="00DC3DA3" w:rsidP="00DC3DA3">
      <w:pPr>
        <w:pStyle w:val="Komentrateksts"/>
        <w:numPr>
          <w:ilvl w:val="0"/>
          <w:numId w:val="1"/>
        </w:numPr>
        <w:spacing w:after="0"/>
        <w:ind w:left="714" w:hanging="357"/>
        <w:rPr>
          <w:rFonts w:ascii="Times New Roman" w:hAnsi="Times New Roman"/>
          <w:sz w:val="28"/>
          <w:szCs w:val="28"/>
        </w:rPr>
      </w:pPr>
      <w:r w:rsidRPr="000456EF">
        <w:rPr>
          <w:rFonts w:ascii="Times New Roman" w:hAnsi="Times New Roman"/>
          <w:sz w:val="28"/>
          <w:szCs w:val="28"/>
        </w:rPr>
        <w:t>Līgumiskā mantošana;</w:t>
      </w:r>
    </w:p>
    <w:p w:rsidR="00DC3DA3" w:rsidRDefault="00DC3DA3" w:rsidP="00DC3DA3">
      <w:pPr>
        <w:pStyle w:val="Komentrateksts"/>
        <w:numPr>
          <w:ilvl w:val="0"/>
          <w:numId w:val="1"/>
        </w:numPr>
        <w:spacing w:after="0"/>
        <w:ind w:left="714" w:hanging="357"/>
        <w:rPr>
          <w:rFonts w:ascii="Times New Roman" w:hAnsi="Times New Roman"/>
          <w:sz w:val="28"/>
          <w:szCs w:val="28"/>
        </w:rPr>
      </w:pPr>
      <w:r w:rsidRPr="000456EF">
        <w:rPr>
          <w:rFonts w:ascii="Times New Roman" w:hAnsi="Times New Roman"/>
          <w:sz w:val="28"/>
          <w:szCs w:val="28"/>
        </w:rPr>
        <w:t>Mantojuma aizgādnība.</w:t>
      </w:r>
    </w:p>
    <w:p w:rsidR="00DC3DA3" w:rsidRPr="000456EF" w:rsidRDefault="00DC3DA3" w:rsidP="00DC3DA3">
      <w:pPr>
        <w:pStyle w:val="Komentrateksts"/>
        <w:spacing w:after="0"/>
        <w:ind w:left="357" w:firstLine="352"/>
        <w:rPr>
          <w:rFonts w:ascii="Times New Roman" w:hAnsi="Times New Roman"/>
          <w:sz w:val="28"/>
          <w:szCs w:val="28"/>
        </w:rPr>
      </w:pPr>
      <w:r>
        <w:rPr>
          <w:rFonts w:ascii="Times New Roman" w:hAnsi="Times New Roman"/>
          <w:sz w:val="28"/>
          <w:szCs w:val="28"/>
        </w:rPr>
        <w:t xml:space="preserve">Izstrādātie grozījumi </w:t>
      </w:r>
      <w:r w:rsidRPr="000456EF">
        <w:rPr>
          <w:rFonts w:ascii="Times New Roman" w:hAnsi="Times New Roman"/>
          <w:sz w:val="28"/>
          <w:szCs w:val="28"/>
        </w:rPr>
        <w:t>paredz:</w:t>
      </w:r>
    </w:p>
    <w:p w:rsidR="00DC3DA3" w:rsidRPr="00BF6AEA" w:rsidRDefault="00DC3DA3" w:rsidP="00BF6AEA">
      <w:pPr>
        <w:spacing w:after="0" w:line="240" w:lineRule="auto"/>
        <w:ind w:firstLine="493"/>
        <w:jc w:val="both"/>
        <w:rPr>
          <w:rFonts w:ascii="Times New Roman" w:hAnsi="Times New Roman"/>
          <w:sz w:val="28"/>
          <w:szCs w:val="28"/>
        </w:rPr>
      </w:pPr>
      <w:r>
        <w:rPr>
          <w:rFonts w:ascii="Times New Roman" w:hAnsi="Times New Roman"/>
          <w:sz w:val="28"/>
          <w:szCs w:val="28"/>
        </w:rPr>
        <w:t xml:space="preserve">1) </w:t>
      </w:r>
      <w:r w:rsidRPr="000456EF">
        <w:rPr>
          <w:rFonts w:ascii="Times New Roman" w:hAnsi="Times New Roman"/>
          <w:sz w:val="28"/>
          <w:szCs w:val="28"/>
        </w:rPr>
        <w:t>atteikties no lieciniekiem pie publiska testamenta taisīšanas. Attiecībā uz tiem, kas nespēj vai neprot parakstīties, regulējums ir paredzēt</w:t>
      </w:r>
      <w:r w:rsidR="00744B7E">
        <w:rPr>
          <w:rFonts w:ascii="Times New Roman" w:hAnsi="Times New Roman"/>
          <w:sz w:val="28"/>
          <w:szCs w:val="28"/>
        </w:rPr>
        <w:t>s Notariāta likuma 72.pantā – </w:t>
      </w:r>
      <w:r w:rsidRPr="000456EF">
        <w:rPr>
          <w:rFonts w:ascii="Times New Roman" w:hAnsi="Times New Roman"/>
          <w:sz w:val="28"/>
          <w:szCs w:val="28"/>
        </w:rPr>
        <w:t xml:space="preserve">personas, kas neprot vai nespēj parakstīties, uzdod to savā vietā izdarīt citai personai, ko ar savu parakstu apliecina šī persona un zvērināts notārs. Šajā gadījumā ir vajadzīgi Civillikuma 1494. pantā norādītie liecinieki. Turklāt arī Bāriņtiesu likuma 74.pants noteic, ka, ja persona neprot vai nevar </w:t>
      </w:r>
      <w:r w:rsidRPr="000456EF">
        <w:rPr>
          <w:rFonts w:ascii="Times New Roman" w:hAnsi="Times New Roman"/>
          <w:sz w:val="28"/>
          <w:szCs w:val="28"/>
        </w:rPr>
        <w:lastRenderedPageBreak/>
        <w:t xml:space="preserve">rakstīt, divu liecinieku klātbūtnē parakstās cita persona, kurai šī persona to uztic, un par to izdara </w:t>
      </w:r>
      <w:r w:rsidR="00744B7E">
        <w:rPr>
          <w:rFonts w:ascii="Times New Roman" w:hAnsi="Times New Roman"/>
          <w:sz w:val="28"/>
          <w:szCs w:val="28"/>
        </w:rPr>
        <w:t xml:space="preserve">atzīmi apliecinājuma uzrakstā. </w:t>
      </w:r>
      <w:r w:rsidRPr="000456EF">
        <w:rPr>
          <w:rFonts w:ascii="Times New Roman" w:hAnsi="Times New Roman"/>
          <w:sz w:val="28"/>
          <w:szCs w:val="28"/>
        </w:rPr>
        <w:t>Savukārt attiecībā uz tām personām, kuru identit</w:t>
      </w:r>
      <w:r w:rsidR="00744B7E">
        <w:rPr>
          <w:rFonts w:ascii="Times New Roman" w:hAnsi="Times New Roman"/>
          <w:sz w:val="28"/>
          <w:szCs w:val="28"/>
        </w:rPr>
        <w:t xml:space="preserve">āti nevar noskaidrot, spēkā ir </w:t>
      </w:r>
      <w:r w:rsidRPr="000456EF">
        <w:rPr>
          <w:rFonts w:ascii="Times New Roman" w:hAnsi="Times New Roman"/>
          <w:sz w:val="28"/>
          <w:szCs w:val="28"/>
        </w:rPr>
        <w:t>Notariāta likuma 76.pants, kas noteic, ka, ja zvērināts notārs nepazīst personu, kurai jātaisa akts vai apliecinājums vai kura jāidentificē citā sakarā, viņš noskaidro šīs personas identitāti pēc pases vai personas apliecības. Ja minētā persona nevar šādu dokumentu uzrādīt, zvērināts notārs noskaidro tās identitāti pēc citiem ticamiem dokumentiem, ja nepieciešams, papildinot trūkstošās ziņas pēc divu liecinieku liecībām. Aktā vai apliecinājumā jānorāda, kādā veidā ir noskaidrota personas identitāte. Liecinieki, kuri apliecina zvērinātam notāram nepazīstamas personas identitāti, dod parakstu par kriminālatbildību par apzināti nepatiesu liecību. Tāpat piemērojami Notariāta likuma 95</w:t>
      </w:r>
      <w:r>
        <w:rPr>
          <w:rFonts w:ascii="Times New Roman" w:hAnsi="Times New Roman"/>
          <w:sz w:val="28"/>
          <w:szCs w:val="28"/>
        </w:rPr>
        <w:t>. – </w:t>
      </w:r>
      <w:r w:rsidRPr="000456EF">
        <w:rPr>
          <w:rFonts w:ascii="Times New Roman" w:hAnsi="Times New Roman"/>
          <w:sz w:val="28"/>
          <w:szCs w:val="28"/>
        </w:rPr>
        <w:t>99. </w:t>
      </w:r>
      <w:r w:rsidRPr="008E7B02">
        <w:rPr>
          <w:rFonts w:ascii="Times New Roman" w:hAnsi="Times New Roman"/>
          <w:sz w:val="28"/>
          <w:szCs w:val="28"/>
        </w:rPr>
        <w:t>panti attiecībā uz kurli</w:t>
      </w:r>
      <w:r>
        <w:rPr>
          <w:rFonts w:ascii="Times New Roman" w:hAnsi="Times New Roman"/>
          <w:sz w:val="28"/>
          <w:szCs w:val="28"/>
        </w:rPr>
        <w:t>em</w:t>
      </w:r>
      <w:r w:rsidRPr="008E7B02">
        <w:rPr>
          <w:rFonts w:ascii="Times New Roman" w:hAnsi="Times New Roman"/>
          <w:sz w:val="28"/>
          <w:szCs w:val="28"/>
        </w:rPr>
        <w:t xml:space="preserve">, </w:t>
      </w:r>
      <w:r w:rsidRPr="00BF6AEA">
        <w:rPr>
          <w:rFonts w:ascii="Times New Roman" w:hAnsi="Times New Roman"/>
          <w:sz w:val="28"/>
          <w:szCs w:val="28"/>
        </w:rPr>
        <w:t>mēmiem vai akliem;</w:t>
      </w:r>
    </w:p>
    <w:p w:rsidR="00DC3DA3" w:rsidRPr="00BF6AEA" w:rsidRDefault="00DC3DA3" w:rsidP="00BF6AEA">
      <w:pPr>
        <w:spacing w:after="0" w:line="240" w:lineRule="auto"/>
        <w:ind w:firstLine="720"/>
        <w:jc w:val="both"/>
        <w:rPr>
          <w:rFonts w:ascii="Times New Roman" w:hAnsi="Times New Roman"/>
          <w:sz w:val="28"/>
          <w:szCs w:val="28"/>
        </w:rPr>
      </w:pPr>
      <w:r w:rsidRPr="00BF6AEA">
        <w:rPr>
          <w:rFonts w:ascii="Times New Roman" w:hAnsi="Times New Roman"/>
          <w:sz w:val="28"/>
          <w:szCs w:val="28"/>
        </w:rPr>
        <w:t>2)  paplašināt mantinieku uzskaitījumu Civillikuma 396. panta otrajā daļā, to tieši attiecinot arī uz pusbrāļiem/pusmāsām vai to bērniem</w:t>
      </w:r>
      <w:r w:rsidR="00BF6AEA" w:rsidRPr="00BF6AEA">
        <w:rPr>
          <w:rFonts w:ascii="Times New Roman" w:hAnsi="Times New Roman"/>
          <w:sz w:val="28"/>
          <w:szCs w:val="28"/>
        </w:rPr>
        <w:t>, jo</w:t>
      </w:r>
      <w:r w:rsidR="007E7D2F">
        <w:rPr>
          <w:rFonts w:ascii="Times New Roman" w:hAnsi="Times New Roman"/>
          <w:sz w:val="28"/>
          <w:szCs w:val="28"/>
        </w:rPr>
        <w:t>,</w:t>
      </w:r>
      <w:r w:rsidR="00BF6AEA" w:rsidRPr="00BF6AEA">
        <w:rPr>
          <w:rFonts w:ascii="Times New Roman" w:hAnsi="Times New Roman"/>
          <w:sz w:val="28"/>
          <w:szCs w:val="28"/>
        </w:rPr>
        <w:t xml:space="preserve"> ņemot vērā tikai Civillikuma 396. panta otrās daļas gramatisko tulkošanu (kurā iztrūkst tieša norāde uz pusbrāļiem/pusmāsām), tiek paplašināta pārdzīvojušā laulātā priekšrocība arī pret trešās šķiras mantiniekiem. Līdz ar to situācijā, kad uz mantojumu piesakās mantojuma atstājēja pārdzīvojušais laulātais un pusbrālis, atsevišķas situācijas tiek nepamatoti risinātas par labu laulātajam, apstiprinot to kā vienīg</w:t>
      </w:r>
      <w:r w:rsidR="00BF6AEA">
        <w:rPr>
          <w:rFonts w:ascii="Times New Roman" w:hAnsi="Times New Roman"/>
          <w:sz w:val="28"/>
          <w:szCs w:val="28"/>
        </w:rPr>
        <w:t>o mantinieku uz visu mantojumu</w:t>
      </w:r>
      <w:r w:rsidRPr="00BF6AEA">
        <w:rPr>
          <w:rFonts w:ascii="Times New Roman" w:hAnsi="Times New Roman"/>
          <w:sz w:val="28"/>
          <w:szCs w:val="28"/>
        </w:rPr>
        <w:t xml:space="preserve">; </w:t>
      </w:r>
    </w:p>
    <w:p w:rsidR="00DC3DA3" w:rsidRPr="00DC3DA3" w:rsidRDefault="00DC3DA3" w:rsidP="00BF6AEA">
      <w:pPr>
        <w:spacing w:after="0" w:line="240" w:lineRule="auto"/>
        <w:ind w:firstLine="493"/>
        <w:jc w:val="both"/>
        <w:rPr>
          <w:rFonts w:ascii="Times New Roman" w:hAnsi="Times New Roman"/>
          <w:bCs/>
          <w:sz w:val="28"/>
          <w:szCs w:val="28"/>
        </w:rPr>
      </w:pPr>
      <w:r w:rsidRPr="00BF6AEA">
        <w:rPr>
          <w:rFonts w:ascii="Times New Roman" w:hAnsi="Times New Roman"/>
          <w:bCs/>
          <w:sz w:val="28"/>
          <w:szCs w:val="28"/>
        </w:rPr>
        <w:t>3)</w:t>
      </w:r>
      <w:r w:rsidRPr="00BF6AEA">
        <w:rPr>
          <w:rFonts w:ascii="Times New Roman" w:hAnsi="Times New Roman"/>
          <w:sz w:val="28"/>
          <w:szCs w:val="28"/>
        </w:rPr>
        <w:t xml:space="preserve"> paplašināt mantojuma atraušanas gadījumus</w:t>
      </w:r>
      <w:r w:rsidRPr="00DC3DA3">
        <w:rPr>
          <w:rFonts w:ascii="Times New Roman" w:hAnsi="Times New Roman"/>
          <w:sz w:val="28"/>
          <w:szCs w:val="28"/>
        </w:rPr>
        <w:t xml:space="preserve"> Civillikuma 405.pantā.</w:t>
      </w:r>
      <w:r>
        <w:rPr>
          <w:rFonts w:ascii="Times New Roman" w:hAnsi="Times New Roman"/>
          <w:sz w:val="28"/>
          <w:szCs w:val="28"/>
        </w:rPr>
        <w:t xml:space="preserve"> </w:t>
      </w:r>
      <w:r w:rsidR="00744B7E">
        <w:rPr>
          <w:rFonts w:ascii="Times New Roman" w:hAnsi="Times New Roman"/>
          <w:sz w:val="28"/>
          <w:szCs w:val="28"/>
        </w:rPr>
        <w:t>Minētā norma</w:t>
      </w:r>
      <w:r w:rsidRPr="000456EF">
        <w:rPr>
          <w:rFonts w:ascii="Times New Roman" w:hAnsi="Times New Roman"/>
          <w:sz w:val="28"/>
          <w:szCs w:val="28"/>
        </w:rPr>
        <w:t xml:space="preserve"> noteic, ka zemākas šķiras mantinieks nemanto, kamēr ir dzīvs kāds augstākas šķiras mantinieks. Pantā lietotais vārds „dzīvs” rada būtisku pretrunu ar turpmākiem Civillikuma pantiem. Ar atkrišanu ir saprotama ne tikai mantot aicinātā nāve. Mantot aicinātais var izmantot savas tiesības un atteikties no mantošanas (mantojumu atraidīt), un tādā gadījumā, ja attiecīgajā šķirā nav citu līdzmantinieku, mantojums pāriet uz nākošās šķiras mantiniekiem. Turklāt Civillikuma 405. panta teksts liedz mantot zemākas šķiras mantiniekam jau tāpēc vien, ka kāds augstākas šķiras mantinieks ir „dzīvs”, pat ja pēdējais nepiesakās</w:t>
      </w:r>
      <w:r>
        <w:rPr>
          <w:rFonts w:ascii="Times New Roman" w:hAnsi="Times New Roman"/>
          <w:sz w:val="28"/>
          <w:szCs w:val="28"/>
        </w:rPr>
        <w:t xml:space="preserve">. </w:t>
      </w:r>
      <w:r w:rsidRPr="00DC3DA3">
        <w:rPr>
          <w:rFonts w:ascii="Times New Roman" w:hAnsi="Times New Roman"/>
          <w:sz w:val="28"/>
          <w:szCs w:val="28"/>
        </w:rPr>
        <w:t xml:space="preserve">Pašlaik Civillikuma 406. pants noteic, ka situācijā, kad vienā šķirā atkrīt mantot aicinātie, mantojuma tiesība pāriet uz nākamo šķiru.  Atkrišana ir mantojuma atraidīšana pēc aicinājuma mantot un mantojuma atraušana necienīgām personām, tādēļ nepieciešams veikt attiecīgu grozījumu; </w:t>
      </w:r>
    </w:p>
    <w:p w:rsidR="00DC3DA3" w:rsidRPr="000456EF" w:rsidRDefault="00DC3DA3" w:rsidP="00DC3DA3">
      <w:pPr>
        <w:spacing w:after="0" w:line="240" w:lineRule="auto"/>
        <w:ind w:firstLine="426"/>
        <w:jc w:val="both"/>
        <w:rPr>
          <w:rFonts w:ascii="Times New Roman" w:hAnsi="Times New Roman"/>
          <w:sz w:val="28"/>
          <w:szCs w:val="28"/>
        </w:rPr>
      </w:pPr>
      <w:r w:rsidRPr="00DC3DA3">
        <w:rPr>
          <w:rFonts w:ascii="Times New Roman" w:hAnsi="Times New Roman"/>
          <w:sz w:val="28"/>
          <w:szCs w:val="28"/>
        </w:rPr>
        <w:t>4) mainīt Civillikuma regulējumu attiecībā uz kārtību, kādā notiek  atteikšanās no mantojuma. Šobrīd Civillikuma 688.pants noteic, ka ar</w:t>
      </w:r>
      <w:r w:rsidRPr="000456EF">
        <w:rPr>
          <w:rFonts w:ascii="Times New Roman" w:hAnsi="Times New Roman"/>
          <w:sz w:val="28"/>
          <w:szCs w:val="28"/>
        </w:rPr>
        <w:t xml:space="preserve"> mantojuma atklāšanos mantiniekam tiek izteikts </w:t>
      </w:r>
      <w:smartTag w:uri="schemas-tilde-lv/tildestengine" w:element="veidnes">
        <w:smartTagPr>
          <w:attr w:name="text" w:val="aicinājums"/>
          <w:attr w:name="id" w:val="-1"/>
          <w:attr w:name="baseform" w:val="aicinājum|s"/>
        </w:smartTagPr>
        <w:r w:rsidRPr="000456EF">
          <w:rPr>
            <w:rFonts w:ascii="Times New Roman" w:hAnsi="Times New Roman"/>
            <w:sz w:val="28"/>
            <w:szCs w:val="28"/>
          </w:rPr>
          <w:t>aicinājums</w:t>
        </w:r>
      </w:smartTag>
      <w:r w:rsidRPr="000456EF">
        <w:rPr>
          <w:rFonts w:ascii="Times New Roman" w:hAnsi="Times New Roman"/>
          <w:sz w:val="28"/>
          <w:szCs w:val="28"/>
        </w:rPr>
        <w:t xml:space="preserve"> pieņemt mantojumu, no kura mantinieks var atteiktie</w:t>
      </w:r>
      <w:r>
        <w:rPr>
          <w:rFonts w:ascii="Times New Roman" w:hAnsi="Times New Roman"/>
          <w:sz w:val="28"/>
          <w:szCs w:val="28"/>
        </w:rPr>
        <w:t>s. Ņemot vērā to, ka</w:t>
      </w:r>
      <w:r w:rsidRPr="000456EF">
        <w:rPr>
          <w:rFonts w:ascii="Times New Roman" w:hAnsi="Times New Roman"/>
          <w:sz w:val="28"/>
          <w:szCs w:val="28"/>
        </w:rPr>
        <w:t xml:space="preserve"> mantojuma atklāšanās brīdī nav iespējams vēl noteikt precīzu</w:t>
      </w:r>
      <w:r>
        <w:rPr>
          <w:rFonts w:ascii="Times New Roman" w:hAnsi="Times New Roman"/>
          <w:sz w:val="28"/>
          <w:szCs w:val="28"/>
        </w:rPr>
        <w:t xml:space="preserve"> mantojuma</w:t>
      </w:r>
      <w:r w:rsidRPr="000456EF">
        <w:rPr>
          <w:rFonts w:ascii="Times New Roman" w:hAnsi="Times New Roman"/>
          <w:sz w:val="28"/>
          <w:szCs w:val="28"/>
        </w:rPr>
        <w:t xml:space="preserve"> dalīšanas kārtību, jo mantinieku loks, starp kuriem notiek mantojuma dalīšana, nav zināms mantojuma atklāšanās brīdī, bet gan tikai pēc mantot aicināto gribas izteikuma par mantojuma pieņemšanu</w:t>
      </w:r>
      <w:r>
        <w:rPr>
          <w:rFonts w:ascii="Times New Roman" w:hAnsi="Times New Roman"/>
          <w:sz w:val="28"/>
          <w:szCs w:val="28"/>
        </w:rPr>
        <w:t>,  nepieciešami attiecīgi precizējumi;</w:t>
      </w:r>
    </w:p>
    <w:p w:rsidR="00DC3DA3" w:rsidRPr="00DC3DA3" w:rsidRDefault="00DC3DA3" w:rsidP="00DC3DA3">
      <w:pPr>
        <w:spacing w:after="0" w:line="240" w:lineRule="auto"/>
        <w:ind w:firstLine="493"/>
        <w:jc w:val="both"/>
        <w:rPr>
          <w:rFonts w:ascii="Times New Roman" w:hAnsi="Times New Roman"/>
          <w:bCs/>
          <w:sz w:val="28"/>
          <w:szCs w:val="28"/>
        </w:rPr>
      </w:pPr>
      <w:r>
        <w:rPr>
          <w:rFonts w:ascii="Times New Roman" w:hAnsi="Times New Roman"/>
          <w:sz w:val="28"/>
          <w:szCs w:val="28"/>
        </w:rPr>
        <w:lastRenderedPageBreak/>
        <w:t>5</w:t>
      </w:r>
      <w:r w:rsidRPr="000456EF">
        <w:rPr>
          <w:rFonts w:ascii="Times New Roman" w:hAnsi="Times New Roman"/>
          <w:sz w:val="28"/>
          <w:szCs w:val="28"/>
        </w:rPr>
        <w:t>) precīzāk izteikt Civillikumā ietverto institūtu būtību, paredzot atteikties no termina „neatraidāmais mantinieks” lietošanas, t.i., vārdus „neatraidāmais mantinieks” aizvietojot ar vārdie</w:t>
      </w:r>
      <w:r>
        <w:rPr>
          <w:rFonts w:ascii="Times New Roman" w:hAnsi="Times New Roman"/>
          <w:sz w:val="28"/>
          <w:szCs w:val="28"/>
        </w:rPr>
        <w:t xml:space="preserve">m „neatņemamās daļas tiesīgais”, </w:t>
      </w:r>
      <w:r w:rsidRPr="00DC3DA3">
        <w:rPr>
          <w:rFonts w:ascii="Times New Roman" w:hAnsi="Times New Roman"/>
          <w:sz w:val="28"/>
          <w:szCs w:val="28"/>
        </w:rPr>
        <w:t xml:space="preserve">kā arī precizēt </w:t>
      </w:r>
      <w:r w:rsidRPr="00DC3DA3">
        <w:rPr>
          <w:rFonts w:ascii="Times New Roman" w:hAnsi="Times New Roman"/>
          <w:bCs/>
          <w:sz w:val="28"/>
          <w:szCs w:val="28"/>
        </w:rPr>
        <w:t>terminoloģijas (vārda „palikušo”) lietošanu;</w:t>
      </w:r>
    </w:p>
    <w:p w:rsidR="00DC3DA3" w:rsidRPr="000456EF" w:rsidRDefault="00DC3DA3" w:rsidP="00DC3DA3">
      <w:pPr>
        <w:spacing w:after="0" w:line="240" w:lineRule="auto"/>
        <w:ind w:firstLine="493"/>
        <w:jc w:val="both"/>
        <w:rPr>
          <w:rFonts w:ascii="Times New Roman" w:hAnsi="Times New Roman"/>
          <w:sz w:val="28"/>
          <w:szCs w:val="28"/>
        </w:rPr>
      </w:pPr>
      <w:r>
        <w:rPr>
          <w:rFonts w:ascii="Times New Roman" w:hAnsi="Times New Roman"/>
          <w:sz w:val="28"/>
          <w:szCs w:val="28"/>
        </w:rPr>
        <w:t>6</w:t>
      </w:r>
      <w:r w:rsidRPr="000456EF">
        <w:rPr>
          <w:rFonts w:ascii="Times New Roman" w:hAnsi="Times New Roman"/>
          <w:sz w:val="28"/>
          <w:szCs w:val="28"/>
        </w:rPr>
        <w:t xml:space="preserve">) izslēgt Civillikuma 642. pantā ietverto nosacījumu par neatraidāmo mantinieku tiesībām apstrīdēt mantojuma </w:t>
      </w:r>
      <w:smartTag w:uri="schemas-tilde-lv/tildestengine" w:element="veidnes">
        <w:smartTagPr>
          <w:attr w:name="text" w:val="līgumu"/>
          <w:attr w:name="id" w:val="-1"/>
          <w:attr w:name="baseform" w:val="līgum|s"/>
        </w:smartTagPr>
        <w:r w:rsidRPr="000456EF">
          <w:rPr>
            <w:rFonts w:ascii="Times New Roman" w:hAnsi="Times New Roman"/>
            <w:sz w:val="28"/>
            <w:szCs w:val="28"/>
          </w:rPr>
          <w:t>līgumu</w:t>
        </w:r>
      </w:smartTag>
      <w:r w:rsidRPr="000456EF">
        <w:rPr>
          <w:rFonts w:ascii="Times New Roman" w:hAnsi="Times New Roman"/>
          <w:sz w:val="28"/>
          <w:szCs w:val="28"/>
        </w:rPr>
        <w:t xml:space="preserve"> mantojuma atstājējam vēl dzīvam esot. Tiesību uz neatņemamo daļu „neatraidāmais mantinieks” var izlietot tikai pēc mantojuma atstājēja nāves;</w:t>
      </w:r>
    </w:p>
    <w:p w:rsidR="00DC3DA3" w:rsidRPr="00BF6AEA" w:rsidRDefault="00DC3DA3" w:rsidP="00DC3DA3">
      <w:pPr>
        <w:spacing w:after="0" w:line="240" w:lineRule="auto"/>
        <w:ind w:firstLine="493"/>
        <w:jc w:val="both"/>
        <w:rPr>
          <w:rFonts w:ascii="Times New Roman" w:hAnsi="Times New Roman"/>
          <w:bCs/>
          <w:sz w:val="28"/>
          <w:szCs w:val="28"/>
        </w:rPr>
      </w:pPr>
      <w:r w:rsidRPr="00BF6AEA">
        <w:rPr>
          <w:rFonts w:ascii="Times New Roman" w:hAnsi="Times New Roman"/>
          <w:sz w:val="28"/>
          <w:szCs w:val="28"/>
        </w:rPr>
        <w:t>7) atrisināt jautājumu par publiska testamenta taisīšanas iespēju pie konsula, atsakoties no šīs funkcijas deleģējuma Civillikumā</w:t>
      </w:r>
      <w:r w:rsidR="00BF6AEA" w:rsidRPr="00BF6AEA">
        <w:rPr>
          <w:rFonts w:ascii="Times New Roman" w:hAnsi="Times New Roman"/>
          <w:sz w:val="28"/>
          <w:szCs w:val="28"/>
        </w:rPr>
        <w:t xml:space="preserve">, jo Latvijas konsuli ārzemēs faktiski neveic </w:t>
      </w:r>
      <w:r w:rsidR="00BF6AEA">
        <w:rPr>
          <w:rFonts w:ascii="Times New Roman" w:hAnsi="Times New Roman"/>
          <w:sz w:val="28"/>
          <w:szCs w:val="28"/>
        </w:rPr>
        <w:t xml:space="preserve">Civillikumā </w:t>
      </w:r>
      <w:r w:rsidR="00BF6AEA" w:rsidRPr="00BF6AEA">
        <w:rPr>
          <w:rFonts w:ascii="Times New Roman" w:hAnsi="Times New Roman"/>
          <w:sz w:val="28"/>
          <w:szCs w:val="28"/>
        </w:rPr>
        <w:t>noteikto funkciju publiskā testamenta taisīšanas jomā, turklāt publiskā testamenta taisīšana pie konsula nav paredzēta arī Ministru kabineta 2008. gada 21. aprīļa noteikumos Nr. 283 „Noteikumi par notariālo funkciju veikšanu Latvijas Republikas diplomātiskajās u</w:t>
      </w:r>
      <w:r w:rsidR="00BF6AEA">
        <w:rPr>
          <w:rFonts w:ascii="Times New Roman" w:hAnsi="Times New Roman"/>
          <w:sz w:val="28"/>
          <w:szCs w:val="28"/>
        </w:rPr>
        <w:t>n konsulārajās pārstāvniecībās”</w:t>
      </w:r>
      <w:r w:rsidRPr="00BF6AEA">
        <w:rPr>
          <w:rFonts w:ascii="Times New Roman" w:hAnsi="Times New Roman"/>
          <w:sz w:val="28"/>
          <w:szCs w:val="28"/>
        </w:rPr>
        <w:t>;</w:t>
      </w:r>
    </w:p>
    <w:p w:rsidR="00DC3DA3" w:rsidRPr="00DC3DA3" w:rsidRDefault="00DC3DA3" w:rsidP="00DC3DA3">
      <w:pPr>
        <w:spacing w:after="0" w:line="240" w:lineRule="auto"/>
        <w:ind w:firstLine="493"/>
        <w:jc w:val="both"/>
        <w:rPr>
          <w:rFonts w:ascii="Times New Roman" w:hAnsi="Times New Roman"/>
          <w:sz w:val="28"/>
          <w:szCs w:val="28"/>
        </w:rPr>
      </w:pPr>
      <w:r w:rsidRPr="00DC3DA3">
        <w:rPr>
          <w:rFonts w:ascii="Times New Roman" w:hAnsi="Times New Roman"/>
          <w:sz w:val="28"/>
          <w:szCs w:val="28"/>
        </w:rPr>
        <w:t>8) precizēt privāta testamenta institūtu, paredzot, ka privāts testaments taisāms rakstiski, mantojuma atstājējam pašrocīgi visu testamentu uzrakstot un parakstot. Vienlaikus ir paredzēts, ka konsuli nepieņem glabāšanā privātos testamentus;</w:t>
      </w:r>
    </w:p>
    <w:p w:rsidR="00DC3DA3" w:rsidRPr="00DC3DA3" w:rsidRDefault="00DC3DA3" w:rsidP="00DC3DA3">
      <w:pPr>
        <w:spacing w:after="0" w:line="240" w:lineRule="auto"/>
        <w:ind w:firstLine="493"/>
        <w:jc w:val="both"/>
        <w:rPr>
          <w:rFonts w:ascii="Times New Roman" w:hAnsi="Times New Roman"/>
          <w:sz w:val="28"/>
          <w:szCs w:val="28"/>
        </w:rPr>
      </w:pPr>
      <w:r w:rsidRPr="00DC3DA3">
        <w:rPr>
          <w:rFonts w:ascii="Times New Roman" w:hAnsi="Times New Roman"/>
          <w:sz w:val="28"/>
          <w:szCs w:val="28"/>
        </w:rPr>
        <w:t>9) atteikties no priviliģētajiem testamentiem, jo cilvēki pārprot šī institūta pielietošanas iespējas un pamatojumu. Šāda veida testamenti taisāmi tikai ārkārtēju apstākļu dēļ. Īpaši jāuz</w:t>
      </w:r>
      <w:r w:rsidR="009022E9">
        <w:rPr>
          <w:rFonts w:ascii="Times New Roman" w:hAnsi="Times New Roman"/>
          <w:sz w:val="28"/>
          <w:szCs w:val="28"/>
        </w:rPr>
        <w:t>s</w:t>
      </w:r>
      <w:r w:rsidRPr="00DC3DA3">
        <w:rPr>
          <w:rFonts w:ascii="Times New Roman" w:hAnsi="Times New Roman"/>
          <w:sz w:val="28"/>
          <w:szCs w:val="28"/>
        </w:rPr>
        <w:t>ver tas, ka mutiskais testaments izteicams divu liecinieku</w:t>
      </w:r>
      <w:r w:rsidR="00BF6AEA">
        <w:rPr>
          <w:rFonts w:ascii="Times New Roman" w:hAnsi="Times New Roman"/>
          <w:sz w:val="28"/>
          <w:szCs w:val="28"/>
        </w:rPr>
        <w:t xml:space="preserve"> klātbūtnē un  jāņem vērā arī</w:t>
      </w:r>
      <w:r w:rsidRPr="00DC3DA3">
        <w:rPr>
          <w:rFonts w:ascii="Times New Roman" w:hAnsi="Times New Roman"/>
          <w:sz w:val="28"/>
          <w:szCs w:val="28"/>
        </w:rPr>
        <w:t xml:space="preserve"> apstākli</w:t>
      </w:r>
      <w:r w:rsidR="00BF6AEA">
        <w:rPr>
          <w:rFonts w:ascii="Times New Roman" w:hAnsi="Times New Roman"/>
          <w:sz w:val="28"/>
          <w:szCs w:val="28"/>
        </w:rPr>
        <w:t>s</w:t>
      </w:r>
      <w:r w:rsidRPr="00DC3DA3">
        <w:rPr>
          <w:rFonts w:ascii="Times New Roman" w:hAnsi="Times New Roman"/>
          <w:sz w:val="28"/>
          <w:szCs w:val="28"/>
        </w:rPr>
        <w:t>, ka šāda veida testamenti nav droši, jo nav iespējams pārliecināties par to, ka testaments patiešām izsaka testatora patieso novēlējumu un ka tas nav viltojums, ko zvērinātām notāram nav iespējams pārbaudīt;</w:t>
      </w:r>
    </w:p>
    <w:p w:rsidR="00DC3DA3" w:rsidRPr="000456EF" w:rsidRDefault="00DC3DA3" w:rsidP="00DC3DA3">
      <w:pPr>
        <w:spacing w:after="0" w:line="240" w:lineRule="auto"/>
        <w:ind w:firstLine="493"/>
        <w:jc w:val="both"/>
        <w:rPr>
          <w:rFonts w:ascii="Times New Roman" w:hAnsi="Times New Roman"/>
          <w:sz w:val="28"/>
          <w:szCs w:val="28"/>
        </w:rPr>
      </w:pPr>
      <w:r>
        <w:rPr>
          <w:rFonts w:ascii="Times New Roman" w:hAnsi="Times New Roman"/>
          <w:sz w:val="28"/>
          <w:szCs w:val="28"/>
        </w:rPr>
        <w:t>10</w:t>
      </w:r>
      <w:r w:rsidRPr="000456EF">
        <w:rPr>
          <w:rFonts w:ascii="Times New Roman" w:hAnsi="Times New Roman"/>
          <w:sz w:val="28"/>
          <w:szCs w:val="28"/>
        </w:rPr>
        <w:t xml:space="preserve">) nodot mantojuma aizgādnības nodibināšanas funkciju zvērinātiem notāriem, jo patreizējais mantojuma aizgādnības nodibināšanas regulējums ar tiesas līdzdalību ir laikietilpīgs un sarežģīts, </w:t>
      </w:r>
      <w:r w:rsidR="00BF6AEA">
        <w:rPr>
          <w:rFonts w:ascii="Times New Roman" w:hAnsi="Times New Roman"/>
          <w:sz w:val="28"/>
          <w:szCs w:val="28"/>
        </w:rPr>
        <w:t>t</w:t>
      </w:r>
      <w:r w:rsidRPr="000456EF">
        <w:rPr>
          <w:rFonts w:ascii="Times New Roman" w:hAnsi="Times New Roman"/>
          <w:sz w:val="28"/>
          <w:szCs w:val="28"/>
        </w:rPr>
        <w:t>as nenodrošina mantojuma aizgādnības nodibināšanas primāro funkciju – operatīvu rīcību;</w:t>
      </w:r>
    </w:p>
    <w:p w:rsidR="00DC3DA3" w:rsidRPr="0033427B" w:rsidRDefault="00DC3DA3" w:rsidP="00DC3DA3">
      <w:pPr>
        <w:spacing w:after="0" w:line="240" w:lineRule="auto"/>
        <w:ind w:firstLine="493"/>
        <w:jc w:val="both"/>
        <w:rPr>
          <w:rFonts w:ascii="Times New Roman" w:hAnsi="Times New Roman"/>
          <w:sz w:val="28"/>
          <w:szCs w:val="28"/>
        </w:rPr>
      </w:pPr>
      <w:r>
        <w:rPr>
          <w:rFonts w:ascii="Times New Roman" w:hAnsi="Times New Roman"/>
          <w:sz w:val="28"/>
          <w:szCs w:val="28"/>
        </w:rPr>
        <w:t>11</w:t>
      </w:r>
      <w:r w:rsidRPr="0033427B">
        <w:rPr>
          <w:rFonts w:ascii="Times New Roman" w:hAnsi="Times New Roman"/>
          <w:sz w:val="28"/>
          <w:szCs w:val="28"/>
        </w:rPr>
        <w:t xml:space="preserve">) </w:t>
      </w:r>
      <w:r>
        <w:rPr>
          <w:rFonts w:ascii="Times New Roman" w:hAnsi="Times New Roman"/>
          <w:sz w:val="28"/>
          <w:szCs w:val="28"/>
        </w:rPr>
        <w:t>noteikt</w:t>
      </w:r>
      <w:r w:rsidRPr="0033427B">
        <w:rPr>
          <w:rFonts w:ascii="Times New Roman" w:hAnsi="Times New Roman"/>
          <w:sz w:val="28"/>
          <w:szCs w:val="28"/>
        </w:rPr>
        <w:t xml:space="preserve">, </w:t>
      </w:r>
      <w:r>
        <w:rPr>
          <w:rFonts w:ascii="Times New Roman" w:hAnsi="Times New Roman"/>
          <w:sz w:val="28"/>
          <w:szCs w:val="28"/>
        </w:rPr>
        <w:t>ka bērns varēs mantot no vecāka, kuram atņemtas aizgādnības tiesības, jo aizgādnības ti</w:t>
      </w:r>
      <w:r w:rsidR="00BF6AEA">
        <w:rPr>
          <w:rFonts w:ascii="Times New Roman" w:hAnsi="Times New Roman"/>
          <w:sz w:val="28"/>
          <w:szCs w:val="28"/>
        </w:rPr>
        <w:t>esību atņemšana</w:t>
      </w:r>
      <w:r>
        <w:rPr>
          <w:rFonts w:ascii="Times New Roman" w:hAnsi="Times New Roman"/>
          <w:sz w:val="28"/>
          <w:szCs w:val="28"/>
        </w:rPr>
        <w:t xml:space="preserve"> neatņem pienākumu uzturēt bērnu</w:t>
      </w:r>
      <w:r w:rsidRPr="0033427B">
        <w:rPr>
          <w:rFonts w:ascii="Times New Roman" w:hAnsi="Times New Roman"/>
          <w:sz w:val="28"/>
          <w:szCs w:val="28"/>
        </w:rPr>
        <w:t xml:space="preserve">. </w:t>
      </w:r>
      <w:r>
        <w:rPr>
          <w:rFonts w:ascii="Times New Roman" w:hAnsi="Times New Roman"/>
          <w:sz w:val="28"/>
          <w:szCs w:val="28"/>
        </w:rPr>
        <w:t>Vienlaikus tiek precizēts tiesiskais</w:t>
      </w:r>
      <w:r w:rsidRPr="0033427B">
        <w:rPr>
          <w:rFonts w:ascii="Times New Roman" w:hAnsi="Times New Roman"/>
          <w:sz w:val="28"/>
          <w:szCs w:val="28"/>
        </w:rPr>
        <w:t xml:space="preserve"> regulējums </w:t>
      </w:r>
      <w:r>
        <w:rPr>
          <w:rFonts w:ascii="Times New Roman" w:hAnsi="Times New Roman"/>
          <w:sz w:val="28"/>
          <w:szCs w:val="28"/>
        </w:rPr>
        <w:t>attiecībā</w:t>
      </w:r>
      <w:r w:rsidRPr="0033427B">
        <w:rPr>
          <w:rFonts w:ascii="Times New Roman" w:hAnsi="Times New Roman"/>
          <w:sz w:val="28"/>
          <w:szCs w:val="28"/>
        </w:rPr>
        <w:t xml:space="preserve"> uz nepilngadīga bērna atstāto mantojumu</w:t>
      </w:r>
      <w:r>
        <w:rPr>
          <w:rFonts w:ascii="Times New Roman" w:hAnsi="Times New Roman"/>
          <w:sz w:val="28"/>
          <w:szCs w:val="28"/>
        </w:rPr>
        <w:t xml:space="preserve"> gadījumā, kad vecākam atņemtas aizgādnības tiesības.</w:t>
      </w:r>
      <w:r w:rsidRPr="0033427B">
        <w:rPr>
          <w:rFonts w:ascii="Times New Roman" w:hAnsi="Times New Roman"/>
          <w:sz w:val="28"/>
          <w:szCs w:val="28"/>
        </w:rPr>
        <w:t xml:space="preserve"> Civillikuma Ģimenes tiesību daļas izpratnē </w:t>
      </w:r>
      <w:r>
        <w:rPr>
          <w:rFonts w:ascii="Times New Roman" w:hAnsi="Times New Roman"/>
          <w:sz w:val="28"/>
          <w:szCs w:val="28"/>
        </w:rPr>
        <w:t xml:space="preserve">bērns ir nepilngadīgs </w:t>
      </w:r>
      <w:r w:rsidRPr="0033427B">
        <w:rPr>
          <w:rFonts w:ascii="Times New Roman" w:hAnsi="Times New Roman"/>
          <w:sz w:val="28"/>
          <w:szCs w:val="28"/>
        </w:rPr>
        <w:t xml:space="preserve">tik ilgi, kamēr </w:t>
      </w:r>
      <w:r>
        <w:rPr>
          <w:rFonts w:ascii="Times New Roman" w:hAnsi="Times New Roman"/>
          <w:sz w:val="28"/>
          <w:szCs w:val="28"/>
        </w:rPr>
        <w:t xml:space="preserve">viņš </w:t>
      </w:r>
      <w:r w:rsidRPr="0033427B">
        <w:rPr>
          <w:rFonts w:ascii="Times New Roman" w:hAnsi="Times New Roman"/>
          <w:sz w:val="28"/>
          <w:szCs w:val="28"/>
        </w:rPr>
        <w:t>sasn</w:t>
      </w:r>
      <w:r>
        <w:rPr>
          <w:rFonts w:ascii="Times New Roman" w:hAnsi="Times New Roman"/>
          <w:sz w:val="28"/>
          <w:szCs w:val="28"/>
        </w:rPr>
        <w:t xml:space="preserve">iedz astoņpadsmit gadu vecumu. </w:t>
      </w:r>
      <w:r w:rsidRPr="0033427B">
        <w:rPr>
          <w:rFonts w:ascii="Times New Roman" w:hAnsi="Times New Roman"/>
          <w:sz w:val="28"/>
          <w:szCs w:val="28"/>
        </w:rPr>
        <w:t>Sasniedzot astoņpadsmit gadu vecumu</w:t>
      </w:r>
      <w:r>
        <w:rPr>
          <w:rFonts w:ascii="Times New Roman" w:hAnsi="Times New Roman"/>
          <w:sz w:val="28"/>
          <w:szCs w:val="28"/>
        </w:rPr>
        <w:t>, persona var</w:t>
      </w:r>
      <w:r w:rsidRPr="0033427B">
        <w:rPr>
          <w:rFonts w:ascii="Times New Roman" w:hAnsi="Times New Roman"/>
          <w:sz w:val="28"/>
          <w:szCs w:val="28"/>
        </w:rPr>
        <w:t xml:space="preserve"> rīkoties un novēlēt savu mantu, izsakot savu gribu. </w:t>
      </w:r>
      <w:r>
        <w:rPr>
          <w:rFonts w:ascii="Times New Roman" w:hAnsi="Times New Roman"/>
          <w:sz w:val="28"/>
          <w:szCs w:val="28"/>
        </w:rPr>
        <w:t>Tāpēc ir noteikts</w:t>
      </w:r>
      <w:r w:rsidRPr="0033427B">
        <w:rPr>
          <w:rFonts w:ascii="Times New Roman" w:hAnsi="Times New Roman"/>
          <w:sz w:val="28"/>
          <w:szCs w:val="28"/>
        </w:rPr>
        <w:t xml:space="preserve"> </w:t>
      </w:r>
      <w:r>
        <w:rPr>
          <w:rFonts w:ascii="Times New Roman" w:hAnsi="Times New Roman"/>
          <w:sz w:val="28"/>
          <w:szCs w:val="28"/>
        </w:rPr>
        <w:t>jauns mantojuma atraušanas pamats – aizgādnības tiesību atņemšanu</w:t>
      </w:r>
      <w:r w:rsidRPr="0033427B">
        <w:rPr>
          <w:rFonts w:ascii="Times New Roman" w:hAnsi="Times New Roman"/>
          <w:sz w:val="28"/>
          <w:szCs w:val="28"/>
        </w:rPr>
        <w:t xml:space="preserve"> (jo aizgādības tiesību atņemšana var būt par pamatu, lai personu atzītu par necienīgu mantinieku)</w:t>
      </w:r>
      <w:r>
        <w:rPr>
          <w:rFonts w:ascii="Times New Roman" w:hAnsi="Times New Roman"/>
          <w:sz w:val="28"/>
          <w:szCs w:val="28"/>
        </w:rPr>
        <w:t>.</w:t>
      </w:r>
      <w:r w:rsidRPr="0033427B">
        <w:rPr>
          <w:rFonts w:ascii="Times New Roman" w:hAnsi="Times New Roman"/>
          <w:sz w:val="28"/>
          <w:szCs w:val="28"/>
        </w:rPr>
        <w:t xml:space="preserve"> </w:t>
      </w:r>
      <w:r>
        <w:rPr>
          <w:rFonts w:ascii="Times New Roman" w:hAnsi="Times New Roman"/>
          <w:sz w:val="28"/>
          <w:szCs w:val="28"/>
        </w:rPr>
        <w:t>T</w:t>
      </w:r>
      <w:r w:rsidRPr="0033427B">
        <w:rPr>
          <w:rFonts w:ascii="Times New Roman" w:hAnsi="Times New Roman"/>
          <w:sz w:val="28"/>
          <w:szCs w:val="28"/>
        </w:rPr>
        <w:t xml:space="preserve">āpat, lai nodrošinātu lielāku iespēju, ka </w:t>
      </w:r>
      <w:r>
        <w:rPr>
          <w:rFonts w:ascii="Times New Roman" w:hAnsi="Times New Roman"/>
          <w:sz w:val="28"/>
          <w:szCs w:val="28"/>
        </w:rPr>
        <w:t>prasība par mantojuma atraušanu</w:t>
      </w:r>
      <w:r w:rsidRPr="0033427B">
        <w:rPr>
          <w:rFonts w:ascii="Times New Roman" w:hAnsi="Times New Roman"/>
          <w:sz w:val="28"/>
          <w:szCs w:val="28"/>
        </w:rPr>
        <w:t xml:space="preserve"> tiek celta, </w:t>
      </w:r>
      <w:r w:rsidR="00BF6AEA">
        <w:rPr>
          <w:rFonts w:ascii="Times New Roman" w:hAnsi="Times New Roman"/>
          <w:sz w:val="28"/>
          <w:szCs w:val="28"/>
        </w:rPr>
        <w:t>tiek paredzēts</w:t>
      </w:r>
      <w:r w:rsidRPr="0033427B">
        <w:rPr>
          <w:rFonts w:ascii="Times New Roman" w:hAnsi="Times New Roman"/>
          <w:sz w:val="28"/>
          <w:szCs w:val="28"/>
        </w:rPr>
        <w:t>, ka prasību var celt tā persona, kurai pāriet mantojums pēc tā atraušanas (</w:t>
      </w:r>
      <w:hyperlink r:id="rId9" w:anchor="p827#p827" w:history="1">
        <w:r w:rsidRPr="0033427B">
          <w:rPr>
            <w:rStyle w:val="Hipersaite"/>
            <w:rFonts w:ascii="Times New Roman" w:hAnsi="Times New Roman"/>
            <w:color w:val="auto"/>
            <w:sz w:val="28"/>
            <w:szCs w:val="28"/>
            <w:u w:val="none"/>
          </w:rPr>
          <w:t>827.p</w:t>
        </w:r>
      </w:hyperlink>
      <w:r w:rsidRPr="0033427B">
        <w:rPr>
          <w:rFonts w:ascii="Times New Roman" w:hAnsi="Times New Roman"/>
          <w:sz w:val="28"/>
          <w:szCs w:val="28"/>
        </w:rPr>
        <w:t xml:space="preserve">.), bet </w:t>
      </w:r>
      <w:hyperlink r:id="rId10" w:anchor="p824#p824" w:history="1">
        <w:r w:rsidRPr="0033427B">
          <w:rPr>
            <w:rStyle w:val="Hipersaite"/>
            <w:rFonts w:ascii="Times New Roman" w:hAnsi="Times New Roman"/>
            <w:color w:val="auto"/>
            <w:sz w:val="28"/>
            <w:szCs w:val="28"/>
            <w:u w:val="none"/>
          </w:rPr>
          <w:t>824.panta 1.punktā</w:t>
        </w:r>
      </w:hyperlink>
      <w:r w:rsidRPr="0033427B">
        <w:rPr>
          <w:rFonts w:ascii="Times New Roman" w:hAnsi="Times New Roman"/>
          <w:sz w:val="28"/>
          <w:szCs w:val="28"/>
        </w:rPr>
        <w:t xml:space="preserve"> un 8.punktā paredzētos gadījumos – arī prokurors. Ar šo grozījumu mantojuma </w:t>
      </w:r>
      <w:r w:rsidRPr="0033427B">
        <w:rPr>
          <w:rFonts w:ascii="Times New Roman" w:hAnsi="Times New Roman"/>
          <w:sz w:val="28"/>
          <w:szCs w:val="28"/>
        </w:rPr>
        <w:lastRenderedPageBreak/>
        <w:t>atraušana vecākam, kuram atņemtas aizgādības tiesības, vairs nepaliktu tikai cita mantinieka tiesība (jo tā ir tiesība, nevis pienākums), bet šādas tiesības būtu arī prokuroram;</w:t>
      </w:r>
    </w:p>
    <w:p w:rsidR="00DC3DA3" w:rsidRDefault="00DC3DA3" w:rsidP="00DC3DA3">
      <w:pPr>
        <w:spacing w:after="0" w:line="240" w:lineRule="auto"/>
        <w:ind w:firstLine="493"/>
        <w:jc w:val="both"/>
        <w:rPr>
          <w:rFonts w:ascii="Times New Roman" w:hAnsi="Times New Roman"/>
          <w:sz w:val="28"/>
          <w:szCs w:val="28"/>
        </w:rPr>
      </w:pPr>
      <w:r>
        <w:rPr>
          <w:rFonts w:ascii="Times New Roman" w:hAnsi="Times New Roman"/>
          <w:sz w:val="28"/>
          <w:szCs w:val="28"/>
        </w:rPr>
        <w:t xml:space="preserve">12) noteikt pārejas noteikumu, nosakot, ka </w:t>
      </w:r>
      <w:r w:rsidRPr="0033427B">
        <w:rPr>
          <w:rFonts w:ascii="Times New Roman" w:hAnsi="Times New Roman"/>
          <w:sz w:val="28"/>
          <w:szCs w:val="28"/>
        </w:rPr>
        <w:t xml:space="preserve">tiem testamentiem, kas taisīti līdz brīdim, kad tiek grozīts Civillikums, ir jāpaliek spēkā neatkarīgi no mantojuma atklāšanās laika. Gadījumā, ja pastāv šaubas par to, ka testaments ir viltots (taisīts pēc Civillikuma grozījumu spēkā stāšanās), tad pastāv iespēja </w:t>
      </w:r>
      <w:r w:rsidR="009022E9">
        <w:rPr>
          <w:rFonts w:ascii="Times New Roman" w:hAnsi="Times New Roman"/>
          <w:sz w:val="28"/>
          <w:szCs w:val="28"/>
        </w:rPr>
        <w:t>viltojumu</w:t>
      </w:r>
      <w:r>
        <w:rPr>
          <w:rFonts w:ascii="Times New Roman" w:hAnsi="Times New Roman"/>
          <w:sz w:val="28"/>
          <w:szCs w:val="28"/>
        </w:rPr>
        <w:t xml:space="preserve"> pierādīt civilprocesuālā kārtā;</w:t>
      </w:r>
    </w:p>
    <w:p w:rsidR="00DC3DA3" w:rsidRDefault="00DC3DA3" w:rsidP="00DC3DA3">
      <w:pPr>
        <w:spacing w:after="0" w:line="240" w:lineRule="auto"/>
        <w:ind w:firstLine="493"/>
        <w:jc w:val="both"/>
        <w:rPr>
          <w:rFonts w:ascii="Times New Roman" w:hAnsi="Times New Roman"/>
          <w:sz w:val="28"/>
          <w:szCs w:val="28"/>
        </w:rPr>
      </w:pPr>
      <w:r w:rsidRPr="0033427B">
        <w:rPr>
          <w:rFonts w:ascii="Times New Roman" w:hAnsi="Times New Roman"/>
          <w:sz w:val="28"/>
          <w:szCs w:val="28"/>
        </w:rPr>
        <w:t>1</w:t>
      </w:r>
      <w:r>
        <w:rPr>
          <w:rFonts w:ascii="Times New Roman" w:hAnsi="Times New Roman"/>
          <w:sz w:val="28"/>
          <w:szCs w:val="28"/>
        </w:rPr>
        <w:t>3</w:t>
      </w:r>
      <w:r w:rsidRPr="0033427B">
        <w:rPr>
          <w:rFonts w:ascii="Times New Roman" w:hAnsi="Times New Roman"/>
          <w:sz w:val="28"/>
          <w:szCs w:val="28"/>
        </w:rPr>
        <w:t xml:space="preserve">) </w:t>
      </w:r>
      <w:r>
        <w:rPr>
          <w:rFonts w:ascii="Times New Roman" w:hAnsi="Times New Roman"/>
          <w:sz w:val="28"/>
          <w:szCs w:val="28"/>
        </w:rPr>
        <w:t>risināt jautājumu</w:t>
      </w:r>
      <w:r w:rsidRPr="0033427B">
        <w:rPr>
          <w:rFonts w:ascii="Times New Roman" w:hAnsi="Times New Roman"/>
          <w:sz w:val="28"/>
          <w:szCs w:val="28"/>
        </w:rPr>
        <w:t xml:space="preserve"> par laulātā daļas izdali kopmantas gadījumā, ja mantojuma masas sastāvā ietilps</w:t>
      </w:r>
      <w:r w:rsidR="009022E9">
        <w:rPr>
          <w:rFonts w:ascii="Times New Roman" w:hAnsi="Times New Roman"/>
          <w:sz w:val="28"/>
          <w:szCs w:val="28"/>
        </w:rPr>
        <w:t>t</w:t>
      </w:r>
      <w:r w:rsidRPr="0033427B">
        <w:rPr>
          <w:rFonts w:ascii="Times New Roman" w:hAnsi="Times New Roman"/>
          <w:sz w:val="28"/>
          <w:szCs w:val="28"/>
        </w:rPr>
        <w:t xml:space="preserve"> laulāto kopmanta, kas nav reģistrēta kā laulāto kopmanta, paredzot, ka laulātais savu laulātā kopmantas daļu varēs </w:t>
      </w:r>
      <w:r>
        <w:rPr>
          <w:rFonts w:ascii="Times New Roman" w:hAnsi="Times New Roman"/>
          <w:sz w:val="28"/>
          <w:szCs w:val="28"/>
        </w:rPr>
        <w:t>prasīt izdalīt prasības kārtībā;</w:t>
      </w:r>
    </w:p>
    <w:p w:rsidR="00DC3DA3" w:rsidRDefault="00DC3DA3" w:rsidP="00DC3DA3">
      <w:pPr>
        <w:spacing w:after="0" w:line="240" w:lineRule="auto"/>
        <w:ind w:firstLine="493"/>
        <w:jc w:val="both"/>
        <w:rPr>
          <w:rFonts w:ascii="Times New Roman" w:hAnsi="Times New Roman"/>
          <w:sz w:val="28"/>
          <w:szCs w:val="28"/>
        </w:rPr>
      </w:pPr>
      <w:r>
        <w:rPr>
          <w:rFonts w:ascii="Times New Roman" w:hAnsi="Times New Roman"/>
          <w:sz w:val="28"/>
          <w:szCs w:val="28"/>
        </w:rPr>
        <w:t>Minētie grozījumi ir izstrādāti un ietverti likumprojektā „Grozījumi Civillikumā”, „Grozījumi Notariāta likumā” un „Grozījumi Bāriņtiesu likumā”.</w:t>
      </w:r>
    </w:p>
    <w:p w:rsidR="00DC3DA3" w:rsidRDefault="00DC3DA3" w:rsidP="00DC3DA3">
      <w:pPr>
        <w:pStyle w:val="Komentrateksts"/>
        <w:spacing w:after="0"/>
        <w:ind w:firstLine="851"/>
        <w:jc w:val="both"/>
        <w:rPr>
          <w:rFonts w:ascii="Times New Roman" w:hAnsi="Times New Roman"/>
          <w:sz w:val="28"/>
          <w:szCs w:val="28"/>
        </w:rPr>
      </w:pPr>
      <w:r>
        <w:rPr>
          <w:rFonts w:ascii="Times New Roman" w:hAnsi="Times New Roman"/>
          <w:sz w:val="28"/>
          <w:szCs w:val="28"/>
        </w:rPr>
        <w:t>Augstāk minētajos likumprojektos netiek virzīti šādi jautājumi:</w:t>
      </w:r>
    </w:p>
    <w:p w:rsidR="00DC3DA3" w:rsidRDefault="00DC3DA3" w:rsidP="00DC3DA3">
      <w:pPr>
        <w:pStyle w:val="Komentrateksts"/>
        <w:spacing w:after="0"/>
        <w:ind w:firstLine="851"/>
        <w:jc w:val="both"/>
        <w:rPr>
          <w:rFonts w:ascii="Times New Roman" w:hAnsi="Times New Roman"/>
          <w:sz w:val="28"/>
          <w:szCs w:val="28"/>
        </w:rPr>
      </w:pPr>
      <w:r>
        <w:rPr>
          <w:rFonts w:ascii="Times New Roman" w:hAnsi="Times New Roman"/>
          <w:sz w:val="28"/>
          <w:szCs w:val="28"/>
        </w:rPr>
        <w:t>1) bezmantinieku mantas jautājums.</w:t>
      </w:r>
    </w:p>
    <w:p w:rsidR="00DC3DA3" w:rsidRPr="004C7E51" w:rsidRDefault="00DC3DA3" w:rsidP="00DC3DA3">
      <w:pPr>
        <w:pStyle w:val="Komentrateksts"/>
        <w:spacing w:after="0"/>
        <w:ind w:firstLine="851"/>
        <w:jc w:val="both"/>
        <w:rPr>
          <w:rFonts w:ascii="Times New Roman" w:hAnsi="Times New Roman"/>
          <w:b/>
          <w:sz w:val="28"/>
          <w:szCs w:val="28"/>
        </w:rPr>
      </w:pPr>
      <w:r w:rsidRPr="00314EA5">
        <w:rPr>
          <w:rFonts w:ascii="Times New Roman" w:hAnsi="Times New Roman"/>
          <w:sz w:val="28"/>
          <w:szCs w:val="28"/>
        </w:rPr>
        <w:t>Informējam, ka saistībā ar bezmantinieku mantas tiesisko regulējumu Finanšu ministrija ir izstrādājusi virkni normatīvo aktu projektu (likumprojektus „Grozījumi Civillikumā”, „Grozījumi Notariāta likumā” u.c. likumos), lai radītu mehānismu kreditoru prasījumu apmierināšanai tajos gadījumos, kad zvērināts notārs mantojuma lietā ir pieņēmis lēmumu un izdevis mantojuma apliecību par to, ka manta atzīstama par bezmantinieka mantu. Finanšu ministrijas piedāvātajā r</w:t>
      </w:r>
      <w:r>
        <w:rPr>
          <w:rFonts w:ascii="Times New Roman" w:hAnsi="Times New Roman"/>
          <w:sz w:val="28"/>
          <w:szCs w:val="28"/>
        </w:rPr>
        <w:t>egulējumā</w:t>
      </w:r>
      <w:r w:rsidRPr="00314EA5">
        <w:rPr>
          <w:rFonts w:ascii="Times New Roman" w:hAnsi="Times New Roman"/>
          <w:sz w:val="28"/>
          <w:szCs w:val="28"/>
        </w:rPr>
        <w:t xml:space="preserve"> ir risināti jautājumi attiecībā uz to, kā atlīdzināt notāram tā taisītos izdevumus attiecībā uz mantojuma masas noteikšanu (tajā skaitā, publiskajos reģistros veik</w:t>
      </w:r>
      <w:r w:rsidR="009022E9">
        <w:rPr>
          <w:rFonts w:ascii="Times New Roman" w:hAnsi="Times New Roman"/>
          <w:sz w:val="28"/>
          <w:szCs w:val="28"/>
        </w:rPr>
        <w:t>to ieskatīšanās</w:t>
      </w:r>
      <w:r w:rsidRPr="00314EA5">
        <w:rPr>
          <w:rFonts w:ascii="Times New Roman" w:hAnsi="Times New Roman"/>
          <w:sz w:val="28"/>
          <w:szCs w:val="28"/>
        </w:rPr>
        <w:t xml:space="preserve"> izmaksu segšanu).</w:t>
      </w:r>
      <w:r>
        <w:rPr>
          <w:rFonts w:ascii="Times New Roman" w:hAnsi="Times New Roman"/>
          <w:sz w:val="28"/>
          <w:szCs w:val="28"/>
        </w:rPr>
        <w:t xml:space="preserve"> Grozījumi attiecīgos likumprojektos ir iesniegti Saeimā un 2012. gada 19. janvārī pieņemti 1. lasījumā. </w:t>
      </w:r>
      <w:r w:rsidRPr="004C7E51">
        <w:rPr>
          <w:rFonts w:ascii="Times New Roman" w:hAnsi="Times New Roman"/>
          <w:b/>
          <w:sz w:val="28"/>
          <w:szCs w:val="28"/>
        </w:rPr>
        <w:t>Līdz ar to šā jautājuma</w:t>
      </w:r>
      <w:r w:rsidR="00BF6AEA">
        <w:rPr>
          <w:rFonts w:ascii="Times New Roman" w:hAnsi="Times New Roman"/>
          <w:b/>
          <w:sz w:val="28"/>
          <w:szCs w:val="28"/>
        </w:rPr>
        <w:t xml:space="preserve"> risināšana Tieslietu ministrijas iesk</w:t>
      </w:r>
      <w:r w:rsidR="009022E9">
        <w:rPr>
          <w:rFonts w:ascii="Times New Roman" w:hAnsi="Times New Roman"/>
          <w:b/>
          <w:sz w:val="28"/>
          <w:szCs w:val="28"/>
        </w:rPr>
        <w:t>a</w:t>
      </w:r>
      <w:r w:rsidR="00BF6AEA">
        <w:rPr>
          <w:rFonts w:ascii="Times New Roman" w:hAnsi="Times New Roman"/>
          <w:b/>
          <w:sz w:val="28"/>
          <w:szCs w:val="28"/>
        </w:rPr>
        <w:t>tā vairs</w:t>
      </w:r>
      <w:r w:rsidRPr="004C7E51">
        <w:rPr>
          <w:rFonts w:ascii="Times New Roman" w:hAnsi="Times New Roman"/>
          <w:b/>
          <w:sz w:val="28"/>
          <w:szCs w:val="28"/>
        </w:rPr>
        <w:t xml:space="preserve"> nav aktuāla.</w:t>
      </w:r>
    </w:p>
    <w:p w:rsidR="00DC3DA3" w:rsidRDefault="00DC3DA3" w:rsidP="00DC3DA3">
      <w:pPr>
        <w:pStyle w:val="Komentrateksts"/>
        <w:spacing w:after="0"/>
        <w:ind w:firstLine="851"/>
        <w:jc w:val="both"/>
        <w:rPr>
          <w:rFonts w:ascii="Times New Roman" w:hAnsi="Times New Roman"/>
          <w:sz w:val="28"/>
          <w:szCs w:val="28"/>
        </w:rPr>
      </w:pPr>
      <w:r>
        <w:rPr>
          <w:rFonts w:ascii="Times New Roman" w:hAnsi="Times New Roman"/>
          <w:sz w:val="28"/>
          <w:szCs w:val="28"/>
        </w:rPr>
        <w:t xml:space="preserve">2) mantojuma pieņemšanas institūts, </w:t>
      </w:r>
      <w:r>
        <w:rPr>
          <w:rFonts w:ascii="Times New Roman" w:hAnsi="Times New Roman"/>
          <w:sz w:val="28"/>
          <w:szCs w:val="28"/>
          <w:u w:val="single"/>
        </w:rPr>
        <w:t>jo tā</w:t>
      </w:r>
      <w:r w:rsidRPr="004C7E51">
        <w:rPr>
          <w:rFonts w:ascii="Times New Roman" w:hAnsi="Times New Roman"/>
          <w:sz w:val="28"/>
          <w:szCs w:val="28"/>
          <w:u w:val="single"/>
        </w:rPr>
        <w:t xml:space="preserve"> izvērtēšanai ir </w:t>
      </w:r>
      <w:r>
        <w:rPr>
          <w:rFonts w:ascii="Times New Roman" w:hAnsi="Times New Roman"/>
          <w:sz w:val="28"/>
          <w:szCs w:val="28"/>
          <w:u w:val="single"/>
        </w:rPr>
        <w:t>nepieciešama padziļināta izpēte un sabiedrības iesaistīšana</w:t>
      </w:r>
      <w:r>
        <w:rPr>
          <w:rFonts w:ascii="Times New Roman" w:hAnsi="Times New Roman"/>
          <w:sz w:val="28"/>
          <w:szCs w:val="28"/>
        </w:rPr>
        <w:t>.</w:t>
      </w:r>
    </w:p>
    <w:p w:rsidR="00DC3DA3" w:rsidRDefault="00DC3DA3" w:rsidP="00DC3DA3">
      <w:pPr>
        <w:spacing w:after="0" w:line="240" w:lineRule="auto"/>
        <w:ind w:firstLine="720"/>
        <w:jc w:val="both"/>
        <w:rPr>
          <w:rFonts w:ascii="Times New Roman" w:hAnsi="Times New Roman"/>
          <w:sz w:val="28"/>
          <w:szCs w:val="28"/>
        </w:rPr>
      </w:pPr>
      <w:r w:rsidRPr="00E45182">
        <w:rPr>
          <w:rFonts w:ascii="Times New Roman" w:hAnsi="Times New Roman"/>
          <w:sz w:val="28"/>
          <w:szCs w:val="28"/>
        </w:rPr>
        <w:t>Pašreizējais regulējums saistībā ar mantojuma pieņemšanu</w:t>
      </w:r>
      <w:r>
        <w:rPr>
          <w:rFonts w:ascii="Times New Roman" w:hAnsi="Times New Roman"/>
          <w:sz w:val="28"/>
          <w:szCs w:val="28"/>
        </w:rPr>
        <w:t xml:space="preserve"> paredz, ka</w:t>
      </w:r>
      <w:r w:rsidRPr="00E45182">
        <w:rPr>
          <w:rFonts w:ascii="Times New Roman" w:hAnsi="Times New Roman"/>
          <w:sz w:val="28"/>
          <w:szCs w:val="28"/>
        </w:rPr>
        <w:t xml:space="preserve"> </w:t>
      </w:r>
      <w:r>
        <w:rPr>
          <w:rFonts w:ascii="Times New Roman" w:hAnsi="Times New Roman"/>
          <w:sz w:val="28"/>
          <w:szCs w:val="28"/>
        </w:rPr>
        <w:t>a</w:t>
      </w:r>
      <w:r w:rsidRPr="00E45182">
        <w:rPr>
          <w:rFonts w:ascii="Times New Roman" w:hAnsi="Times New Roman"/>
          <w:sz w:val="28"/>
          <w:szCs w:val="28"/>
        </w:rPr>
        <w:t>pstiprināšanos mantojuma tiesībās veic tikai tad, kad tā ir nepieciešama (nepieciešams leģitimēties mantojuma tiesības pret trešajām personām, mantojuma masā ir nekustamais īpašums vai citos publisko</w:t>
      </w:r>
      <w:r>
        <w:rPr>
          <w:rFonts w:ascii="Times New Roman" w:hAnsi="Times New Roman"/>
          <w:sz w:val="28"/>
          <w:szCs w:val="28"/>
        </w:rPr>
        <w:t>s reģistros reģistrējama manta).</w:t>
      </w:r>
      <w:r w:rsidRPr="00E45182">
        <w:rPr>
          <w:rFonts w:ascii="Times New Roman" w:hAnsi="Times New Roman"/>
          <w:sz w:val="28"/>
          <w:szCs w:val="28"/>
        </w:rPr>
        <w:t xml:space="preserve"> </w:t>
      </w:r>
      <w:r>
        <w:rPr>
          <w:rFonts w:ascii="Times New Roman" w:hAnsi="Times New Roman"/>
          <w:sz w:val="28"/>
          <w:szCs w:val="28"/>
        </w:rPr>
        <w:t>L</w:t>
      </w:r>
      <w:r w:rsidRPr="00E45182">
        <w:rPr>
          <w:rFonts w:ascii="Times New Roman" w:hAnsi="Times New Roman"/>
          <w:sz w:val="28"/>
          <w:szCs w:val="28"/>
        </w:rPr>
        <w:t xml:space="preserve">īdz ar to </w:t>
      </w:r>
      <w:r>
        <w:rPr>
          <w:rFonts w:ascii="Times New Roman" w:hAnsi="Times New Roman"/>
          <w:sz w:val="28"/>
          <w:szCs w:val="28"/>
        </w:rPr>
        <w:t>tas ir</w:t>
      </w:r>
      <w:r w:rsidRPr="00E45182">
        <w:rPr>
          <w:rFonts w:ascii="Times New Roman" w:hAnsi="Times New Roman"/>
          <w:sz w:val="28"/>
          <w:szCs w:val="28"/>
        </w:rPr>
        <w:t xml:space="preserve"> līdzekļu un resursu ietaupījums pārējos gadījumos, kad apstiprināšanās</w:t>
      </w:r>
      <w:r>
        <w:rPr>
          <w:rFonts w:ascii="Times New Roman" w:hAnsi="Times New Roman"/>
          <w:sz w:val="28"/>
          <w:szCs w:val="28"/>
        </w:rPr>
        <w:t xml:space="preserve"> mantojuma tiesībās</w:t>
      </w:r>
      <w:r w:rsidRPr="00E45182">
        <w:rPr>
          <w:rFonts w:ascii="Times New Roman" w:hAnsi="Times New Roman"/>
          <w:sz w:val="28"/>
          <w:szCs w:val="28"/>
        </w:rPr>
        <w:t xml:space="preserve"> nav nepiecie</w:t>
      </w:r>
      <w:r>
        <w:rPr>
          <w:rFonts w:ascii="Times New Roman" w:hAnsi="Times New Roman"/>
          <w:sz w:val="28"/>
          <w:szCs w:val="28"/>
        </w:rPr>
        <w:t xml:space="preserve">šama. </w:t>
      </w:r>
      <w:r w:rsidRPr="00E45182">
        <w:rPr>
          <w:rFonts w:ascii="Times New Roman" w:hAnsi="Times New Roman"/>
          <w:sz w:val="28"/>
          <w:szCs w:val="28"/>
        </w:rPr>
        <w:t xml:space="preserve">Neapstiprinoties mantojuma tiesībās, mantot aicinātais nezaudē tiesības uz mantojumu, jo gribas izteikums pieņemt mantojumu var notikt </w:t>
      </w:r>
      <w:r>
        <w:rPr>
          <w:rFonts w:ascii="Times New Roman" w:hAnsi="Times New Roman"/>
          <w:sz w:val="28"/>
          <w:szCs w:val="28"/>
        </w:rPr>
        <w:t>klusējot vai veicot faktiskās darbības un m</w:t>
      </w:r>
      <w:r w:rsidRPr="00E45182">
        <w:rPr>
          <w:rFonts w:ascii="Times New Roman" w:hAnsi="Times New Roman"/>
          <w:sz w:val="28"/>
          <w:szCs w:val="28"/>
        </w:rPr>
        <w:t>antojuma lietvedība tiek ierosināta tad</w:t>
      </w:r>
      <w:r w:rsidR="009022E9">
        <w:rPr>
          <w:rFonts w:ascii="Times New Roman" w:hAnsi="Times New Roman"/>
          <w:sz w:val="28"/>
          <w:szCs w:val="28"/>
        </w:rPr>
        <w:t>, kad tā faktiski nepieciešama mantiniekam, pēcmantiniekam, substitūtam, kreditoram</w:t>
      </w:r>
      <w:r w:rsidRPr="00E45182">
        <w:rPr>
          <w:rFonts w:ascii="Times New Roman" w:hAnsi="Times New Roman"/>
          <w:sz w:val="28"/>
          <w:szCs w:val="28"/>
        </w:rPr>
        <w:t>,</w:t>
      </w:r>
      <w:r w:rsidRPr="00E45182">
        <w:rPr>
          <w:rFonts w:ascii="Times New Roman" w:hAnsi="Times New Roman"/>
          <w:color w:val="0000FF"/>
          <w:sz w:val="28"/>
          <w:szCs w:val="28"/>
        </w:rPr>
        <w:t xml:space="preserve"> </w:t>
      </w:r>
      <w:r w:rsidR="009022E9">
        <w:rPr>
          <w:rFonts w:ascii="Times New Roman" w:hAnsi="Times New Roman"/>
          <w:sz w:val="28"/>
          <w:szCs w:val="28"/>
        </w:rPr>
        <w:t>valstij</w:t>
      </w:r>
      <w:r>
        <w:rPr>
          <w:rFonts w:ascii="Times New Roman" w:hAnsi="Times New Roman"/>
          <w:sz w:val="28"/>
          <w:szCs w:val="28"/>
        </w:rPr>
        <w:t>.</w:t>
      </w:r>
    </w:p>
    <w:p w:rsidR="00DC3DA3" w:rsidRDefault="00DC3DA3" w:rsidP="00DC3DA3">
      <w:pPr>
        <w:spacing w:after="0" w:line="240" w:lineRule="auto"/>
        <w:ind w:firstLine="720"/>
        <w:jc w:val="both"/>
        <w:rPr>
          <w:rFonts w:ascii="Times New Roman" w:hAnsi="Times New Roman"/>
          <w:sz w:val="28"/>
          <w:szCs w:val="28"/>
        </w:rPr>
      </w:pPr>
      <w:r>
        <w:rPr>
          <w:rFonts w:ascii="Times New Roman" w:hAnsi="Times New Roman"/>
          <w:sz w:val="28"/>
          <w:szCs w:val="28"/>
        </w:rPr>
        <w:t>Tomēr</w:t>
      </w:r>
      <w:r w:rsidRPr="00E45182">
        <w:rPr>
          <w:rFonts w:ascii="Times New Roman" w:hAnsi="Times New Roman"/>
          <w:sz w:val="28"/>
          <w:szCs w:val="28"/>
        </w:rPr>
        <w:t xml:space="preserve"> </w:t>
      </w:r>
      <w:r>
        <w:rPr>
          <w:rFonts w:ascii="Times New Roman" w:hAnsi="Times New Roman"/>
          <w:sz w:val="28"/>
          <w:szCs w:val="28"/>
        </w:rPr>
        <w:t>n</w:t>
      </w:r>
      <w:r w:rsidRPr="00E45182">
        <w:rPr>
          <w:rFonts w:ascii="Times New Roman" w:hAnsi="Times New Roman"/>
          <w:sz w:val="28"/>
          <w:szCs w:val="28"/>
        </w:rPr>
        <w:t>o patreizējā regulējuma skaidri neizriet, ka mantojuma lietā esošais oficiālais uzaicinājums uzliek pienākumu pārtraukt klusēšanu</w:t>
      </w:r>
      <w:r>
        <w:rPr>
          <w:rFonts w:ascii="Times New Roman" w:hAnsi="Times New Roman"/>
          <w:sz w:val="28"/>
          <w:szCs w:val="28"/>
        </w:rPr>
        <w:t>,</w:t>
      </w:r>
      <w:r w:rsidRPr="00E45182">
        <w:rPr>
          <w:rFonts w:ascii="Times New Roman" w:hAnsi="Times New Roman"/>
          <w:sz w:val="28"/>
          <w:szCs w:val="28"/>
        </w:rPr>
        <w:t xml:space="preserve"> t.s.</w:t>
      </w:r>
      <w:r>
        <w:rPr>
          <w:rFonts w:ascii="Times New Roman" w:hAnsi="Times New Roman"/>
          <w:sz w:val="28"/>
          <w:szCs w:val="28"/>
        </w:rPr>
        <w:t>,</w:t>
      </w:r>
      <w:r w:rsidRPr="00E45182">
        <w:rPr>
          <w:rFonts w:ascii="Times New Roman" w:hAnsi="Times New Roman"/>
          <w:sz w:val="28"/>
          <w:szCs w:val="28"/>
        </w:rPr>
        <w:t xml:space="preserve"> </w:t>
      </w:r>
      <w:r>
        <w:rPr>
          <w:rFonts w:ascii="Times New Roman" w:hAnsi="Times New Roman"/>
          <w:sz w:val="28"/>
          <w:szCs w:val="28"/>
        </w:rPr>
        <w:lastRenderedPageBreak/>
        <w:t>pastāv </w:t>
      </w:r>
      <w:r w:rsidRPr="00E45182">
        <w:rPr>
          <w:rFonts w:ascii="Times New Roman" w:hAnsi="Times New Roman"/>
          <w:sz w:val="28"/>
          <w:szCs w:val="28"/>
        </w:rPr>
        <w:t>iespēja pieņemt mantojumu klusējot (t.sk.</w:t>
      </w:r>
      <w:r>
        <w:rPr>
          <w:rFonts w:ascii="Times New Roman" w:hAnsi="Times New Roman"/>
          <w:sz w:val="28"/>
          <w:szCs w:val="28"/>
        </w:rPr>
        <w:t>,</w:t>
      </w:r>
      <w:r w:rsidRPr="00E45182">
        <w:rPr>
          <w:rFonts w:ascii="Times New Roman" w:hAnsi="Times New Roman"/>
          <w:sz w:val="28"/>
          <w:szCs w:val="28"/>
        </w:rPr>
        <w:t xml:space="preserve"> ar faktisko valdījumu)</w:t>
      </w:r>
      <w:r>
        <w:rPr>
          <w:rFonts w:ascii="Times New Roman" w:hAnsi="Times New Roman"/>
          <w:sz w:val="28"/>
          <w:szCs w:val="28"/>
        </w:rPr>
        <w:t>. Minētais</w:t>
      </w:r>
      <w:r w:rsidRPr="00E45182">
        <w:rPr>
          <w:rFonts w:ascii="Times New Roman" w:hAnsi="Times New Roman"/>
          <w:sz w:val="28"/>
          <w:szCs w:val="28"/>
        </w:rPr>
        <w:t xml:space="preserve"> rada nenoteiktību gadījumos, kad ir citas mantojuma lietā ieinteresētas personas (citi mantinieki, kreditori, valsts), t.sk.</w:t>
      </w:r>
      <w:r>
        <w:rPr>
          <w:rFonts w:ascii="Times New Roman" w:hAnsi="Times New Roman"/>
          <w:sz w:val="28"/>
          <w:szCs w:val="28"/>
        </w:rPr>
        <w:t>,</w:t>
      </w:r>
      <w:r w:rsidRPr="00E45182">
        <w:rPr>
          <w:rFonts w:ascii="Times New Roman" w:hAnsi="Times New Roman"/>
          <w:sz w:val="28"/>
          <w:szCs w:val="28"/>
        </w:rPr>
        <w:t xml:space="preserve"> </w:t>
      </w:r>
      <w:r w:rsidR="00BF6AEA">
        <w:rPr>
          <w:rFonts w:ascii="Times New Roman" w:hAnsi="Times New Roman"/>
          <w:sz w:val="28"/>
          <w:szCs w:val="28"/>
        </w:rPr>
        <w:t xml:space="preserve">pastāv </w:t>
      </w:r>
      <w:r w:rsidRPr="00E45182">
        <w:rPr>
          <w:rFonts w:ascii="Times New Roman" w:hAnsi="Times New Roman"/>
          <w:sz w:val="28"/>
          <w:szCs w:val="28"/>
        </w:rPr>
        <w:t>kolīzija ar C</w:t>
      </w:r>
      <w:r>
        <w:rPr>
          <w:rFonts w:ascii="Times New Roman" w:hAnsi="Times New Roman"/>
          <w:sz w:val="28"/>
          <w:szCs w:val="28"/>
        </w:rPr>
        <w:t>ivillikuma</w:t>
      </w:r>
      <w:r w:rsidRPr="00E45182">
        <w:rPr>
          <w:rFonts w:ascii="Times New Roman" w:hAnsi="Times New Roman"/>
          <w:sz w:val="28"/>
          <w:szCs w:val="28"/>
        </w:rPr>
        <w:t xml:space="preserve"> 416.pantu. </w:t>
      </w:r>
      <w:r>
        <w:rPr>
          <w:rFonts w:ascii="Times New Roman" w:hAnsi="Times New Roman"/>
          <w:sz w:val="28"/>
          <w:szCs w:val="28"/>
        </w:rPr>
        <w:t xml:space="preserve"> </w:t>
      </w:r>
      <w:r w:rsidR="00BF6AEA">
        <w:rPr>
          <w:rFonts w:ascii="Times New Roman" w:hAnsi="Times New Roman"/>
          <w:sz w:val="28"/>
          <w:szCs w:val="28"/>
        </w:rPr>
        <w:t>„Mantojuma pieņemšana</w:t>
      </w:r>
      <w:r w:rsidRPr="00E45182">
        <w:rPr>
          <w:rFonts w:ascii="Times New Roman" w:hAnsi="Times New Roman"/>
          <w:sz w:val="28"/>
          <w:szCs w:val="28"/>
        </w:rPr>
        <w:t xml:space="preserve"> caur faktisko valdījumu” var radīt dažādas interpretācijas iespējas un pieņemšana klusējot atsevišķos gadījumos rada nenoteiktību pret trešajām personām (piemēram, </w:t>
      </w:r>
      <w:r>
        <w:rPr>
          <w:rFonts w:ascii="Times New Roman" w:hAnsi="Times New Roman"/>
          <w:sz w:val="28"/>
          <w:szCs w:val="28"/>
        </w:rPr>
        <w:t xml:space="preserve">ja </w:t>
      </w:r>
      <w:r w:rsidRPr="00E45182">
        <w:rPr>
          <w:rFonts w:ascii="Times New Roman" w:hAnsi="Times New Roman"/>
          <w:sz w:val="28"/>
          <w:szCs w:val="28"/>
        </w:rPr>
        <w:t xml:space="preserve">kā nekustamā īpašuma īpašnieks zemesgrāmatā ierakstīta mirusī persona, </w:t>
      </w:r>
      <w:r>
        <w:rPr>
          <w:rFonts w:ascii="Times New Roman" w:hAnsi="Times New Roman"/>
          <w:sz w:val="28"/>
          <w:szCs w:val="28"/>
        </w:rPr>
        <w:t>tad mantinieki i</w:t>
      </w:r>
      <w:r w:rsidRPr="00E45182">
        <w:rPr>
          <w:rFonts w:ascii="Times New Roman" w:hAnsi="Times New Roman"/>
          <w:sz w:val="28"/>
          <w:szCs w:val="28"/>
        </w:rPr>
        <w:t>zvairās no nekustamā īpašuma nodokļa maksāšanas).</w:t>
      </w:r>
    </w:p>
    <w:p w:rsidR="00DC3DA3" w:rsidRDefault="00DC3DA3" w:rsidP="00DC3DA3">
      <w:pPr>
        <w:spacing w:after="0" w:line="240" w:lineRule="auto"/>
        <w:ind w:firstLine="720"/>
        <w:jc w:val="both"/>
        <w:rPr>
          <w:rFonts w:ascii="Times New Roman" w:hAnsi="Times New Roman"/>
          <w:sz w:val="28"/>
          <w:szCs w:val="28"/>
        </w:rPr>
      </w:pPr>
      <w:r>
        <w:rPr>
          <w:rFonts w:ascii="Times New Roman" w:hAnsi="Times New Roman"/>
          <w:sz w:val="28"/>
          <w:szCs w:val="28"/>
        </w:rPr>
        <w:t xml:space="preserve">Ņemot vērā darba grupā notikušās diskusijas par mantojuma pieņemšanas jautājumiem, </w:t>
      </w:r>
      <w:r w:rsidRPr="00A63C32">
        <w:rPr>
          <w:rFonts w:ascii="Times New Roman" w:hAnsi="Times New Roman"/>
          <w:sz w:val="28"/>
          <w:szCs w:val="28"/>
        </w:rPr>
        <w:t xml:space="preserve">Tieslietu ministrija piedāvāja darba grupas locekļiem iepazīties un izvērtēt iespēju mainīt pastāvošo mantojuma pieņemšanas sistēmu, paredzot, ka mantojuma lieta tiek ierosināta katras personas </w:t>
      </w:r>
      <w:r w:rsidR="009022E9">
        <w:rPr>
          <w:rFonts w:ascii="Times New Roman" w:hAnsi="Times New Roman"/>
          <w:sz w:val="28"/>
          <w:szCs w:val="28"/>
        </w:rPr>
        <w:t>nāves</w:t>
      </w:r>
      <w:r w:rsidRPr="00A63C32">
        <w:rPr>
          <w:rFonts w:ascii="Times New Roman" w:hAnsi="Times New Roman"/>
          <w:sz w:val="28"/>
          <w:szCs w:val="28"/>
        </w:rPr>
        <w:t xml:space="preserve"> gadījumā. </w:t>
      </w:r>
      <w:r>
        <w:rPr>
          <w:rFonts w:ascii="Times New Roman" w:hAnsi="Times New Roman"/>
          <w:sz w:val="28"/>
          <w:szCs w:val="28"/>
        </w:rPr>
        <w:t>Šā ierosinājuma p</w:t>
      </w:r>
      <w:r w:rsidRPr="00A63C32">
        <w:rPr>
          <w:rFonts w:ascii="Times New Roman" w:hAnsi="Times New Roman"/>
          <w:sz w:val="28"/>
          <w:szCs w:val="28"/>
        </w:rPr>
        <w:t>ozitīvais aspekts</w:t>
      </w:r>
      <w:r w:rsidR="00BF6AEA">
        <w:rPr>
          <w:rFonts w:ascii="Times New Roman" w:hAnsi="Times New Roman"/>
          <w:sz w:val="28"/>
          <w:szCs w:val="28"/>
        </w:rPr>
        <w:t> – </w:t>
      </w:r>
      <w:r>
        <w:rPr>
          <w:rFonts w:ascii="Times New Roman" w:hAnsi="Times New Roman"/>
          <w:sz w:val="28"/>
          <w:szCs w:val="28"/>
        </w:rPr>
        <w:t>tiek paredzēta t</w:t>
      </w:r>
      <w:r w:rsidRPr="00A63C32">
        <w:rPr>
          <w:rFonts w:ascii="Times New Roman" w:hAnsi="Times New Roman"/>
          <w:sz w:val="28"/>
          <w:szCs w:val="28"/>
        </w:rPr>
        <w:t>iesiskā noteiktība visos līmeņos</w:t>
      </w:r>
      <w:r>
        <w:rPr>
          <w:rFonts w:ascii="Times New Roman" w:hAnsi="Times New Roman"/>
          <w:sz w:val="28"/>
          <w:szCs w:val="28"/>
        </w:rPr>
        <w:t> – </w:t>
      </w:r>
      <w:r w:rsidRPr="00A63C32">
        <w:rPr>
          <w:rFonts w:ascii="Times New Roman" w:hAnsi="Times New Roman"/>
          <w:sz w:val="28"/>
          <w:szCs w:val="28"/>
        </w:rPr>
        <w:t>gan privātpersonu, gan valsts līmenī (piemēram, jebkurā nāves gadījumā ierosinā</w:t>
      </w:r>
      <w:r>
        <w:rPr>
          <w:rFonts w:ascii="Times New Roman" w:hAnsi="Times New Roman"/>
          <w:sz w:val="28"/>
          <w:szCs w:val="28"/>
        </w:rPr>
        <w:t>ta un pabeigta mantojuma lieta – </w:t>
      </w:r>
      <w:r w:rsidRPr="00A63C32">
        <w:rPr>
          <w:rFonts w:ascii="Times New Roman" w:hAnsi="Times New Roman"/>
          <w:sz w:val="28"/>
          <w:szCs w:val="28"/>
        </w:rPr>
        <w:t>noteikts vai nu mantinieks vai manta atzīta par bezmantinieka mantu, vai mantojuma masa atzīta par bankrotējušu. Šādos gadījumos arī kreditoram ir skaidrība attiecībā uz to</w:t>
      </w:r>
      <w:r>
        <w:rPr>
          <w:rFonts w:ascii="Times New Roman" w:hAnsi="Times New Roman"/>
          <w:sz w:val="28"/>
          <w:szCs w:val="28"/>
        </w:rPr>
        <w:t>,</w:t>
      </w:r>
      <w:r w:rsidRPr="00A63C32">
        <w:rPr>
          <w:rFonts w:ascii="Times New Roman" w:hAnsi="Times New Roman"/>
          <w:sz w:val="28"/>
          <w:szCs w:val="28"/>
        </w:rPr>
        <w:t xml:space="preserve"> vai viņa saistība tiks segta un kas to segs)</w:t>
      </w:r>
      <w:r>
        <w:rPr>
          <w:rFonts w:ascii="Times New Roman" w:hAnsi="Times New Roman"/>
          <w:sz w:val="28"/>
          <w:szCs w:val="28"/>
        </w:rPr>
        <w:t>.</w:t>
      </w:r>
    </w:p>
    <w:p w:rsidR="00DC3DA3" w:rsidRPr="00DC3DA3" w:rsidRDefault="00DC3DA3" w:rsidP="00DC3DA3">
      <w:pPr>
        <w:spacing w:after="0" w:line="240" w:lineRule="auto"/>
        <w:ind w:firstLine="720"/>
        <w:jc w:val="both"/>
        <w:rPr>
          <w:rFonts w:ascii="Times New Roman" w:hAnsi="Times New Roman"/>
          <w:sz w:val="28"/>
          <w:szCs w:val="28"/>
        </w:rPr>
      </w:pPr>
      <w:r w:rsidRPr="00DC3DA3">
        <w:rPr>
          <w:rFonts w:ascii="Times New Roman" w:hAnsi="Times New Roman"/>
          <w:sz w:val="28"/>
          <w:szCs w:val="28"/>
        </w:rPr>
        <w:t>Darba grupa piedāvāto Tieslietu ministrijas variantu, kas būtiski skartu mantojuma pieņemšanas sistēmas maiņu, neatbalstīja, norādot, ka jaunas mantojuma pieņemšanas sistēmas izstādei nepieciešama padziļināta izpēte. Jauns mantojuma pieņemšanas regulējums var skart tik būtiskus jautājumus kā mantojuma izsludināšana, u</w:t>
      </w:r>
      <w:r w:rsidR="009022E9">
        <w:rPr>
          <w:rFonts w:ascii="Times New Roman" w:hAnsi="Times New Roman"/>
          <w:sz w:val="28"/>
          <w:szCs w:val="28"/>
        </w:rPr>
        <w:t>zaicinājumu nosūtīšana, īpaši ta</w:t>
      </w:r>
      <w:r w:rsidRPr="00DC3DA3">
        <w:rPr>
          <w:rFonts w:ascii="Times New Roman" w:hAnsi="Times New Roman"/>
          <w:sz w:val="28"/>
          <w:szCs w:val="28"/>
        </w:rPr>
        <w:t xml:space="preserve">s </w:t>
      </w:r>
      <w:r w:rsidR="009022E9">
        <w:rPr>
          <w:rFonts w:ascii="Times New Roman" w:hAnsi="Times New Roman"/>
          <w:sz w:val="28"/>
          <w:szCs w:val="28"/>
        </w:rPr>
        <w:t>ietekmēs termiņus, kuros jāpiesa</w:t>
      </w:r>
      <w:r w:rsidRPr="00DC3DA3">
        <w:rPr>
          <w:rFonts w:ascii="Times New Roman" w:hAnsi="Times New Roman"/>
          <w:sz w:val="28"/>
          <w:szCs w:val="28"/>
        </w:rPr>
        <w:t>k</w:t>
      </w:r>
      <w:r w:rsidR="009022E9">
        <w:rPr>
          <w:rFonts w:ascii="Times New Roman" w:hAnsi="Times New Roman"/>
          <w:sz w:val="28"/>
          <w:szCs w:val="28"/>
        </w:rPr>
        <w:t>ā</w:t>
      </w:r>
      <w:r w:rsidRPr="00DC3DA3">
        <w:rPr>
          <w:rFonts w:ascii="Times New Roman" w:hAnsi="Times New Roman"/>
          <w:sz w:val="28"/>
          <w:szCs w:val="28"/>
        </w:rPr>
        <w:t>s uz mantojumu (attiecībā gan uz mantiniekiem, gan kreditoriem), inventāra tiesisko regulējumu, līgumisko un testamentāro mantošanu (jo būs laicīgi jāiesniedz atbilstoši dokumenti), kā arī mantojuma masas maksātnespējas jautājumus. Vienlaikus jauns mantojuma pieņemšanas regulējums varētu ietekmēt kreditoru laicīgi (noteiktajā termiņā) nepieteiktās pretenzijas, t.i., paredzot, ka, ja kreditora pretenzija netiks iesniegtā noteiktajā laikā, tad tā tiks dzēsta. Tāpat mantojuma pieņemšanas sistēmas regulējuma maiņas dēļ būtu pārskatāma arī tajā iesaistīto subj</w:t>
      </w:r>
      <w:r w:rsidR="00BF6AEA">
        <w:rPr>
          <w:rFonts w:ascii="Times New Roman" w:hAnsi="Times New Roman"/>
          <w:sz w:val="28"/>
          <w:szCs w:val="28"/>
        </w:rPr>
        <w:t>ektu (piemēram, zvērināti notāru</w:t>
      </w:r>
      <w:r w:rsidRPr="00DC3DA3">
        <w:rPr>
          <w:rFonts w:ascii="Times New Roman" w:hAnsi="Times New Roman"/>
          <w:sz w:val="28"/>
          <w:szCs w:val="28"/>
        </w:rPr>
        <w:t>, zvērināti tiesu izpildītāj</w:t>
      </w:r>
      <w:r w:rsidR="00BF6AEA">
        <w:rPr>
          <w:rFonts w:ascii="Times New Roman" w:hAnsi="Times New Roman"/>
          <w:sz w:val="28"/>
          <w:szCs w:val="28"/>
        </w:rPr>
        <w:t>u, dzimtsarakstu nodaļu, pašvaldību</w:t>
      </w:r>
      <w:r w:rsidRPr="00DC3DA3">
        <w:rPr>
          <w:rFonts w:ascii="Times New Roman" w:hAnsi="Times New Roman"/>
          <w:sz w:val="28"/>
          <w:szCs w:val="28"/>
        </w:rPr>
        <w:t>) kompetence. Ņemot vērā šā jautājuma komplicēto raksturu, kā arī nepieciešamību iegūt sabiedrības viedokli par mantojuma pieņemšanas sistēmas maiņu, tika nolemts rast risinājumu šim fundamentālajam jautājumam tā tālākajā izpētē.</w:t>
      </w:r>
    </w:p>
    <w:p w:rsidR="00DC3DA3" w:rsidRPr="00DC3DA3" w:rsidRDefault="00DC3DA3" w:rsidP="00DC3DA3">
      <w:pPr>
        <w:spacing w:after="0" w:line="240" w:lineRule="auto"/>
        <w:ind w:firstLine="720"/>
        <w:jc w:val="both"/>
        <w:rPr>
          <w:rFonts w:ascii="Times New Roman" w:hAnsi="Times New Roman"/>
          <w:sz w:val="28"/>
          <w:szCs w:val="28"/>
        </w:rPr>
      </w:pPr>
      <w:r>
        <w:rPr>
          <w:rFonts w:ascii="Times New Roman" w:hAnsi="Times New Roman"/>
          <w:sz w:val="28"/>
          <w:szCs w:val="28"/>
        </w:rPr>
        <w:t xml:space="preserve">Turklāt minētā regulējuma īstenošanai, iespējams, būs nepieciešami valsts budžeta līdzekļi, </w:t>
      </w:r>
      <w:r w:rsidRPr="00DC3DA3">
        <w:rPr>
          <w:rFonts w:ascii="Times New Roman" w:hAnsi="Times New Roman"/>
          <w:sz w:val="28"/>
          <w:szCs w:val="28"/>
        </w:rPr>
        <w:t>tādēļ tā izpētei jānoris līdztekus ar izvērtējumu par tā īstenošanas iespējam.</w:t>
      </w:r>
    </w:p>
    <w:p w:rsidR="00DC3DA3" w:rsidRPr="00DC3DA3" w:rsidRDefault="00DC3DA3" w:rsidP="00DC3DA3">
      <w:pPr>
        <w:spacing w:after="0" w:line="240" w:lineRule="auto"/>
        <w:ind w:firstLine="720"/>
        <w:jc w:val="both"/>
        <w:rPr>
          <w:rFonts w:ascii="Times New Roman" w:hAnsi="Times New Roman"/>
          <w:sz w:val="28"/>
          <w:szCs w:val="28"/>
        </w:rPr>
      </w:pPr>
      <w:r w:rsidRPr="00DC3DA3">
        <w:rPr>
          <w:rFonts w:ascii="Times New Roman" w:hAnsi="Times New Roman"/>
          <w:sz w:val="28"/>
          <w:szCs w:val="28"/>
        </w:rPr>
        <w:t>Ņemot vērā to, ka nepieciešams:</w:t>
      </w:r>
    </w:p>
    <w:p w:rsidR="00DC3DA3" w:rsidRPr="00DC3DA3" w:rsidRDefault="00DC3DA3" w:rsidP="00DC3DA3">
      <w:pPr>
        <w:spacing w:after="0" w:line="240" w:lineRule="auto"/>
        <w:ind w:firstLine="720"/>
        <w:jc w:val="both"/>
        <w:rPr>
          <w:rFonts w:ascii="Times New Roman" w:hAnsi="Times New Roman"/>
          <w:sz w:val="28"/>
          <w:szCs w:val="28"/>
        </w:rPr>
      </w:pPr>
      <w:r w:rsidRPr="00DC3DA3">
        <w:rPr>
          <w:rFonts w:ascii="Times New Roman" w:hAnsi="Times New Roman"/>
          <w:sz w:val="28"/>
          <w:szCs w:val="28"/>
        </w:rPr>
        <w:t xml:space="preserve">1) izvērtēt mantojuma pieņemšanas sistēmas atbilstību mūsdienu prasībām, padziļināti izpētot sistēmas maiņas ietekmi; </w:t>
      </w:r>
    </w:p>
    <w:p w:rsidR="00DC3DA3" w:rsidRPr="00DC3DA3" w:rsidRDefault="00DC3DA3" w:rsidP="00DC3DA3">
      <w:pPr>
        <w:spacing w:after="0" w:line="240" w:lineRule="auto"/>
        <w:ind w:firstLine="720"/>
        <w:jc w:val="both"/>
        <w:rPr>
          <w:rFonts w:ascii="Times New Roman" w:hAnsi="Times New Roman"/>
          <w:sz w:val="28"/>
          <w:szCs w:val="28"/>
        </w:rPr>
      </w:pPr>
      <w:r w:rsidRPr="00DC3DA3">
        <w:rPr>
          <w:rFonts w:ascii="Times New Roman" w:hAnsi="Times New Roman"/>
          <w:sz w:val="28"/>
          <w:szCs w:val="28"/>
        </w:rPr>
        <w:t>2) noskaidrot šādu grozījumu lietderību un samērīgumu;</w:t>
      </w:r>
    </w:p>
    <w:p w:rsidR="00DC3DA3" w:rsidRPr="00DC3DA3" w:rsidRDefault="00BF6AEA" w:rsidP="00DC3DA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00DC3DA3" w:rsidRPr="00DC3DA3">
        <w:rPr>
          <w:rFonts w:ascii="Times New Roman" w:hAnsi="Times New Roman"/>
          <w:sz w:val="28"/>
          <w:szCs w:val="28"/>
        </w:rPr>
        <w:t>) iesaistīt sabiedrību jautājuma izvērtēšanā attiecībā uz mantojuma pieņemšanas jautājumiem;</w:t>
      </w:r>
    </w:p>
    <w:p w:rsidR="00DC3DA3" w:rsidRPr="00DC3DA3" w:rsidRDefault="00DC3DA3" w:rsidP="00DC3DA3">
      <w:pPr>
        <w:spacing w:after="0" w:line="240" w:lineRule="auto"/>
        <w:ind w:firstLine="720"/>
        <w:jc w:val="both"/>
        <w:rPr>
          <w:rFonts w:ascii="Times New Roman" w:hAnsi="Times New Roman"/>
          <w:sz w:val="28"/>
          <w:szCs w:val="28"/>
        </w:rPr>
      </w:pPr>
      <w:r w:rsidRPr="00DC3DA3">
        <w:rPr>
          <w:rFonts w:ascii="Times New Roman" w:hAnsi="Times New Roman"/>
          <w:sz w:val="28"/>
          <w:szCs w:val="28"/>
        </w:rPr>
        <w:t>4) izvērtēt valsts un pašvaldības budžeta līdzekļu piesaisti un to izmantošanu,</w:t>
      </w:r>
    </w:p>
    <w:p w:rsidR="00DC3DA3" w:rsidRPr="00DC3DA3" w:rsidRDefault="00DC3DA3" w:rsidP="00DC3DA3">
      <w:pPr>
        <w:spacing w:after="0" w:line="240" w:lineRule="auto"/>
        <w:ind w:firstLine="720"/>
        <w:jc w:val="both"/>
        <w:rPr>
          <w:rFonts w:ascii="Times New Roman" w:hAnsi="Times New Roman"/>
          <w:sz w:val="28"/>
          <w:szCs w:val="28"/>
        </w:rPr>
      </w:pPr>
      <w:r w:rsidRPr="00DC3DA3">
        <w:rPr>
          <w:rFonts w:ascii="Times New Roman" w:hAnsi="Times New Roman"/>
          <w:sz w:val="28"/>
          <w:szCs w:val="28"/>
        </w:rPr>
        <w:t>termiņš jautājumu izvērtēšanai un attiecīgā regulējuma izstrādei jāpagarina.</w:t>
      </w:r>
    </w:p>
    <w:p w:rsidR="00DC3DA3" w:rsidRDefault="00217B73" w:rsidP="00DC3DA3">
      <w:pPr>
        <w:spacing w:after="0" w:line="240" w:lineRule="auto"/>
        <w:ind w:firstLine="720"/>
        <w:jc w:val="both"/>
        <w:rPr>
          <w:rFonts w:ascii="Times New Roman" w:hAnsi="Times New Roman"/>
          <w:sz w:val="28"/>
          <w:szCs w:val="28"/>
        </w:rPr>
      </w:pPr>
      <w:r>
        <w:rPr>
          <w:rFonts w:ascii="Times New Roman" w:hAnsi="Times New Roman"/>
          <w:sz w:val="28"/>
          <w:szCs w:val="28"/>
        </w:rPr>
        <w:t>Patlaban izskatīšanai n</w:t>
      </w:r>
      <w:r w:rsidR="00DC3DA3">
        <w:rPr>
          <w:rFonts w:ascii="Times New Roman" w:hAnsi="Times New Roman"/>
          <w:sz w:val="28"/>
          <w:szCs w:val="28"/>
        </w:rPr>
        <w:t xml:space="preserve">etiek virzīti šādi koncepcijā minēti jautājumi, kas cieši saistīti ar mantojuma </w:t>
      </w:r>
      <w:r w:rsidR="00DC3DA3" w:rsidRPr="00DC3DA3">
        <w:rPr>
          <w:rFonts w:ascii="Times New Roman" w:hAnsi="Times New Roman"/>
          <w:sz w:val="28"/>
          <w:szCs w:val="28"/>
        </w:rPr>
        <w:t>pieņemšanas sistēmu:</w:t>
      </w:r>
      <w:r w:rsidR="00DC3DA3">
        <w:rPr>
          <w:rFonts w:ascii="Times New Roman" w:hAnsi="Times New Roman"/>
          <w:sz w:val="28"/>
          <w:szCs w:val="28"/>
        </w:rPr>
        <w:t xml:space="preserve"> </w:t>
      </w:r>
      <w:r w:rsidR="00DC3DA3" w:rsidRPr="000456EF">
        <w:rPr>
          <w:rFonts w:ascii="Times New Roman" w:hAnsi="Times New Roman"/>
          <w:sz w:val="28"/>
          <w:szCs w:val="28"/>
        </w:rPr>
        <w:t>legāti (iegūšana un atraidīšana; izpildīšana), līgumiskā mantošana, mantojuma pieņemšana, dalīšana un atraidīšana</w:t>
      </w:r>
      <w:r w:rsidR="00DC3DA3">
        <w:rPr>
          <w:rFonts w:ascii="Times New Roman" w:hAnsi="Times New Roman"/>
          <w:sz w:val="28"/>
          <w:szCs w:val="28"/>
        </w:rPr>
        <w:t>,</w:t>
      </w:r>
      <w:r w:rsidR="00DC3DA3" w:rsidRPr="000456EF">
        <w:rPr>
          <w:rFonts w:ascii="Times New Roman" w:hAnsi="Times New Roman"/>
          <w:sz w:val="28"/>
          <w:szCs w:val="28"/>
        </w:rPr>
        <w:t xml:space="preserve"> transmisija</w:t>
      </w:r>
      <w:r w:rsidR="00DC3DA3">
        <w:rPr>
          <w:rFonts w:ascii="Times New Roman" w:hAnsi="Times New Roman"/>
          <w:sz w:val="28"/>
          <w:szCs w:val="28"/>
        </w:rPr>
        <w:t>, inventāra tiesības</w:t>
      </w:r>
      <w:r w:rsidR="00DC3DA3" w:rsidRPr="000456EF">
        <w:rPr>
          <w:rFonts w:ascii="Times New Roman" w:hAnsi="Times New Roman"/>
          <w:sz w:val="28"/>
          <w:szCs w:val="28"/>
        </w:rPr>
        <w:t>.</w:t>
      </w:r>
    </w:p>
    <w:p w:rsidR="00DC3DA3" w:rsidRPr="00314EA5" w:rsidRDefault="009022E9" w:rsidP="00DC3DA3">
      <w:pPr>
        <w:spacing w:after="0" w:line="240" w:lineRule="auto"/>
        <w:ind w:firstLine="720"/>
        <w:jc w:val="both"/>
        <w:rPr>
          <w:rFonts w:ascii="Times New Roman" w:hAnsi="Times New Roman"/>
          <w:sz w:val="28"/>
          <w:szCs w:val="28"/>
        </w:rPr>
      </w:pPr>
      <w:r>
        <w:rPr>
          <w:rFonts w:ascii="Times New Roman" w:hAnsi="Times New Roman"/>
          <w:sz w:val="28"/>
          <w:szCs w:val="28"/>
        </w:rPr>
        <w:t>L</w:t>
      </w:r>
      <w:r w:rsidR="00DC3DA3" w:rsidRPr="00314EA5">
        <w:rPr>
          <w:rFonts w:ascii="Times New Roman" w:hAnsi="Times New Roman"/>
          <w:sz w:val="28"/>
          <w:szCs w:val="28"/>
        </w:rPr>
        <w:t>ikumprojektā „Grozījumi Civillikumā”</w:t>
      </w:r>
      <w:r w:rsidRPr="009022E9">
        <w:rPr>
          <w:rFonts w:ascii="Times New Roman" w:hAnsi="Times New Roman"/>
          <w:sz w:val="28"/>
          <w:szCs w:val="28"/>
        </w:rPr>
        <w:t xml:space="preserve"> </w:t>
      </w:r>
      <w:r>
        <w:rPr>
          <w:rFonts w:ascii="Times New Roman" w:hAnsi="Times New Roman"/>
          <w:sz w:val="28"/>
          <w:szCs w:val="28"/>
        </w:rPr>
        <w:t>i</w:t>
      </w:r>
      <w:r w:rsidRPr="00314EA5">
        <w:rPr>
          <w:rFonts w:ascii="Times New Roman" w:hAnsi="Times New Roman"/>
          <w:sz w:val="28"/>
          <w:szCs w:val="28"/>
        </w:rPr>
        <w:t>etverto</w:t>
      </w:r>
      <w:r w:rsidR="00DC3DA3" w:rsidRPr="00314EA5">
        <w:rPr>
          <w:rFonts w:ascii="Times New Roman" w:hAnsi="Times New Roman"/>
          <w:sz w:val="28"/>
          <w:szCs w:val="28"/>
        </w:rPr>
        <w:t xml:space="preserve"> grozījumu tālāka virzība neietekmē jautājuma izlemšanu par mantojuma pieņemšanu. Tajā pašā laikā ir svarīgi veikt padziļinātu diskusiju un mantojuma pieņemšanas jautājuma izpēti, lai izlemtu par Latvijai piemērotākās mantojuma</w:t>
      </w:r>
      <w:r w:rsidR="00DC3DA3">
        <w:rPr>
          <w:rFonts w:ascii="Times New Roman" w:hAnsi="Times New Roman"/>
          <w:sz w:val="28"/>
          <w:szCs w:val="28"/>
        </w:rPr>
        <w:t xml:space="preserve"> pieņemšanas sistēmas ieviešanu.</w:t>
      </w:r>
    </w:p>
    <w:p w:rsidR="00DC3DA3" w:rsidRPr="00314EA5" w:rsidRDefault="00DC3DA3" w:rsidP="00DC3DA3">
      <w:pPr>
        <w:spacing w:after="0" w:line="240" w:lineRule="auto"/>
        <w:ind w:firstLine="720"/>
        <w:jc w:val="both"/>
        <w:rPr>
          <w:rFonts w:ascii="Times New Roman" w:hAnsi="Times New Roman"/>
          <w:sz w:val="28"/>
          <w:szCs w:val="28"/>
        </w:rPr>
      </w:pPr>
      <w:r w:rsidRPr="00314EA5">
        <w:rPr>
          <w:rFonts w:ascii="Times New Roman" w:hAnsi="Times New Roman"/>
          <w:sz w:val="28"/>
          <w:szCs w:val="28"/>
        </w:rPr>
        <w:t xml:space="preserve">Virzot jau izstrādātos grozījumus, tiem tiek pievienots Ministru kabineta sēdes </w:t>
      </w:r>
      <w:proofErr w:type="spellStart"/>
      <w:r w:rsidRPr="00314EA5">
        <w:rPr>
          <w:rFonts w:ascii="Times New Roman" w:hAnsi="Times New Roman"/>
          <w:sz w:val="28"/>
          <w:szCs w:val="28"/>
        </w:rPr>
        <w:t>protokollēmuma</w:t>
      </w:r>
      <w:proofErr w:type="spellEnd"/>
      <w:r w:rsidRPr="00314EA5">
        <w:rPr>
          <w:rFonts w:ascii="Times New Roman" w:hAnsi="Times New Roman"/>
          <w:sz w:val="28"/>
          <w:szCs w:val="28"/>
        </w:rPr>
        <w:t xml:space="preserve"> projekts, </w:t>
      </w:r>
      <w:r>
        <w:rPr>
          <w:rFonts w:ascii="Times New Roman" w:hAnsi="Times New Roman"/>
          <w:sz w:val="28"/>
          <w:szCs w:val="28"/>
        </w:rPr>
        <w:t>ar kuru</w:t>
      </w:r>
      <w:r w:rsidRPr="00314EA5">
        <w:rPr>
          <w:rFonts w:ascii="Times New Roman" w:hAnsi="Times New Roman"/>
          <w:sz w:val="28"/>
          <w:szCs w:val="28"/>
        </w:rPr>
        <w:t xml:space="preserve"> mantojuma pieņemšanas </w:t>
      </w:r>
      <w:r>
        <w:rPr>
          <w:rFonts w:ascii="Times New Roman" w:hAnsi="Times New Roman"/>
          <w:sz w:val="28"/>
          <w:szCs w:val="28"/>
        </w:rPr>
        <w:t>tiesiskā regulējuma pārskatīšanas</w:t>
      </w:r>
      <w:r w:rsidRPr="00314EA5">
        <w:rPr>
          <w:rFonts w:ascii="Times New Roman" w:hAnsi="Times New Roman"/>
          <w:sz w:val="28"/>
          <w:szCs w:val="28"/>
        </w:rPr>
        <w:t xml:space="preserve"> termiņš tiek pagarināts līdz 201</w:t>
      </w:r>
      <w:r>
        <w:rPr>
          <w:rFonts w:ascii="Times New Roman" w:hAnsi="Times New Roman"/>
          <w:sz w:val="28"/>
          <w:szCs w:val="28"/>
        </w:rPr>
        <w:t>4</w:t>
      </w:r>
      <w:r w:rsidRPr="00314EA5">
        <w:rPr>
          <w:rFonts w:ascii="Times New Roman" w:hAnsi="Times New Roman"/>
          <w:sz w:val="28"/>
          <w:szCs w:val="28"/>
        </w:rPr>
        <w:t xml:space="preserve">.gada </w:t>
      </w:r>
      <w:r w:rsidR="00217B73">
        <w:rPr>
          <w:rFonts w:ascii="Times New Roman" w:hAnsi="Times New Roman"/>
          <w:sz w:val="28"/>
          <w:szCs w:val="28"/>
        </w:rPr>
        <w:t>1.</w:t>
      </w:r>
      <w:r>
        <w:rPr>
          <w:rFonts w:ascii="Times New Roman" w:hAnsi="Times New Roman"/>
          <w:sz w:val="28"/>
          <w:szCs w:val="28"/>
        </w:rPr>
        <w:t>aprīlim</w:t>
      </w:r>
      <w:r w:rsidRPr="00314EA5">
        <w:rPr>
          <w:rFonts w:ascii="Times New Roman" w:hAnsi="Times New Roman"/>
          <w:sz w:val="28"/>
          <w:szCs w:val="28"/>
        </w:rPr>
        <w:t xml:space="preserve">. </w:t>
      </w:r>
    </w:p>
    <w:p w:rsidR="00DC3DA3" w:rsidRDefault="00DC3DA3" w:rsidP="00DC3DA3">
      <w:pPr>
        <w:pStyle w:val="naisf"/>
        <w:spacing w:before="0" w:beforeAutospacing="0" w:after="0" w:afterAutospacing="0"/>
        <w:jc w:val="both"/>
      </w:pPr>
    </w:p>
    <w:p w:rsidR="00DC3DA3" w:rsidRPr="00314EA5" w:rsidRDefault="00DC3DA3" w:rsidP="00D3285D">
      <w:pPr>
        <w:pStyle w:val="naisf"/>
        <w:ind w:firstLine="720"/>
        <w:rPr>
          <w:sz w:val="28"/>
          <w:szCs w:val="28"/>
        </w:rPr>
      </w:pPr>
      <w:r w:rsidRPr="00314EA5">
        <w:rPr>
          <w:sz w:val="28"/>
          <w:szCs w:val="28"/>
        </w:rPr>
        <w:t>Tieslietu ministrs</w:t>
      </w:r>
      <w:r w:rsidRPr="00314EA5">
        <w:rPr>
          <w:sz w:val="28"/>
          <w:szCs w:val="28"/>
        </w:rPr>
        <w:tab/>
      </w:r>
      <w:r w:rsidRPr="00314EA5">
        <w:rPr>
          <w:sz w:val="28"/>
          <w:szCs w:val="28"/>
        </w:rPr>
        <w:tab/>
      </w:r>
      <w:r w:rsidRPr="00314EA5">
        <w:rPr>
          <w:sz w:val="28"/>
          <w:szCs w:val="28"/>
        </w:rPr>
        <w:tab/>
      </w:r>
      <w:r w:rsidRPr="00314EA5">
        <w:rPr>
          <w:sz w:val="28"/>
          <w:szCs w:val="28"/>
        </w:rPr>
        <w:tab/>
      </w:r>
      <w:r w:rsidRPr="00314EA5">
        <w:rPr>
          <w:sz w:val="28"/>
          <w:szCs w:val="28"/>
        </w:rPr>
        <w:tab/>
      </w:r>
      <w:r w:rsidRPr="00314EA5">
        <w:rPr>
          <w:sz w:val="28"/>
          <w:szCs w:val="28"/>
        </w:rPr>
        <w:tab/>
      </w:r>
      <w:r>
        <w:rPr>
          <w:sz w:val="28"/>
          <w:szCs w:val="28"/>
        </w:rPr>
        <w:tab/>
        <w:t>J. </w:t>
      </w:r>
      <w:proofErr w:type="spellStart"/>
      <w:r>
        <w:rPr>
          <w:sz w:val="28"/>
          <w:szCs w:val="28"/>
        </w:rPr>
        <w:t>Bordāns</w:t>
      </w:r>
      <w:proofErr w:type="spellEnd"/>
    </w:p>
    <w:p w:rsidR="00DC3DA3" w:rsidRDefault="00DC3DA3" w:rsidP="00DC3DA3">
      <w:pPr>
        <w:spacing w:after="0" w:line="240" w:lineRule="auto"/>
        <w:rPr>
          <w:rFonts w:ascii="Times New Roman" w:hAnsi="Times New Roman"/>
        </w:rPr>
      </w:pPr>
    </w:p>
    <w:p w:rsidR="00DC3DA3" w:rsidRDefault="00DC3DA3" w:rsidP="00DC3DA3">
      <w:pPr>
        <w:spacing w:after="0" w:line="240" w:lineRule="auto"/>
        <w:rPr>
          <w:rFonts w:ascii="Times New Roman" w:hAnsi="Times New Roman"/>
        </w:rPr>
      </w:pPr>
    </w:p>
    <w:p w:rsidR="00DC3DA3" w:rsidRDefault="00DC3DA3" w:rsidP="00DC3DA3">
      <w:pPr>
        <w:spacing w:after="0" w:line="240" w:lineRule="auto"/>
        <w:rPr>
          <w:rFonts w:ascii="Times New Roman" w:hAnsi="Times New Roman"/>
        </w:rPr>
      </w:pPr>
    </w:p>
    <w:p w:rsidR="009022E9" w:rsidRDefault="009022E9" w:rsidP="00DC3DA3">
      <w:pPr>
        <w:spacing w:after="0" w:line="240" w:lineRule="auto"/>
        <w:jc w:val="both"/>
        <w:rPr>
          <w:rFonts w:ascii="Times New Roman" w:hAnsi="Times New Roman"/>
          <w:sz w:val="20"/>
        </w:rPr>
      </w:pPr>
      <w:r w:rsidRPr="00D3285D">
        <w:rPr>
          <w:rFonts w:ascii="Times New Roman" w:hAnsi="Times New Roman"/>
          <w:sz w:val="20"/>
          <w:lang w:val="en-US"/>
        </w:rPr>
        <w:t>17.07.2012 9:26</w:t>
      </w:r>
    </w:p>
    <w:p w:rsidR="00DC3DA3" w:rsidRPr="00A838AA" w:rsidRDefault="009022E9" w:rsidP="00DC3DA3">
      <w:pPr>
        <w:spacing w:after="0" w:line="240" w:lineRule="auto"/>
        <w:jc w:val="both"/>
        <w:rPr>
          <w:rFonts w:ascii="Times New Roman" w:hAnsi="Times New Roman"/>
          <w:sz w:val="20"/>
        </w:rPr>
      </w:pPr>
      <w:r>
        <w:rPr>
          <w:rFonts w:ascii="Times New Roman" w:hAnsi="Times New Roman"/>
          <w:sz w:val="20"/>
        </w:rPr>
        <w:t>1962</w:t>
      </w:r>
    </w:p>
    <w:p w:rsidR="00DC3DA3" w:rsidRPr="00CB7FD1" w:rsidRDefault="00DC3DA3" w:rsidP="00DC3DA3">
      <w:pPr>
        <w:tabs>
          <w:tab w:val="center" w:pos="4394"/>
        </w:tabs>
        <w:spacing w:after="0" w:line="240" w:lineRule="auto"/>
        <w:ind w:right="-483"/>
        <w:rPr>
          <w:rFonts w:ascii="Times New Roman" w:hAnsi="Times New Roman"/>
          <w:sz w:val="20"/>
        </w:rPr>
      </w:pPr>
      <w:r w:rsidRPr="00CB7FD1">
        <w:rPr>
          <w:rFonts w:ascii="Times New Roman" w:hAnsi="Times New Roman"/>
          <w:sz w:val="20"/>
        </w:rPr>
        <w:t>Paipala</w:t>
      </w:r>
      <w:r w:rsidRPr="00CB7FD1">
        <w:rPr>
          <w:rFonts w:ascii="Times New Roman" w:hAnsi="Times New Roman"/>
          <w:sz w:val="20"/>
        </w:rPr>
        <w:tab/>
      </w:r>
    </w:p>
    <w:p w:rsidR="00DC3DA3" w:rsidRPr="00A46883" w:rsidRDefault="00DC3DA3" w:rsidP="00DC3DA3">
      <w:pPr>
        <w:tabs>
          <w:tab w:val="left" w:pos="7560"/>
        </w:tabs>
        <w:spacing w:after="0" w:line="240" w:lineRule="auto"/>
        <w:ind w:right="-483"/>
        <w:rPr>
          <w:rFonts w:ascii="Times New Roman" w:hAnsi="Times New Roman"/>
          <w:sz w:val="20"/>
        </w:rPr>
      </w:pPr>
      <w:r>
        <w:rPr>
          <w:rFonts w:ascii="Times New Roman" w:hAnsi="Times New Roman"/>
          <w:sz w:val="20"/>
        </w:rPr>
        <w:t>67046107</w:t>
      </w:r>
      <w:r w:rsidRPr="00CB7FD1">
        <w:rPr>
          <w:rFonts w:ascii="Times New Roman" w:hAnsi="Times New Roman"/>
          <w:sz w:val="20"/>
        </w:rPr>
        <w:t xml:space="preserve">, </w:t>
      </w:r>
      <w:bookmarkStart w:id="1" w:name="OLE_LINK1"/>
      <w:bookmarkStart w:id="2" w:name="OLE_LINK2"/>
      <w:r w:rsidR="00824F92" w:rsidRPr="00D3723F">
        <w:fldChar w:fldCharType="begin"/>
      </w:r>
      <w:r w:rsidRPr="00D3723F">
        <w:instrText>HYPERLINK "mailto:olga.paipala@tm.gov.lv"</w:instrText>
      </w:r>
      <w:r w:rsidR="00824F92" w:rsidRPr="00D3723F">
        <w:fldChar w:fldCharType="separate"/>
      </w:r>
      <w:r w:rsidRPr="00D3723F">
        <w:rPr>
          <w:rStyle w:val="Hipersaite"/>
          <w:rFonts w:ascii="Times New Roman" w:hAnsi="Times New Roman"/>
          <w:color w:val="auto"/>
          <w:sz w:val="20"/>
          <w:u w:val="none"/>
        </w:rPr>
        <w:t>olga.paipala@tm.gov.lv</w:t>
      </w:r>
      <w:r w:rsidR="00824F92" w:rsidRPr="00D3723F">
        <w:fldChar w:fldCharType="end"/>
      </w:r>
      <w:bookmarkEnd w:id="1"/>
      <w:bookmarkEnd w:id="2"/>
    </w:p>
    <w:p w:rsidR="00244AFF" w:rsidRDefault="00244AFF"/>
    <w:sectPr w:rsidR="00244AFF" w:rsidSect="00BF6AE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E8" w:rsidRDefault="00D14FE8" w:rsidP="00DC3DA3">
      <w:pPr>
        <w:spacing w:after="0" w:line="240" w:lineRule="auto"/>
      </w:pPr>
      <w:r>
        <w:separator/>
      </w:r>
    </w:p>
  </w:endnote>
  <w:endnote w:type="continuationSeparator" w:id="0">
    <w:p w:rsidR="00D14FE8" w:rsidRDefault="00D14FE8" w:rsidP="00DC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EA" w:rsidRPr="00314EA5" w:rsidRDefault="00987C72" w:rsidP="00BF6AEA">
    <w:pPr>
      <w:pStyle w:val="Kjene"/>
      <w:jc w:val="both"/>
      <w:rPr>
        <w:rFonts w:ascii="Times New Roman" w:hAnsi="Times New Roman"/>
        <w:sz w:val="20"/>
        <w:szCs w:val="20"/>
      </w:rPr>
    </w:pPr>
    <w:r>
      <w:rPr>
        <w:rFonts w:ascii="Times New Roman" w:hAnsi="Times New Roman"/>
        <w:sz w:val="20"/>
        <w:szCs w:val="20"/>
      </w:rPr>
      <w:t>TMzino</w:t>
    </w:r>
    <w:r w:rsidR="009022E9">
      <w:rPr>
        <w:rFonts w:ascii="Times New Roman" w:hAnsi="Times New Roman"/>
        <w:sz w:val="20"/>
        <w:szCs w:val="20"/>
      </w:rPr>
      <w:t>_17</w:t>
    </w:r>
    <w:r w:rsidR="00BF6AEA">
      <w:rPr>
        <w:rFonts w:ascii="Times New Roman" w:hAnsi="Times New Roman"/>
        <w:sz w:val="20"/>
        <w:szCs w:val="20"/>
      </w:rPr>
      <w:t>0712_CL</w:t>
    </w:r>
    <w:r w:rsidR="00BF6AEA" w:rsidRPr="00314EA5">
      <w:rPr>
        <w:rFonts w:ascii="Times New Roman" w:hAnsi="Times New Roman"/>
        <w:sz w:val="20"/>
        <w:szCs w:val="20"/>
      </w:rPr>
      <w:t xml:space="preserve">; </w:t>
    </w:r>
    <w:bookmarkStart w:id="3" w:name="OLE_LINK7"/>
    <w:bookmarkStart w:id="4" w:name="OLE_LINK8"/>
    <w:r w:rsidR="00BF6AEA" w:rsidRPr="00314EA5">
      <w:rPr>
        <w:rFonts w:ascii="Times New Roman" w:hAnsi="Times New Roman"/>
        <w:sz w:val="20"/>
        <w:szCs w:val="20"/>
      </w:rPr>
      <w:t>Informatīv</w:t>
    </w:r>
    <w:r w:rsidR="00BF6AEA">
      <w:rPr>
        <w:rFonts w:ascii="Times New Roman" w:hAnsi="Times New Roman"/>
        <w:sz w:val="20"/>
        <w:szCs w:val="20"/>
      </w:rPr>
      <w:t>ais</w:t>
    </w:r>
    <w:r w:rsidR="00BF6AEA" w:rsidRPr="00314EA5">
      <w:rPr>
        <w:rFonts w:ascii="Times New Roman" w:hAnsi="Times New Roman"/>
        <w:sz w:val="20"/>
        <w:szCs w:val="20"/>
      </w:rPr>
      <w:t xml:space="preserve"> ziņojum</w:t>
    </w:r>
    <w:r w:rsidR="00BF6AEA">
      <w:rPr>
        <w:rFonts w:ascii="Times New Roman" w:hAnsi="Times New Roman"/>
        <w:sz w:val="20"/>
        <w:szCs w:val="20"/>
      </w:rPr>
      <w:t>s</w:t>
    </w:r>
    <w:r w:rsidR="00BF6AEA" w:rsidRPr="00314EA5">
      <w:rPr>
        <w:rFonts w:ascii="Times New Roman" w:hAnsi="Times New Roman"/>
        <w:sz w:val="20"/>
        <w:szCs w:val="20"/>
      </w:rPr>
      <w:t xml:space="preserve">  par tiesību aktu virzību saistībā ar Koncepcijas par Civillikuma mantojuma tiesību daļas modernizāciju izpildi</w:t>
    </w:r>
    <w:bookmarkEnd w:id="3"/>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EA" w:rsidRPr="00314EA5" w:rsidRDefault="00987C72" w:rsidP="00BF6AEA">
    <w:pPr>
      <w:pStyle w:val="Kjene"/>
      <w:jc w:val="both"/>
      <w:rPr>
        <w:rFonts w:ascii="Times New Roman" w:hAnsi="Times New Roman"/>
        <w:sz w:val="20"/>
        <w:szCs w:val="20"/>
      </w:rPr>
    </w:pPr>
    <w:r>
      <w:rPr>
        <w:rFonts w:ascii="Times New Roman" w:hAnsi="Times New Roman"/>
        <w:sz w:val="20"/>
        <w:szCs w:val="20"/>
      </w:rPr>
      <w:t>TMzino</w:t>
    </w:r>
    <w:r w:rsidR="00BF6AEA">
      <w:rPr>
        <w:rFonts w:ascii="Times New Roman" w:hAnsi="Times New Roman"/>
        <w:sz w:val="20"/>
        <w:szCs w:val="20"/>
      </w:rPr>
      <w:t>_1</w:t>
    </w:r>
    <w:r w:rsidR="009022E9">
      <w:rPr>
        <w:rFonts w:ascii="Times New Roman" w:hAnsi="Times New Roman"/>
        <w:sz w:val="20"/>
        <w:szCs w:val="20"/>
      </w:rPr>
      <w:t>7</w:t>
    </w:r>
    <w:r w:rsidR="00BF6AEA">
      <w:rPr>
        <w:rFonts w:ascii="Times New Roman" w:hAnsi="Times New Roman"/>
        <w:sz w:val="20"/>
        <w:szCs w:val="20"/>
      </w:rPr>
      <w:t>0712_CL</w:t>
    </w:r>
    <w:r w:rsidR="00BF6AEA" w:rsidRPr="00314EA5">
      <w:rPr>
        <w:rFonts w:ascii="Times New Roman" w:hAnsi="Times New Roman"/>
        <w:sz w:val="20"/>
        <w:szCs w:val="20"/>
      </w:rPr>
      <w:t>; Informatīv</w:t>
    </w:r>
    <w:r w:rsidR="00BF6AEA">
      <w:rPr>
        <w:rFonts w:ascii="Times New Roman" w:hAnsi="Times New Roman"/>
        <w:sz w:val="20"/>
        <w:szCs w:val="20"/>
      </w:rPr>
      <w:t>ais</w:t>
    </w:r>
    <w:r w:rsidR="00BF6AEA" w:rsidRPr="00314EA5">
      <w:rPr>
        <w:rFonts w:ascii="Times New Roman" w:hAnsi="Times New Roman"/>
        <w:sz w:val="20"/>
        <w:szCs w:val="20"/>
      </w:rPr>
      <w:t xml:space="preserve"> ziņojum</w:t>
    </w:r>
    <w:r w:rsidR="00BF6AEA">
      <w:rPr>
        <w:rFonts w:ascii="Times New Roman" w:hAnsi="Times New Roman"/>
        <w:sz w:val="20"/>
        <w:szCs w:val="20"/>
      </w:rPr>
      <w:t>s</w:t>
    </w:r>
    <w:r w:rsidR="00BF6AEA" w:rsidRPr="00314EA5">
      <w:rPr>
        <w:rFonts w:ascii="Times New Roman" w:hAnsi="Times New Roman"/>
        <w:sz w:val="20"/>
        <w:szCs w:val="20"/>
      </w:rPr>
      <w:t xml:space="preserve">  par tiesību aktu virzību saistībā ar Koncepcijas par Civillikuma mantojuma tiesību daļas modernizāciju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E8" w:rsidRDefault="00D14FE8" w:rsidP="00DC3DA3">
      <w:pPr>
        <w:spacing w:after="0" w:line="240" w:lineRule="auto"/>
      </w:pPr>
      <w:r>
        <w:separator/>
      </w:r>
    </w:p>
  </w:footnote>
  <w:footnote w:type="continuationSeparator" w:id="0">
    <w:p w:rsidR="00D14FE8" w:rsidRDefault="00D14FE8" w:rsidP="00DC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EA" w:rsidRPr="00C2405A" w:rsidRDefault="00824F92">
    <w:pPr>
      <w:pStyle w:val="Galvene"/>
      <w:jc w:val="center"/>
      <w:rPr>
        <w:rFonts w:ascii="Times New Roman" w:hAnsi="Times New Roman"/>
        <w:sz w:val="24"/>
        <w:szCs w:val="24"/>
      </w:rPr>
    </w:pPr>
    <w:r w:rsidRPr="00C2405A">
      <w:rPr>
        <w:rFonts w:ascii="Times New Roman" w:hAnsi="Times New Roman"/>
        <w:sz w:val="24"/>
        <w:szCs w:val="24"/>
      </w:rPr>
      <w:fldChar w:fldCharType="begin"/>
    </w:r>
    <w:r w:rsidR="00BF6AEA" w:rsidRPr="00C2405A">
      <w:rPr>
        <w:rFonts w:ascii="Times New Roman" w:hAnsi="Times New Roman"/>
        <w:sz w:val="24"/>
        <w:szCs w:val="24"/>
      </w:rPr>
      <w:instrText xml:space="preserve"> PAGE   \* MERGEFORMAT </w:instrText>
    </w:r>
    <w:r w:rsidRPr="00C2405A">
      <w:rPr>
        <w:rFonts w:ascii="Times New Roman" w:hAnsi="Times New Roman"/>
        <w:sz w:val="24"/>
        <w:szCs w:val="24"/>
      </w:rPr>
      <w:fldChar w:fldCharType="separate"/>
    </w:r>
    <w:r w:rsidR="00D3285D">
      <w:rPr>
        <w:rFonts w:ascii="Times New Roman" w:hAnsi="Times New Roman"/>
        <w:noProof/>
        <w:sz w:val="24"/>
        <w:szCs w:val="24"/>
      </w:rPr>
      <w:t>6</w:t>
    </w:r>
    <w:r w:rsidRPr="00C2405A">
      <w:rPr>
        <w:rFonts w:ascii="Times New Roman" w:hAnsi="Times New Roman"/>
        <w:sz w:val="24"/>
        <w:szCs w:val="24"/>
      </w:rPr>
      <w:fldChar w:fldCharType="end"/>
    </w:r>
  </w:p>
  <w:p w:rsidR="00BF6AEA" w:rsidRDefault="00BF6A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6176"/>
    <w:multiLevelType w:val="hybridMultilevel"/>
    <w:tmpl w:val="A2028D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A3"/>
    <w:rsid w:val="00217B73"/>
    <w:rsid w:val="00244AFF"/>
    <w:rsid w:val="005C113D"/>
    <w:rsid w:val="00650E40"/>
    <w:rsid w:val="00744B7E"/>
    <w:rsid w:val="007E7D2F"/>
    <w:rsid w:val="00824F92"/>
    <w:rsid w:val="009022E9"/>
    <w:rsid w:val="00987C72"/>
    <w:rsid w:val="00BF6AEA"/>
    <w:rsid w:val="00D14FE8"/>
    <w:rsid w:val="00D3285D"/>
    <w:rsid w:val="00DC3D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3DA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C3DA3"/>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DC3DA3"/>
    <w:pPr>
      <w:spacing w:before="100" w:beforeAutospacing="1" w:after="100" w:afterAutospacing="1" w:line="240" w:lineRule="auto"/>
    </w:pPr>
    <w:rPr>
      <w:rFonts w:ascii="Verdana" w:eastAsia="Times New Roman" w:hAnsi="Verdana"/>
      <w:sz w:val="18"/>
      <w:szCs w:val="18"/>
      <w:lang w:eastAsia="lv-LV"/>
    </w:rPr>
  </w:style>
  <w:style w:type="paragraph" w:styleId="Komentrateksts">
    <w:name w:val="annotation text"/>
    <w:basedOn w:val="Parasts"/>
    <w:link w:val="KomentratekstsRakstz"/>
    <w:uiPriority w:val="99"/>
    <w:unhideWhenUsed/>
    <w:rsid w:val="00DC3DA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C3DA3"/>
    <w:rPr>
      <w:rFonts w:ascii="Calibri" w:eastAsia="Calibri" w:hAnsi="Calibri" w:cs="Times New Roman"/>
      <w:sz w:val="20"/>
      <w:szCs w:val="20"/>
    </w:rPr>
  </w:style>
  <w:style w:type="paragraph" w:styleId="Galvene">
    <w:name w:val="header"/>
    <w:basedOn w:val="Parasts"/>
    <w:link w:val="GalveneRakstz"/>
    <w:uiPriority w:val="99"/>
    <w:unhideWhenUsed/>
    <w:rsid w:val="00DC3DA3"/>
    <w:pPr>
      <w:tabs>
        <w:tab w:val="center" w:pos="4153"/>
        <w:tab w:val="right" w:pos="8306"/>
      </w:tabs>
    </w:pPr>
  </w:style>
  <w:style w:type="character" w:customStyle="1" w:styleId="GalveneRakstz">
    <w:name w:val="Galvene Rakstz."/>
    <w:basedOn w:val="Noklusjumarindkopasfonts"/>
    <w:link w:val="Galvene"/>
    <w:uiPriority w:val="99"/>
    <w:rsid w:val="00DC3DA3"/>
    <w:rPr>
      <w:rFonts w:ascii="Calibri" w:eastAsia="Calibri" w:hAnsi="Calibri" w:cs="Times New Roman"/>
    </w:rPr>
  </w:style>
  <w:style w:type="character" w:styleId="Hipersaite">
    <w:name w:val="Hyperlink"/>
    <w:basedOn w:val="Noklusjumarindkopasfonts"/>
    <w:unhideWhenUsed/>
    <w:rsid w:val="00DC3DA3"/>
    <w:rPr>
      <w:color w:val="0000FF"/>
      <w:u w:val="single"/>
    </w:rPr>
  </w:style>
  <w:style w:type="paragraph" w:styleId="Kjene">
    <w:name w:val="footer"/>
    <w:basedOn w:val="Parasts"/>
    <w:link w:val="KjeneRakstz"/>
    <w:uiPriority w:val="99"/>
    <w:unhideWhenUsed/>
    <w:rsid w:val="00DC3D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3DA3"/>
    <w:rPr>
      <w:rFonts w:ascii="Calibri" w:eastAsia="Calibri" w:hAnsi="Calibri" w:cs="Times New Roman"/>
    </w:rPr>
  </w:style>
  <w:style w:type="paragraph" w:styleId="Balonteksts">
    <w:name w:val="Balloon Text"/>
    <w:basedOn w:val="Parasts"/>
    <w:link w:val="BalontekstsRakstz"/>
    <w:uiPriority w:val="99"/>
    <w:semiHidden/>
    <w:unhideWhenUsed/>
    <w:rsid w:val="00987C7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7C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3DA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C3DA3"/>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DC3DA3"/>
    <w:pPr>
      <w:spacing w:before="100" w:beforeAutospacing="1" w:after="100" w:afterAutospacing="1" w:line="240" w:lineRule="auto"/>
    </w:pPr>
    <w:rPr>
      <w:rFonts w:ascii="Verdana" w:eastAsia="Times New Roman" w:hAnsi="Verdana"/>
      <w:sz w:val="18"/>
      <w:szCs w:val="18"/>
      <w:lang w:eastAsia="lv-LV"/>
    </w:rPr>
  </w:style>
  <w:style w:type="paragraph" w:styleId="Komentrateksts">
    <w:name w:val="annotation text"/>
    <w:basedOn w:val="Parasts"/>
    <w:link w:val="KomentratekstsRakstz"/>
    <w:uiPriority w:val="99"/>
    <w:unhideWhenUsed/>
    <w:rsid w:val="00DC3DA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C3DA3"/>
    <w:rPr>
      <w:rFonts w:ascii="Calibri" w:eastAsia="Calibri" w:hAnsi="Calibri" w:cs="Times New Roman"/>
      <w:sz w:val="20"/>
      <w:szCs w:val="20"/>
    </w:rPr>
  </w:style>
  <w:style w:type="paragraph" w:styleId="Galvene">
    <w:name w:val="header"/>
    <w:basedOn w:val="Parasts"/>
    <w:link w:val="GalveneRakstz"/>
    <w:uiPriority w:val="99"/>
    <w:unhideWhenUsed/>
    <w:rsid w:val="00DC3DA3"/>
    <w:pPr>
      <w:tabs>
        <w:tab w:val="center" w:pos="4153"/>
        <w:tab w:val="right" w:pos="8306"/>
      </w:tabs>
    </w:pPr>
  </w:style>
  <w:style w:type="character" w:customStyle="1" w:styleId="GalveneRakstz">
    <w:name w:val="Galvene Rakstz."/>
    <w:basedOn w:val="Noklusjumarindkopasfonts"/>
    <w:link w:val="Galvene"/>
    <w:uiPriority w:val="99"/>
    <w:rsid w:val="00DC3DA3"/>
    <w:rPr>
      <w:rFonts w:ascii="Calibri" w:eastAsia="Calibri" w:hAnsi="Calibri" w:cs="Times New Roman"/>
    </w:rPr>
  </w:style>
  <w:style w:type="character" w:styleId="Hipersaite">
    <w:name w:val="Hyperlink"/>
    <w:basedOn w:val="Noklusjumarindkopasfonts"/>
    <w:unhideWhenUsed/>
    <w:rsid w:val="00DC3DA3"/>
    <w:rPr>
      <w:color w:val="0000FF"/>
      <w:u w:val="single"/>
    </w:rPr>
  </w:style>
  <w:style w:type="paragraph" w:styleId="Kjene">
    <w:name w:val="footer"/>
    <w:basedOn w:val="Parasts"/>
    <w:link w:val="KjeneRakstz"/>
    <w:uiPriority w:val="99"/>
    <w:unhideWhenUsed/>
    <w:rsid w:val="00DC3D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3DA3"/>
    <w:rPr>
      <w:rFonts w:ascii="Calibri" w:eastAsia="Calibri" w:hAnsi="Calibri" w:cs="Times New Roman"/>
    </w:rPr>
  </w:style>
  <w:style w:type="paragraph" w:styleId="Balonteksts">
    <w:name w:val="Balloon Text"/>
    <w:basedOn w:val="Parasts"/>
    <w:link w:val="BalontekstsRakstz"/>
    <w:uiPriority w:val="99"/>
    <w:semiHidden/>
    <w:unhideWhenUsed/>
    <w:rsid w:val="00987C7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7C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Kristine\AppData\Local\Temp\NaisView\nsD03B.htm" TargetMode="External"/><Relationship Id="rId4" Type="http://schemas.microsoft.com/office/2007/relationships/stylesWithEffects" Target="stylesWithEffects.xml"/><Relationship Id="rId9" Type="http://schemas.openxmlformats.org/officeDocument/2006/relationships/hyperlink" Target="file:///C:\Users\Kristine\AppData\Local\Temp\NaisView\nsD03B.ht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98B3-491C-4644-91E8-D1FD56EB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10222</Words>
  <Characters>5828</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Informatīvais ziņojums  par tiesību aktu virzību saistībā ar Koncepcijas par Civillikuma mantojuma tiesību daļas modernizāciju izpildi</vt:lpstr>
    </vt:vector>
  </TitlesOfParts>
  <Company>Tieslietu Sektors</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tiesību aktu virzību saistībā ar Koncepcijas par Civillikuma mantojuma tiesību daļas modernizāciju izpildi</dc:title>
  <dc:subject>Informatīvā ziņojuma projekts</dc:subject>
  <dc:creator>Olga Paipala</dc:creator>
  <dc:description>olga.paipala@tm.gov.lv
67046107</dc:description>
  <cp:lastModifiedBy>Olga Paipala</cp:lastModifiedBy>
  <cp:revision>3</cp:revision>
  <dcterms:created xsi:type="dcterms:W3CDTF">2012-07-17T09:25:00Z</dcterms:created>
  <dcterms:modified xsi:type="dcterms:W3CDTF">2012-07-17T09:26:00Z</dcterms:modified>
</cp:coreProperties>
</file>