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91160C" w:rsidRDefault="00AF3EFE" w:rsidP="0091160C">
      <w:pPr>
        <w:pStyle w:val="Nosaukums"/>
        <w:outlineLvl w:val="0"/>
        <w:rPr>
          <w:sz w:val="28"/>
          <w:szCs w:val="28"/>
        </w:rPr>
      </w:pPr>
      <w:bookmarkStart w:id="0" w:name="OLE_LINK7"/>
      <w:bookmarkStart w:id="1" w:name="OLE_LINK8"/>
      <w:r w:rsidRPr="0091160C">
        <w:rPr>
          <w:sz w:val="28"/>
          <w:szCs w:val="28"/>
        </w:rPr>
        <w:t>Informatīvais ziņojums</w:t>
      </w:r>
    </w:p>
    <w:bookmarkEnd w:id="0"/>
    <w:bookmarkEnd w:id="1"/>
    <w:p w:rsidR="00AF3EFE" w:rsidRPr="0091160C" w:rsidRDefault="00AF3EFE" w:rsidP="0091160C">
      <w:pPr>
        <w:jc w:val="both"/>
        <w:rPr>
          <w:b/>
          <w:bCs/>
          <w:sz w:val="28"/>
          <w:szCs w:val="28"/>
        </w:rPr>
      </w:pPr>
    </w:p>
    <w:p w:rsidR="0091160C" w:rsidRPr="0091160C" w:rsidRDefault="0091160C" w:rsidP="0091160C">
      <w:pPr>
        <w:tabs>
          <w:tab w:val="left" w:pos="6379"/>
        </w:tabs>
        <w:ind w:right="-1"/>
        <w:jc w:val="center"/>
        <w:rPr>
          <w:b/>
          <w:bCs/>
          <w:sz w:val="28"/>
          <w:szCs w:val="28"/>
        </w:rPr>
      </w:pPr>
      <w:bookmarkStart w:id="2" w:name="OLE_LINK9"/>
      <w:bookmarkStart w:id="3" w:name="OLE_LINK10"/>
      <w:bookmarkStart w:id="4" w:name="OLE_LINK5"/>
      <w:bookmarkStart w:id="5" w:name="OLE_LINK6"/>
      <w:bookmarkStart w:id="6" w:name="OLE_LINK1"/>
      <w:bookmarkStart w:id="7" w:name="OLE_LINK11"/>
      <w:r w:rsidRPr="0091160C">
        <w:rPr>
          <w:b/>
          <w:sz w:val="28"/>
          <w:szCs w:val="28"/>
        </w:rPr>
        <w:t>Par Latvijas nacionālajām pozīcijām par Eiropas Savienības Konkurētspējas ministru padomes 2011. gada 5.–6. decembra sanāksmē izskatāmajiem jautājumiem</w:t>
      </w:r>
      <w:bookmarkEnd w:id="2"/>
      <w:bookmarkEnd w:id="3"/>
    </w:p>
    <w:bookmarkEnd w:id="4"/>
    <w:bookmarkEnd w:id="5"/>
    <w:bookmarkEnd w:id="6"/>
    <w:bookmarkEnd w:id="7"/>
    <w:p w:rsidR="00AF3EFE" w:rsidRPr="0091160C" w:rsidRDefault="00AF3EFE" w:rsidP="0091160C">
      <w:pPr>
        <w:jc w:val="both"/>
        <w:rPr>
          <w:sz w:val="28"/>
          <w:szCs w:val="28"/>
        </w:rPr>
      </w:pPr>
    </w:p>
    <w:p w:rsidR="00E0698D" w:rsidRPr="0091160C" w:rsidRDefault="00E0698D" w:rsidP="0091160C">
      <w:pPr>
        <w:pStyle w:val="Virsraksts5"/>
        <w:jc w:val="both"/>
        <w:rPr>
          <w:sz w:val="28"/>
          <w:szCs w:val="28"/>
        </w:rPr>
      </w:pPr>
      <w:r w:rsidRPr="0091160C">
        <w:rPr>
          <w:sz w:val="28"/>
          <w:szCs w:val="28"/>
        </w:rPr>
        <w:t>I Ministru padomes sanāksmes darba kārtība</w:t>
      </w:r>
    </w:p>
    <w:p w:rsidR="00E0698D" w:rsidRPr="0091160C" w:rsidRDefault="00E0698D" w:rsidP="0091160C">
      <w:pPr>
        <w:jc w:val="both"/>
        <w:rPr>
          <w:sz w:val="28"/>
          <w:szCs w:val="28"/>
        </w:rPr>
      </w:pPr>
    </w:p>
    <w:p w:rsidR="00AF3EFE" w:rsidRDefault="0091160C" w:rsidP="0091160C">
      <w:pPr>
        <w:ind w:firstLine="720"/>
        <w:jc w:val="both"/>
        <w:rPr>
          <w:sz w:val="28"/>
          <w:szCs w:val="28"/>
        </w:rPr>
      </w:pPr>
      <w:r w:rsidRPr="0091160C">
        <w:rPr>
          <w:sz w:val="28"/>
          <w:szCs w:val="28"/>
        </w:rPr>
        <w:t>Briselē</w:t>
      </w:r>
      <w:r w:rsidR="00AF3EFE" w:rsidRPr="0091160C">
        <w:rPr>
          <w:sz w:val="28"/>
          <w:szCs w:val="28"/>
        </w:rPr>
        <w:t>, 201</w:t>
      </w:r>
      <w:r w:rsidR="009459A8" w:rsidRPr="0091160C">
        <w:rPr>
          <w:sz w:val="28"/>
          <w:szCs w:val="28"/>
        </w:rPr>
        <w:t>1</w:t>
      </w:r>
      <w:r w:rsidR="00AF3EFE" w:rsidRPr="0091160C">
        <w:rPr>
          <w:sz w:val="28"/>
          <w:szCs w:val="28"/>
        </w:rPr>
        <w:t>.</w:t>
      </w:r>
      <w:r w:rsidR="006A5D0B" w:rsidRPr="0091160C">
        <w:rPr>
          <w:sz w:val="28"/>
          <w:szCs w:val="28"/>
        </w:rPr>
        <w:t> </w:t>
      </w:r>
      <w:r w:rsidR="00AF3EFE" w:rsidRPr="0091160C">
        <w:rPr>
          <w:bCs/>
          <w:sz w:val="28"/>
          <w:szCs w:val="28"/>
        </w:rPr>
        <w:t xml:space="preserve">gada </w:t>
      </w:r>
      <w:r w:rsidRPr="0091160C">
        <w:rPr>
          <w:bCs/>
          <w:sz w:val="28"/>
          <w:szCs w:val="28"/>
        </w:rPr>
        <w:t>5</w:t>
      </w:r>
      <w:r w:rsidR="00AF3EFE" w:rsidRPr="0091160C">
        <w:rPr>
          <w:bCs/>
          <w:sz w:val="28"/>
          <w:szCs w:val="28"/>
        </w:rPr>
        <w:t>.</w:t>
      </w:r>
      <w:r w:rsidRPr="0091160C">
        <w:rPr>
          <w:bCs/>
          <w:sz w:val="28"/>
          <w:szCs w:val="28"/>
        </w:rPr>
        <w:t>-</w:t>
      </w:r>
      <w:r w:rsidR="00393017">
        <w:rPr>
          <w:bCs/>
          <w:sz w:val="28"/>
          <w:szCs w:val="28"/>
        </w:rPr>
        <w:t xml:space="preserve"> </w:t>
      </w:r>
      <w:r w:rsidRPr="0091160C">
        <w:rPr>
          <w:bCs/>
          <w:sz w:val="28"/>
          <w:szCs w:val="28"/>
        </w:rPr>
        <w:t>6. decembrī</w:t>
      </w:r>
      <w:r w:rsidR="00AF3EFE" w:rsidRPr="0091160C">
        <w:rPr>
          <w:bCs/>
          <w:sz w:val="28"/>
          <w:szCs w:val="28"/>
        </w:rPr>
        <w:t xml:space="preserve"> </w:t>
      </w:r>
      <w:r w:rsidR="00AF3EFE" w:rsidRPr="0091160C">
        <w:rPr>
          <w:sz w:val="28"/>
          <w:szCs w:val="28"/>
        </w:rPr>
        <w:t xml:space="preserve">notiks kārtējā Eiropas Savienības (turpmāk – ES) </w:t>
      </w:r>
      <w:r w:rsidRPr="0091160C">
        <w:rPr>
          <w:sz w:val="28"/>
          <w:szCs w:val="28"/>
        </w:rPr>
        <w:t xml:space="preserve">Konkurētspējas ministru padomes </w:t>
      </w:r>
      <w:r w:rsidR="00AF3EFE" w:rsidRPr="0091160C">
        <w:rPr>
          <w:iCs/>
          <w:sz w:val="28"/>
          <w:szCs w:val="28"/>
        </w:rPr>
        <w:t>(turpmāk –</w:t>
      </w:r>
      <w:r>
        <w:rPr>
          <w:iCs/>
          <w:sz w:val="28"/>
          <w:szCs w:val="28"/>
        </w:rPr>
        <w:t xml:space="preserve"> </w:t>
      </w:r>
      <w:r w:rsidR="00AF3EFE" w:rsidRPr="0091160C">
        <w:rPr>
          <w:iCs/>
          <w:sz w:val="28"/>
          <w:szCs w:val="28"/>
        </w:rPr>
        <w:t>Padome)</w:t>
      </w:r>
      <w:r w:rsidR="00AF3EFE" w:rsidRPr="0091160C">
        <w:rPr>
          <w:sz w:val="28"/>
          <w:szCs w:val="28"/>
        </w:rPr>
        <w:t xml:space="preserve"> sanāksme, kuras darba kārtībā ir ietverti šādi jautājumi</w:t>
      </w:r>
      <w:r w:rsidR="00606F89" w:rsidRPr="0091160C">
        <w:rPr>
          <w:sz w:val="28"/>
          <w:szCs w:val="28"/>
        </w:rPr>
        <w:t>, par kuriem ir sagatavotas Latvijas nacionālās pozīcijas</w:t>
      </w:r>
      <w:r w:rsidR="00AF3EFE" w:rsidRPr="0091160C">
        <w:rPr>
          <w:sz w:val="28"/>
          <w:szCs w:val="28"/>
        </w:rPr>
        <w:t xml:space="preserve">: </w:t>
      </w:r>
    </w:p>
    <w:p w:rsidR="0091160C" w:rsidRPr="0091160C" w:rsidRDefault="0091160C" w:rsidP="0091160C">
      <w:pPr>
        <w:ind w:firstLine="720"/>
        <w:jc w:val="both"/>
        <w:rPr>
          <w:sz w:val="28"/>
          <w:szCs w:val="28"/>
        </w:rPr>
      </w:pPr>
    </w:p>
    <w:p w:rsidR="0091160C" w:rsidRPr="0091160C" w:rsidRDefault="0091160C" w:rsidP="0091160C">
      <w:pPr>
        <w:pStyle w:val="Sarakstarindkopa"/>
        <w:numPr>
          <w:ilvl w:val="0"/>
          <w:numId w:val="1"/>
        </w:numPr>
        <w:ind w:left="709" w:hanging="283"/>
        <w:jc w:val="both"/>
        <w:rPr>
          <w:i/>
          <w:sz w:val="28"/>
          <w:szCs w:val="28"/>
        </w:rPr>
      </w:pPr>
      <w:r w:rsidRPr="0091160C">
        <w:rPr>
          <w:sz w:val="28"/>
          <w:szCs w:val="28"/>
        </w:rPr>
        <w:t xml:space="preserve">Vienota Eiropas Savienības patentu aizsardzības sistēma; </w:t>
      </w:r>
    </w:p>
    <w:p w:rsidR="0091160C" w:rsidRPr="0091160C" w:rsidRDefault="0091160C" w:rsidP="0091160C">
      <w:pPr>
        <w:pStyle w:val="Sarakstarindkopa"/>
        <w:numPr>
          <w:ilvl w:val="0"/>
          <w:numId w:val="1"/>
        </w:numPr>
        <w:ind w:left="709" w:hanging="283"/>
        <w:jc w:val="both"/>
        <w:rPr>
          <w:sz w:val="28"/>
          <w:szCs w:val="28"/>
        </w:rPr>
      </w:pPr>
      <w:r w:rsidRPr="0091160C">
        <w:rPr>
          <w:sz w:val="28"/>
          <w:szCs w:val="28"/>
        </w:rPr>
        <w:t>Eiropas Komisijas priekšlikums Eiropas Parlamenta un Padomes direktīvai, ar ko groza Direktīvas 89/666/EEK, 2005/56/EC un 2009/101/EK par centrālo reģistru, komercreģistru un uzņēmumu reģistru savstarpējo savienojamību.</w:t>
      </w:r>
    </w:p>
    <w:p w:rsidR="001E604A" w:rsidRPr="0091160C" w:rsidRDefault="0091160C" w:rsidP="0091160C">
      <w:pPr>
        <w:pStyle w:val="Sarakstarindkopa"/>
        <w:ind w:left="709"/>
        <w:jc w:val="both"/>
        <w:rPr>
          <w:sz w:val="28"/>
          <w:szCs w:val="28"/>
        </w:rPr>
      </w:pPr>
      <w:r w:rsidRPr="0091160C">
        <w:rPr>
          <w:sz w:val="28"/>
          <w:szCs w:val="28"/>
        </w:rPr>
        <w:t xml:space="preserve"> </w:t>
      </w:r>
      <w:r w:rsidRPr="0091160C">
        <w:rPr>
          <w:bCs/>
          <w:sz w:val="28"/>
          <w:szCs w:val="28"/>
        </w:rPr>
        <w:t xml:space="preserve"> </w:t>
      </w:r>
    </w:p>
    <w:p w:rsidR="00AF3EFE" w:rsidRPr="0091160C" w:rsidRDefault="00AF3EFE" w:rsidP="0091160C">
      <w:pPr>
        <w:pStyle w:val="Pamatteksts2"/>
        <w:jc w:val="both"/>
        <w:rPr>
          <w:b/>
          <w:bCs/>
          <w:sz w:val="28"/>
          <w:szCs w:val="28"/>
          <w:u w:val="single"/>
        </w:rPr>
      </w:pPr>
      <w:r w:rsidRPr="0091160C">
        <w:rPr>
          <w:b/>
          <w:bCs/>
          <w:sz w:val="28"/>
          <w:szCs w:val="28"/>
          <w:u w:val="single"/>
        </w:rPr>
        <w:t>II Latvijas nacionālās pozīcijas</w:t>
      </w:r>
    </w:p>
    <w:p w:rsidR="00AF3EFE" w:rsidRPr="0091160C" w:rsidRDefault="00AF3EFE" w:rsidP="0091160C">
      <w:pPr>
        <w:jc w:val="both"/>
        <w:rPr>
          <w:sz w:val="28"/>
          <w:szCs w:val="28"/>
        </w:rPr>
      </w:pPr>
    </w:p>
    <w:p w:rsidR="0091160C" w:rsidRPr="0091160C" w:rsidRDefault="0091160C" w:rsidP="0091160C">
      <w:pPr>
        <w:pStyle w:val="Sarakstarindkopa"/>
        <w:numPr>
          <w:ilvl w:val="0"/>
          <w:numId w:val="12"/>
        </w:numPr>
        <w:jc w:val="both"/>
        <w:rPr>
          <w:b/>
          <w:sz w:val="28"/>
          <w:szCs w:val="28"/>
        </w:rPr>
      </w:pPr>
      <w:bookmarkStart w:id="8" w:name="LWCons_Date"/>
      <w:r w:rsidRPr="0091160C">
        <w:rPr>
          <w:b/>
          <w:sz w:val="28"/>
          <w:szCs w:val="28"/>
        </w:rPr>
        <w:t xml:space="preserve">Vienota Eiropas Savienības patentu aizsardzības sistēma </w:t>
      </w:r>
    </w:p>
    <w:p w:rsidR="0091160C" w:rsidRPr="0091160C" w:rsidRDefault="0091160C" w:rsidP="0091160C">
      <w:pPr>
        <w:pStyle w:val="Sarakstarindkopa"/>
        <w:ind w:left="1004"/>
        <w:jc w:val="both"/>
        <w:rPr>
          <w:sz w:val="28"/>
          <w:szCs w:val="28"/>
        </w:rPr>
      </w:pPr>
    </w:p>
    <w:p w:rsidR="0091160C" w:rsidRPr="0091160C" w:rsidRDefault="005D1D71" w:rsidP="0091160C">
      <w:pPr>
        <w:jc w:val="both"/>
        <w:rPr>
          <w:sz w:val="28"/>
          <w:szCs w:val="28"/>
        </w:rPr>
      </w:pPr>
      <w:r w:rsidRPr="0091160C">
        <w:rPr>
          <w:sz w:val="28"/>
          <w:szCs w:val="28"/>
        </w:rPr>
        <w:t>Padomes sanāksmē paredzēt</w:t>
      </w:r>
      <w:r w:rsidR="0091160C" w:rsidRPr="0091160C">
        <w:rPr>
          <w:sz w:val="28"/>
          <w:szCs w:val="28"/>
        </w:rPr>
        <w:t>s:</w:t>
      </w:r>
    </w:p>
    <w:p w:rsidR="0091160C" w:rsidRPr="0091160C" w:rsidRDefault="0091160C" w:rsidP="0091160C">
      <w:pPr>
        <w:pStyle w:val="Sarakstarindkopa"/>
        <w:numPr>
          <w:ilvl w:val="0"/>
          <w:numId w:val="14"/>
        </w:numPr>
        <w:tabs>
          <w:tab w:val="left" w:pos="4820"/>
        </w:tabs>
        <w:ind w:right="126"/>
        <w:jc w:val="both"/>
        <w:rPr>
          <w:sz w:val="28"/>
          <w:szCs w:val="28"/>
        </w:rPr>
      </w:pPr>
      <w:r w:rsidRPr="0091160C">
        <w:rPr>
          <w:sz w:val="28"/>
          <w:szCs w:val="28"/>
        </w:rPr>
        <w:t xml:space="preserve">apstiprināt panākto vienošanos ar Eiropas Parlamentu, noslēdzot darbu ES Padomē par: </w:t>
      </w:r>
    </w:p>
    <w:p w:rsidR="0091160C" w:rsidRPr="0091160C" w:rsidRDefault="0091160C" w:rsidP="0091160C">
      <w:pPr>
        <w:pStyle w:val="Sarakstarindkopa"/>
        <w:tabs>
          <w:tab w:val="left" w:pos="4820"/>
        </w:tabs>
        <w:ind w:left="993" w:right="126" w:hanging="284"/>
        <w:jc w:val="both"/>
        <w:rPr>
          <w:sz w:val="28"/>
          <w:szCs w:val="28"/>
        </w:rPr>
      </w:pPr>
      <w:r w:rsidRPr="0091160C">
        <w:rPr>
          <w:sz w:val="28"/>
          <w:szCs w:val="28"/>
        </w:rPr>
        <w:t xml:space="preserve">-  Eiropas Parlamenta un Padomes regulas projektu par ciešāku sadarbību saistībā ar vienotas patentu aizsardzības sistēmas izveidi; </w:t>
      </w:r>
    </w:p>
    <w:p w:rsidR="0091160C" w:rsidRPr="0091160C" w:rsidRDefault="0091160C" w:rsidP="0091160C">
      <w:pPr>
        <w:pStyle w:val="Sarakstarindkopa"/>
        <w:tabs>
          <w:tab w:val="left" w:pos="4820"/>
        </w:tabs>
        <w:ind w:left="993" w:right="126" w:hanging="284"/>
        <w:jc w:val="both"/>
        <w:rPr>
          <w:bCs/>
          <w:sz w:val="28"/>
          <w:szCs w:val="28"/>
        </w:rPr>
      </w:pPr>
      <w:r w:rsidRPr="0091160C">
        <w:rPr>
          <w:sz w:val="28"/>
          <w:szCs w:val="28"/>
        </w:rPr>
        <w:t xml:space="preserve">-   Padomes regulas projektu par ciešāku sadarbību saistībā ar vienotas patentu aizsardzības sistēmas izveidi attiecībā un piemērojamo </w:t>
      </w:r>
      <w:r w:rsidRPr="0091160C">
        <w:rPr>
          <w:bCs/>
          <w:sz w:val="28"/>
          <w:szCs w:val="28"/>
        </w:rPr>
        <w:t xml:space="preserve">tulkošanas kārtību. </w:t>
      </w:r>
    </w:p>
    <w:p w:rsidR="0091160C" w:rsidRPr="0091160C" w:rsidRDefault="0091160C" w:rsidP="0091160C">
      <w:pPr>
        <w:pStyle w:val="naiskr"/>
        <w:numPr>
          <w:ilvl w:val="0"/>
          <w:numId w:val="14"/>
        </w:numPr>
        <w:spacing w:before="0" w:beforeAutospacing="0" w:after="0" w:afterAutospacing="0"/>
        <w:ind w:right="127"/>
        <w:jc w:val="both"/>
        <w:rPr>
          <w:sz w:val="28"/>
          <w:szCs w:val="28"/>
        </w:rPr>
      </w:pPr>
      <w:r w:rsidRPr="0091160C">
        <w:rPr>
          <w:sz w:val="28"/>
          <w:szCs w:val="28"/>
        </w:rPr>
        <w:t>diskutēt par atsevišķiem jautājumiem Līguma projekta par vienotās patentu tiesas izveidi (turpmāk – Līguma projekts) ietvaros.</w:t>
      </w:r>
    </w:p>
    <w:p w:rsidR="0091160C" w:rsidRPr="00A60DC2" w:rsidRDefault="0091160C" w:rsidP="0091160C">
      <w:pPr>
        <w:pStyle w:val="Vienkrsteksts"/>
        <w:tabs>
          <w:tab w:val="left" w:pos="410"/>
        </w:tabs>
        <w:ind w:left="486" w:right="127"/>
        <w:rPr>
          <w:b/>
          <w:sz w:val="28"/>
          <w:szCs w:val="28"/>
          <w:lang w:val="lv-LV"/>
        </w:rPr>
      </w:pPr>
      <w:r w:rsidRPr="00A60DC2">
        <w:rPr>
          <w:b/>
          <w:sz w:val="28"/>
          <w:szCs w:val="28"/>
          <w:lang w:val="lv-LV"/>
        </w:rPr>
        <w:t xml:space="preserve"> </w:t>
      </w:r>
    </w:p>
    <w:p w:rsidR="0091160C" w:rsidRPr="0091160C" w:rsidRDefault="0091160C" w:rsidP="0091160C">
      <w:pPr>
        <w:pStyle w:val="naiskr"/>
        <w:spacing w:before="0" w:beforeAutospacing="0" w:after="0" w:afterAutospacing="0"/>
        <w:ind w:firstLine="720"/>
        <w:jc w:val="both"/>
        <w:rPr>
          <w:sz w:val="28"/>
          <w:szCs w:val="28"/>
        </w:rPr>
      </w:pPr>
      <w:r w:rsidRPr="0091160C">
        <w:rPr>
          <w:sz w:val="28"/>
          <w:szCs w:val="28"/>
        </w:rPr>
        <w:t xml:space="preserve">2011.gada 10.martā ES Konkurētspējas ministru padomes sanāksmē tika pieņemts lēmums 2011/167/ES, ar ko atļauj ciešāku sadarbību attiecībā uz vienotas patentu aizsardzības izveidi. Ciešākas sadarbības mehānismā ir iesaistījušās 25 ES dalībvalstis, tai skaitā Latvija. Vienotās ES patentu sistēmas elementi ir ES patents, ES patenta tulkošana un vienota patenta tiesvedības sistēma. </w:t>
      </w:r>
    </w:p>
    <w:p w:rsidR="0091160C" w:rsidRPr="0091160C" w:rsidRDefault="0091160C" w:rsidP="0091160C">
      <w:pPr>
        <w:pStyle w:val="naiskr"/>
        <w:spacing w:before="0" w:beforeAutospacing="0" w:after="0" w:afterAutospacing="0"/>
        <w:ind w:right="127" w:firstLine="720"/>
        <w:jc w:val="both"/>
        <w:rPr>
          <w:sz w:val="28"/>
          <w:szCs w:val="28"/>
        </w:rPr>
      </w:pPr>
      <w:r w:rsidRPr="0091160C">
        <w:rPr>
          <w:sz w:val="28"/>
          <w:szCs w:val="28"/>
        </w:rPr>
        <w:t xml:space="preserve">2011.gada 27.jūnija ārkārtas Konkurētspējas ministru padomē dalībvalstis ciešākas sadarbības ietvaros vienojās par priekšlikumu Eiropas Parlamenta un Padomes regulai par ciešāku sadarbību saistībā ar vienotas patentu aizsardzības izveidi un par priekšlikumu Eiropas Parlamenta un </w:t>
      </w:r>
      <w:r w:rsidRPr="0091160C">
        <w:rPr>
          <w:sz w:val="28"/>
          <w:szCs w:val="28"/>
        </w:rPr>
        <w:lastRenderedPageBreak/>
        <w:t xml:space="preserve">Padomes regulai par ciešāku sadarbību saistībā ar vienotas patentu aizsardzības izveidi attiecībā uz piemērojamo </w:t>
      </w:r>
      <w:r w:rsidRPr="0091160C">
        <w:rPr>
          <w:bCs/>
          <w:sz w:val="28"/>
          <w:szCs w:val="28"/>
        </w:rPr>
        <w:t>tulkošanas kārtību (turpmāk – Regulas projekti).</w:t>
      </w:r>
      <w:r w:rsidRPr="0091160C">
        <w:rPr>
          <w:sz w:val="28"/>
          <w:szCs w:val="28"/>
        </w:rPr>
        <w:t xml:space="preserve"> Šobrīd ir panākta vienošanās ar Eiropas Parlamentu, noslēdzot darbu ES Padomē par minētajiem regulas projektiem. Latvija var atbalstīt panākto vienošanos ar Eiropas Parlamentu attiecībā uz Regulas projektiem.</w:t>
      </w:r>
    </w:p>
    <w:p w:rsidR="0091160C" w:rsidRPr="0091160C" w:rsidRDefault="0091160C" w:rsidP="0091160C">
      <w:pPr>
        <w:ind w:firstLine="720"/>
        <w:jc w:val="both"/>
        <w:rPr>
          <w:sz w:val="28"/>
          <w:szCs w:val="28"/>
        </w:rPr>
      </w:pPr>
      <w:r w:rsidRPr="0091160C">
        <w:rPr>
          <w:sz w:val="28"/>
          <w:szCs w:val="28"/>
        </w:rPr>
        <w:t xml:space="preserve">Lai uzsāktu darbu pie tiesvedības sistēmas izveides, </w:t>
      </w:r>
      <w:r w:rsidR="008B6E43">
        <w:rPr>
          <w:sz w:val="28"/>
          <w:szCs w:val="28"/>
        </w:rPr>
        <w:t>Eiropas Komisija</w:t>
      </w:r>
      <w:r w:rsidRPr="0091160C">
        <w:rPr>
          <w:sz w:val="28"/>
          <w:szCs w:val="28"/>
        </w:rPr>
        <w:t xml:space="preserve"> 2011.</w:t>
      </w:r>
      <w:r w:rsidR="00A058A6">
        <w:rPr>
          <w:sz w:val="28"/>
          <w:szCs w:val="28"/>
        </w:rPr>
        <w:t> </w:t>
      </w:r>
      <w:r w:rsidRPr="0091160C">
        <w:rPr>
          <w:sz w:val="28"/>
          <w:szCs w:val="28"/>
        </w:rPr>
        <w:t>gada 14. jūnijā nāca klajā ar Līguma projektu</w:t>
      </w:r>
      <w:r w:rsidRPr="0091160C">
        <w:rPr>
          <w:i/>
          <w:sz w:val="28"/>
          <w:szCs w:val="28"/>
        </w:rPr>
        <w:t xml:space="preserve">. </w:t>
      </w:r>
      <w:r w:rsidRPr="0091160C">
        <w:rPr>
          <w:sz w:val="28"/>
          <w:szCs w:val="28"/>
        </w:rPr>
        <w:t>Patentu tiesas sistēma plānota kā ekskluzīva Patentu tiesas sistēma, kurā tiktu skatīti Eiropas patenta un nākotnē arī ES patenta strīdi, prot</w:t>
      </w:r>
      <w:r w:rsidR="00A058A6">
        <w:rPr>
          <w:sz w:val="28"/>
          <w:szCs w:val="28"/>
        </w:rPr>
        <w:t xml:space="preserve">i, lietas par patentu anulēšanu, </w:t>
      </w:r>
      <w:r w:rsidRPr="0091160C">
        <w:rPr>
          <w:sz w:val="28"/>
          <w:szCs w:val="28"/>
        </w:rPr>
        <w:t>patentu pārkāpumi un citi ar patentiem saistīti strīdi. Patentu tiesa tiek plānota kā specializēta patentu tiesa, kuras spriedumiem būs spēks visās Līguma projektā iesaistīto dalībvalstu teritorijās.</w:t>
      </w:r>
    </w:p>
    <w:p w:rsidR="0091160C" w:rsidRPr="0091160C" w:rsidRDefault="0091160C" w:rsidP="0091160C">
      <w:pPr>
        <w:pStyle w:val="Body1"/>
        <w:ind w:right="-1" w:firstLine="594"/>
        <w:jc w:val="both"/>
        <w:outlineLvl w:val="0"/>
        <w:rPr>
          <w:rFonts w:ascii="Times New Roman" w:hAnsi="Times New Roman"/>
          <w:sz w:val="28"/>
          <w:szCs w:val="28"/>
          <w:lang w:val="lv-LV"/>
        </w:rPr>
      </w:pPr>
      <w:r w:rsidRPr="0091160C">
        <w:rPr>
          <w:rFonts w:ascii="Times New Roman" w:hAnsi="Times New Roman"/>
          <w:sz w:val="28"/>
          <w:szCs w:val="28"/>
          <w:lang w:val="lv-LV"/>
        </w:rPr>
        <w:t xml:space="preserve">Attiecībā uz izvirzītajiem diskusiju jautājumiem Padomē, Latvija atbalsta </w:t>
      </w:r>
      <w:r w:rsidRPr="0091160C">
        <w:rPr>
          <w:rFonts w:ascii="Times New Roman" w:eastAsia="Helvetica" w:hAnsi="Times New Roman"/>
          <w:sz w:val="28"/>
          <w:szCs w:val="28"/>
          <w:lang w:val="lv-LV"/>
        </w:rPr>
        <w:t>Patentu</w:t>
      </w:r>
      <w:r w:rsidR="00A058A6">
        <w:rPr>
          <w:rFonts w:ascii="Times New Roman" w:eastAsia="Helvetica" w:hAnsi="Times New Roman"/>
          <w:sz w:val="28"/>
          <w:szCs w:val="28"/>
          <w:lang w:val="lv-LV"/>
        </w:rPr>
        <w:t xml:space="preserve"> tiesas </w:t>
      </w:r>
      <w:r w:rsidRPr="0091160C">
        <w:rPr>
          <w:rFonts w:ascii="Times New Roman" w:eastAsia="Helvetica" w:hAnsi="Times New Roman"/>
          <w:sz w:val="28"/>
          <w:szCs w:val="28"/>
          <w:lang w:val="lv-LV"/>
        </w:rPr>
        <w:t>finansēšanas modeli, pakāpenisko spēkā stāšanās laiku, kā arī noteikto septiņu gadu pārejas periodu.</w:t>
      </w:r>
    </w:p>
    <w:p w:rsidR="0091160C" w:rsidRPr="0091160C" w:rsidRDefault="0091160C" w:rsidP="0091160C">
      <w:pPr>
        <w:pStyle w:val="Body1"/>
        <w:ind w:right="-1" w:firstLine="594"/>
        <w:jc w:val="both"/>
        <w:outlineLvl w:val="0"/>
        <w:rPr>
          <w:rFonts w:ascii="Times New Roman" w:eastAsia="Helvetica" w:hAnsi="Times New Roman"/>
          <w:sz w:val="28"/>
          <w:szCs w:val="28"/>
          <w:lang w:val="lv-LV"/>
        </w:rPr>
      </w:pPr>
      <w:r w:rsidRPr="0091160C">
        <w:rPr>
          <w:rFonts w:ascii="Times New Roman" w:hAnsi="Times New Roman"/>
          <w:sz w:val="28"/>
          <w:szCs w:val="28"/>
          <w:lang w:val="lv-LV"/>
        </w:rPr>
        <w:t>Latvija pozitīvi vērtē</w:t>
      </w:r>
      <w:r w:rsidR="00A058A6">
        <w:rPr>
          <w:rFonts w:ascii="Times New Roman" w:hAnsi="Times New Roman"/>
          <w:sz w:val="28"/>
          <w:szCs w:val="28"/>
          <w:lang w:val="lv-LV"/>
        </w:rPr>
        <w:t xml:space="preserve"> un īpaši atbalsta</w:t>
      </w:r>
      <w:r w:rsidRPr="00A60DC2">
        <w:rPr>
          <w:rFonts w:ascii="Times New Roman" w:hAnsi="Times New Roman"/>
          <w:sz w:val="28"/>
          <w:szCs w:val="28"/>
          <w:lang w:val="lv-LV"/>
        </w:rPr>
        <w:t xml:space="preserve"> šobrīd paredzētos īpašos nosacījumus mazajiem un vidējiem uzņēmumiem gan Regulas projektu, gan Līguma projekta ietvaros.</w:t>
      </w:r>
      <w:r w:rsidRPr="00A60DC2">
        <w:rPr>
          <w:rFonts w:ascii="Times New Roman" w:hAnsi="Times New Roman"/>
          <w:b/>
          <w:sz w:val="28"/>
          <w:szCs w:val="28"/>
          <w:lang w:val="lv-LV"/>
        </w:rPr>
        <w:t xml:space="preserve"> </w:t>
      </w:r>
      <w:r w:rsidRPr="00A60DC2">
        <w:rPr>
          <w:rFonts w:ascii="Times New Roman" w:hAnsi="Times New Roman"/>
          <w:sz w:val="28"/>
          <w:szCs w:val="28"/>
          <w:lang w:val="lv-LV"/>
        </w:rPr>
        <w:t xml:space="preserve">Īpašais regulējums, kas paredz atvieglojumus un privilēģijas (attiecībā uz uzturēšanas maksu apmēru un tulkošanas izmaksu kompensāciju) maziem un vidējiem uzņēmumiem nodrošinās iespēju </w:t>
      </w:r>
      <w:r w:rsidRPr="0091160C">
        <w:rPr>
          <w:rFonts w:ascii="Times New Roman" w:hAnsi="Times New Roman"/>
          <w:sz w:val="28"/>
          <w:szCs w:val="28"/>
          <w:lang w:val="lv-LV"/>
        </w:rPr>
        <w:t>saglabāt tiem pieejamu ekspertīzi, kā arī konsultācijas</w:t>
      </w:r>
      <w:r w:rsidRPr="00A60DC2">
        <w:rPr>
          <w:rFonts w:ascii="Times New Roman" w:hAnsi="Times New Roman"/>
          <w:sz w:val="28"/>
          <w:szCs w:val="28"/>
          <w:lang w:val="lv-LV"/>
        </w:rPr>
        <w:t>, kas ir īpaši svarīgi Latvijai</w:t>
      </w:r>
      <w:r w:rsidR="00A058A6" w:rsidRPr="00A60DC2">
        <w:rPr>
          <w:rFonts w:ascii="Times New Roman" w:hAnsi="Times New Roman"/>
          <w:sz w:val="28"/>
          <w:szCs w:val="28"/>
          <w:lang w:val="lv-LV"/>
        </w:rPr>
        <w:t xml:space="preserve">, </w:t>
      </w:r>
      <w:r w:rsidRPr="00A60DC2">
        <w:rPr>
          <w:rFonts w:ascii="Times New Roman" w:hAnsi="Times New Roman"/>
          <w:sz w:val="28"/>
          <w:szCs w:val="28"/>
          <w:lang w:val="lv-LV"/>
        </w:rPr>
        <w:t xml:space="preserve"> </w:t>
      </w:r>
      <w:r w:rsidR="00A058A6" w:rsidRPr="00A60DC2">
        <w:rPr>
          <w:rFonts w:ascii="Times New Roman" w:hAnsi="Times New Roman"/>
          <w:sz w:val="28"/>
          <w:szCs w:val="28"/>
          <w:lang w:val="lv-LV"/>
        </w:rPr>
        <w:t>ņ</w:t>
      </w:r>
      <w:r w:rsidRPr="0091160C">
        <w:rPr>
          <w:rFonts w:ascii="Times New Roman" w:hAnsi="Times New Roman"/>
          <w:iCs/>
          <w:sz w:val="28"/>
          <w:szCs w:val="28"/>
          <w:lang w:val="lv-LV"/>
        </w:rPr>
        <w:t>emot vērā to, ka tieši mazie un vidējie uzņēmēji no Latvijas pārsvarā va</w:t>
      </w:r>
      <w:r w:rsidR="00A058A6">
        <w:rPr>
          <w:rFonts w:ascii="Times New Roman" w:hAnsi="Times New Roman"/>
          <w:iCs/>
          <w:sz w:val="28"/>
          <w:szCs w:val="28"/>
          <w:lang w:val="lv-LV"/>
        </w:rPr>
        <w:t xml:space="preserve">rētu būt tiesvedības dalībnieki. </w:t>
      </w:r>
      <w:r w:rsidRPr="0091160C">
        <w:rPr>
          <w:rFonts w:ascii="Times New Roman" w:eastAsia="Helvetica" w:hAnsi="Times New Roman"/>
          <w:sz w:val="28"/>
          <w:szCs w:val="28"/>
          <w:lang w:val="lv-LV"/>
        </w:rPr>
        <w:t xml:space="preserve">Latvija atbalsta, ka  Patentu tiesas nodevām jābūt pēc iespējas zemākām, lai nodrošinātu Patentu tiesas pieejamību </w:t>
      </w:r>
      <w:r w:rsidR="00A058A6">
        <w:rPr>
          <w:rFonts w:ascii="Times New Roman" w:eastAsia="Helvetica" w:hAnsi="Times New Roman"/>
          <w:sz w:val="28"/>
          <w:szCs w:val="28"/>
          <w:lang w:val="lv-LV"/>
        </w:rPr>
        <w:t xml:space="preserve">uzņēmumiem. </w:t>
      </w:r>
    </w:p>
    <w:p w:rsidR="0091160C" w:rsidRPr="0091160C" w:rsidRDefault="0091160C" w:rsidP="0091160C">
      <w:pPr>
        <w:tabs>
          <w:tab w:val="left" w:pos="4820"/>
        </w:tabs>
        <w:ind w:left="127" w:right="126"/>
        <w:jc w:val="both"/>
        <w:rPr>
          <w:sz w:val="28"/>
          <w:szCs w:val="28"/>
        </w:rPr>
      </w:pPr>
    </w:p>
    <w:p w:rsidR="0091160C" w:rsidRPr="0091160C" w:rsidRDefault="0091160C" w:rsidP="0091160C">
      <w:pPr>
        <w:pStyle w:val="Sarakstarindkopa"/>
        <w:numPr>
          <w:ilvl w:val="0"/>
          <w:numId w:val="12"/>
        </w:numPr>
        <w:ind w:left="426" w:hanging="426"/>
        <w:jc w:val="both"/>
        <w:rPr>
          <w:b/>
          <w:sz w:val="28"/>
          <w:szCs w:val="28"/>
        </w:rPr>
      </w:pPr>
      <w:r w:rsidRPr="0091160C">
        <w:rPr>
          <w:b/>
          <w:sz w:val="28"/>
          <w:szCs w:val="28"/>
        </w:rPr>
        <w:t>Eiropas Komisijas priekšlikums Eiropas Parlamenta un Padomes direktīvai, ar ko groza Direktīvas 89/666/EEK, 2005/56/EC un 2009/101/EK par centrālo reģistru, komercreģistru un uzņēmumu reģistru savstarpējo savienojamību (turpmāk - Direktīva)</w:t>
      </w:r>
    </w:p>
    <w:p w:rsidR="0091160C" w:rsidRPr="0091160C" w:rsidRDefault="0091160C" w:rsidP="0091160C">
      <w:pPr>
        <w:jc w:val="both"/>
        <w:rPr>
          <w:b/>
          <w:sz w:val="28"/>
          <w:szCs w:val="28"/>
        </w:rPr>
      </w:pPr>
    </w:p>
    <w:p w:rsidR="0091160C" w:rsidRPr="0091160C" w:rsidRDefault="0091160C" w:rsidP="0091160C">
      <w:pPr>
        <w:autoSpaceDE w:val="0"/>
        <w:autoSpaceDN w:val="0"/>
        <w:adjustRightInd w:val="0"/>
        <w:ind w:firstLine="720"/>
        <w:jc w:val="both"/>
        <w:rPr>
          <w:rFonts w:eastAsiaTheme="minorHAnsi"/>
          <w:sz w:val="28"/>
          <w:szCs w:val="28"/>
        </w:rPr>
      </w:pPr>
      <w:r w:rsidRPr="0091160C">
        <w:rPr>
          <w:rFonts w:eastAsiaTheme="minorHAnsi"/>
          <w:sz w:val="28"/>
          <w:szCs w:val="28"/>
        </w:rPr>
        <w:t>Pēdējo gadu laikā uzņēmumi aizvien vairāk paplašina savu pārrobežu sadarbību, kurā ir iesaistīti uzņēmumi no dažādām dalībvalstīm. Tādēļ ir nepieciešams nodrošināt pārrobežu piekļuvi uzņēmējdarbības informācijai, kā arī ir nepieciešama pārrobežu sadarbība starp uzņēmējdarbības reģistriem.</w:t>
      </w:r>
    </w:p>
    <w:p w:rsidR="0091160C" w:rsidRPr="0091160C" w:rsidRDefault="0091160C" w:rsidP="0091160C">
      <w:pPr>
        <w:autoSpaceDE w:val="0"/>
        <w:autoSpaceDN w:val="0"/>
        <w:adjustRightInd w:val="0"/>
        <w:ind w:firstLine="720"/>
        <w:jc w:val="both"/>
        <w:rPr>
          <w:rFonts w:eastAsiaTheme="minorHAnsi"/>
          <w:sz w:val="28"/>
          <w:szCs w:val="28"/>
        </w:rPr>
      </w:pPr>
      <w:r w:rsidRPr="0091160C">
        <w:rPr>
          <w:sz w:val="28"/>
          <w:szCs w:val="28"/>
        </w:rPr>
        <w:t xml:space="preserve">Direktīvas mērķis ir </w:t>
      </w:r>
      <w:r w:rsidRPr="0091160C">
        <w:rPr>
          <w:rFonts w:eastAsiaTheme="minorHAnsi"/>
          <w:sz w:val="28"/>
          <w:szCs w:val="28"/>
        </w:rPr>
        <w:t xml:space="preserve">palielināt uzticību vienotajam tirgum, garantējot drošāku uzņēmējdarbības vidi patērētājiem, kreditoriem un citiem uzņēmējdarbības partneriem, veicināt Eiropas uzņēmumu konkurētspēju, samazinot administratīvo slogu un palielinot tiesisko noteiktību, kā arī uzlabot valsts pārvaldes darbību, sekmējot sadarbību starp uzņēmējdarbības reģistriem Eiropā saistībā ar tādām procedūrām, kurās sadarbības mehānismi ir nepilnīgi, vai to nav vispār. </w:t>
      </w:r>
    </w:p>
    <w:p w:rsidR="0091160C" w:rsidRPr="0091160C" w:rsidRDefault="0091160C" w:rsidP="0091160C">
      <w:pPr>
        <w:autoSpaceDE w:val="0"/>
        <w:autoSpaceDN w:val="0"/>
        <w:adjustRightInd w:val="0"/>
        <w:ind w:firstLine="720"/>
        <w:jc w:val="both"/>
        <w:rPr>
          <w:rFonts w:eastAsiaTheme="minorHAnsi"/>
          <w:sz w:val="28"/>
          <w:szCs w:val="28"/>
        </w:rPr>
      </w:pPr>
      <w:r w:rsidRPr="0091160C">
        <w:rPr>
          <w:rFonts w:eastAsiaTheme="minorHAnsi"/>
          <w:sz w:val="28"/>
          <w:szCs w:val="28"/>
        </w:rPr>
        <w:t>Direktīva paredz šādus grozījumus spēkā esošajos tiesību aktos:</w:t>
      </w:r>
    </w:p>
    <w:p w:rsidR="0091160C" w:rsidRPr="0091160C" w:rsidRDefault="0091160C" w:rsidP="0091160C">
      <w:pPr>
        <w:pStyle w:val="Sarakstarindkopa"/>
        <w:numPr>
          <w:ilvl w:val="0"/>
          <w:numId w:val="16"/>
        </w:numPr>
        <w:autoSpaceDE w:val="0"/>
        <w:autoSpaceDN w:val="0"/>
        <w:adjustRightInd w:val="0"/>
        <w:ind w:left="180" w:hanging="180"/>
        <w:jc w:val="both"/>
        <w:rPr>
          <w:rFonts w:eastAsiaTheme="minorHAnsi"/>
          <w:sz w:val="28"/>
          <w:szCs w:val="28"/>
        </w:rPr>
      </w:pPr>
      <w:r w:rsidRPr="0091160C">
        <w:rPr>
          <w:rFonts w:eastAsiaTheme="minorHAnsi"/>
          <w:sz w:val="28"/>
          <w:szCs w:val="28"/>
        </w:rPr>
        <w:t xml:space="preserve">grozījumi Direktīvā 2009/101/EK ir vērsti uz pārrobežu piekļuves veicināšanu oficiālai uzņēmējdarbības informācijai, izveidojot elektronisku reģistru tīklu </w:t>
      </w:r>
      <w:r w:rsidRPr="0091160C">
        <w:rPr>
          <w:rFonts w:eastAsiaTheme="minorHAnsi"/>
          <w:sz w:val="28"/>
          <w:szCs w:val="28"/>
        </w:rPr>
        <w:lastRenderedPageBreak/>
        <w:t>un nosakot vienotu minimālo informācijas apjomu, kas elektroniskā formā jādara pieejama trešajām pusēm visās dalībvalstīs;</w:t>
      </w:r>
    </w:p>
    <w:p w:rsidR="0091160C" w:rsidRPr="0091160C" w:rsidRDefault="0091160C" w:rsidP="0091160C">
      <w:pPr>
        <w:pStyle w:val="Sarakstarindkopa"/>
        <w:numPr>
          <w:ilvl w:val="0"/>
          <w:numId w:val="16"/>
        </w:numPr>
        <w:autoSpaceDE w:val="0"/>
        <w:autoSpaceDN w:val="0"/>
        <w:adjustRightInd w:val="0"/>
        <w:ind w:left="180" w:hanging="180"/>
        <w:jc w:val="both"/>
        <w:rPr>
          <w:rFonts w:eastAsiaTheme="minorHAnsi"/>
          <w:sz w:val="28"/>
          <w:szCs w:val="28"/>
        </w:rPr>
      </w:pPr>
      <w:r w:rsidRPr="0091160C">
        <w:rPr>
          <w:rFonts w:eastAsiaTheme="minorHAnsi"/>
          <w:sz w:val="28"/>
          <w:szCs w:val="28"/>
        </w:rPr>
        <w:t>grozījumi Direktīvā 89/666/EEK ir paredzēti, lai garantētu to, ka uzņēmējdarbības reģistrs sniedz aktuālu informāciju par uzņēmējsabiedrību tiem uzņēmējdarbības reģistriem citās dalībvalstīs, kuros reģistrētas šīs sabiedrības ārvalstu filiāles;</w:t>
      </w:r>
    </w:p>
    <w:p w:rsidR="0091160C" w:rsidRPr="0091160C" w:rsidRDefault="0091160C" w:rsidP="0091160C">
      <w:pPr>
        <w:pStyle w:val="Sarakstarindkopa"/>
        <w:numPr>
          <w:ilvl w:val="0"/>
          <w:numId w:val="16"/>
        </w:numPr>
        <w:autoSpaceDE w:val="0"/>
        <w:autoSpaceDN w:val="0"/>
        <w:adjustRightInd w:val="0"/>
        <w:ind w:left="180" w:hanging="180"/>
        <w:jc w:val="both"/>
        <w:rPr>
          <w:sz w:val="28"/>
          <w:szCs w:val="28"/>
        </w:rPr>
      </w:pPr>
      <w:r w:rsidRPr="0091160C">
        <w:rPr>
          <w:rFonts w:eastAsiaTheme="minorHAnsi"/>
          <w:sz w:val="28"/>
          <w:szCs w:val="28"/>
        </w:rPr>
        <w:t xml:space="preserve">grozījumi Direktīvā 2005/56/EK vērsti uz sadarbības apstākļu uzlabošanu starp uzņēmējdarbības reģistriem saistībā ar uzņēmumu pārrobežu apvienošanās procedūrām. </w:t>
      </w:r>
    </w:p>
    <w:p w:rsidR="0091160C" w:rsidRPr="0091160C" w:rsidRDefault="0091160C" w:rsidP="0091160C">
      <w:pPr>
        <w:pStyle w:val="Sarakstarindkopa"/>
        <w:autoSpaceDE w:val="0"/>
        <w:autoSpaceDN w:val="0"/>
        <w:adjustRightInd w:val="0"/>
        <w:ind w:left="180"/>
        <w:jc w:val="both"/>
        <w:rPr>
          <w:sz w:val="28"/>
          <w:szCs w:val="28"/>
        </w:rPr>
      </w:pPr>
    </w:p>
    <w:p w:rsidR="0091160C" w:rsidRPr="0091160C" w:rsidRDefault="0091160C" w:rsidP="0091160C">
      <w:pPr>
        <w:ind w:left="127" w:right="127" w:firstLine="593"/>
        <w:jc w:val="both"/>
        <w:rPr>
          <w:bCs/>
          <w:noProof/>
          <w:sz w:val="28"/>
          <w:szCs w:val="28"/>
        </w:rPr>
      </w:pPr>
      <w:r w:rsidRPr="0091160C">
        <w:rPr>
          <w:noProof/>
          <w:sz w:val="28"/>
          <w:szCs w:val="28"/>
        </w:rPr>
        <w:t xml:space="preserve">Latvija kopumā atbalsta </w:t>
      </w:r>
      <w:r w:rsidRPr="0091160C">
        <w:rPr>
          <w:sz w:val="28"/>
          <w:szCs w:val="28"/>
        </w:rPr>
        <w:t>Direktīv</w:t>
      </w:r>
      <w:r w:rsidR="00A02D17">
        <w:rPr>
          <w:sz w:val="28"/>
          <w:szCs w:val="28"/>
        </w:rPr>
        <w:t>u</w:t>
      </w:r>
      <w:r w:rsidRPr="0091160C">
        <w:rPr>
          <w:sz w:val="28"/>
          <w:szCs w:val="28"/>
        </w:rPr>
        <w:t>, kā arī atbalsta</w:t>
      </w:r>
      <w:r w:rsidRPr="0091160C">
        <w:rPr>
          <w:noProof/>
          <w:sz w:val="28"/>
          <w:szCs w:val="28"/>
        </w:rPr>
        <w:t xml:space="preserve"> vispārējās pieejas pieņemšanu </w:t>
      </w:r>
      <w:r w:rsidR="00A058A6">
        <w:rPr>
          <w:noProof/>
          <w:sz w:val="28"/>
          <w:szCs w:val="28"/>
        </w:rPr>
        <w:t>P</w:t>
      </w:r>
      <w:r w:rsidRPr="0091160C">
        <w:rPr>
          <w:noProof/>
          <w:sz w:val="28"/>
          <w:szCs w:val="28"/>
        </w:rPr>
        <w:t xml:space="preserve">adomē. </w:t>
      </w:r>
      <w:r w:rsidRPr="0091160C">
        <w:rPr>
          <w:sz w:val="28"/>
          <w:szCs w:val="28"/>
        </w:rPr>
        <w:t xml:space="preserve">Latvija uzskata, ka </w:t>
      </w:r>
      <w:r w:rsidRPr="0091160C">
        <w:rPr>
          <w:noProof/>
          <w:sz w:val="28"/>
          <w:szCs w:val="28"/>
        </w:rPr>
        <w:t>nodrošinot kvalitatīvu piekļuvi atjaunotai un ticamai informācijai par uzņēmumiem, nepārprotami tiks veicināta labvēlīga juridiskā un finanšu vides izveide uzņēmējdarbībai, kā arī palielināta uzņēmumu konkurētspēja.</w:t>
      </w:r>
    </w:p>
    <w:p w:rsidR="0091160C" w:rsidRPr="0091160C" w:rsidRDefault="0091160C" w:rsidP="0091160C">
      <w:pPr>
        <w:jc w:val="both"/>
        <w:rPr>
          <w:b/>
          <w:sz w:val="28"/>
          <w:szCs w:val="28"/>
        </w:rPr>
      </w:pPr>
    </w:p>
    <w:bookmarkEnd w:id="8"/>
    <w:p w:rsidR="0091160C" w:rsidRPr="0091160C" w:rsidRDefault="0091160C" w:rsidP="0091160C">
      <w:pPr>
        <w:jc w:val="both"/>
        <w:rPr>
          <w:sz w:val="28"/>
          <w:szCs w:val="28"/>
        </w:rPr>
      </w:pPr>
      <w:r w:rsidRPr="0091160C">
        <w:rPr>
          <w:b/>
          <w:sz w:val="28"/>
          <w:szCs w:val="28"/>
          <w:u w:val="single"/>
        </w:rPr>
        <w:t>III Latvijas delegācija</w:t>
      </w:r>
    </w:p>
    <w:p w:rsidR="0091160C" w:rsidRPr="0091160C" w:rsidRDefault="0091160C" w:rsidP="0091160C">
      <w:pPr>
        <w:pStyle w:val="Pamatteksts2"/>
        <w:jc w:val="both"/>
        <w:rPr>
          <w:sz w:val="28"/>
          <w:szCs w:val="28"/>
        </w:rPr>
      </w:pPr>
    </w:p>
    <w:p w:rsidR="0091160C" w:rsidRPr="0091160C" w:rsidRDefault="0091160C" w:rsidP="0091160C">
      <w:pPr>
        <w:pStyle w:val="Pamatteksts2"/>
        <w:ind w:left="3119" w:firstLine="11"/>
        <w:jc w:val="both"/>
        <w:rPr>
          <w:b/>
          <w:bCs/>
          <w:sz w:val="28"/>
          <w:szCs w:val="28"/>
        </w:rPr>
      </w:pPr>
      <w:r w:rsidRPr="0091160C">
        <w:rPr>
          <w:b/>
          <w:bCs/>
          <w:sz w:val="28"/>
          <w:szCs w:val="28"/>
        </w:rPr>
        <w:t xml:space="preserve">                     </w:t>
      </w:r>
    </w:p>
    <w:p w:rsidR="0091160C" w:rsidRPr="0091160C" w:rsidRDefault="0091160C" w:rsidP="0091160C">
      <w:pPr>
        <w:ind w:left="2977" w:hanging="2977"/>
        <w:jc w:val="both"/>
        <w:rPr>
          <w:sz w:val="28"/>
          <w:szCs w:val="28"/>
        </w:rPr>
      </w:pPr>
      <w:r w:rsidRPr="0091160C">
        <w:rPr>
          <w:sz w:val="28"/>
          <w:szCs w:val="28"/>
        </w:rPr>
        <w:t>Delegācijas dalībnieks:</w:t>
      </w:r>
      <w:r w:rsidRPr="0091160C">
        <w:rPr>
          <w:sz w:val="28"/>
          <w:szCs w:val="28"/>
        </w:rPr>
        <w:tab/>
      </w:r>
      <w:r w:rsidRPr="0091160C">
        <w:rPr>
          <w:b/>
          <w:sz w:val="28"/>
          <w:szCs w:val="28"/>
        </w:rPr>
        <w:t>Sandris Laganovskis</w:t>
      </w:r>
      <w:r w:rsidRPr="0091160C">
        <w:rPr>
          <w:sz w:val="28"/>
          <w:szCs w:val="28"/>
        </w:rPr>
        <w:t xml:space="preserve">, tieslietu nozares padomnieks Latvijas Republikas Pastāvīgajā pārstāvniecībā ES. </w:t>
      </w:r>
    </w:p>
    <w:p w:rsidR="009F0810" w:rsidRPr="0091160C" w:rsidRDefault="009F0810" w:rsidP="00AF3EFE">
      <w:pPr>
        <w:jc w:val="both"/>
        <w:rPr>
          <w:sz w:val="28"/>
          <w:szCs w:val="28"/>
        </w:rPr>
      </w:pPr>
    </w:p>
    <w:p w:rsidR="00606F89" w:rsidRPr="0091160C" w:rsidRDefault="00161011" w:rsidP="00AF3EFE">
      <w:pPr>
        <w:jc w:val="both"/>
        <w:rPr>
          <w:sz w:val="28"/>
          <w:szCs w:val="28"/>
        </w:rPr>
      </w:pPr>
      <w:r w:rsidRPr="0091160C">
        <w:rPr>
          <w:sz w:val="28"/>
          <w:szCs w:val="28"/>
        </w:rPr>
        <w:t xml:space="preserve"> </w:t>
      </w:r>
    </w:p>
    <w:p w:rsidR="00D93D93" w:rsidRPr="0091160C" w:rsidRDefault="00D93D93" w:rsidP="00AF3EFE">
      <w:pPr>
        <w:jc w:val="both"/>
        <w:rPr>
          <w:sz w:val="28"/>
          <w:szCs w:val="28"/>
        </w:rPr>
      </w:pPr>
    </w:p>
    <w:p w:rsidR="00AF3EFE" w:rsidRPr="0091160C" w:rsidRDefault="002E2A94" w:rsidP="00AF3EFE">
      <w:pPr>
        <w:jc w:val="both"/>
        <w:rPr>
          <w:sz w:val="28"/>
          <w:szCs w:val="28"/>
        </w:rPr>
      </w:pPr>
      <w:r w:rsidRPr="0091160C">
        <w:rPr>
          <w:sz w:val="28"/>
          <w:szCs w:val="28"/>
        </w:rPr>
        <w:t>T</w:t>
      </w:r>
      <w:r w:rsidR="00606F89" w:rsidRPr="0091160C">
        <w:rPr>
          <w:sz w:val="28"/>
          <w:szCs w:val="28"/>
        </w:rPr>
        <w:t>ieslietu ministrs</w:t>
      </w:r>
      <w:r w:rsidR="00AF3EFE" w:rsidRPr="0091160C">
        <w:rPr>
          <w:sz w:val="28"/>
          <w:szCs w:val="28"/>
        </w:rPr>
        <w:tab/>
      </w:r>
      <w:r w:rsidR="00AF3EFE" w:rsidRPr="0091160C">
        <w:rPr>
          <w:sz w:val="28"/>
          <w:szCs w:val="28"/>
        </w:rPr>
        <w:tab/>
      </w:r>
      <w:r w:rsidR="00AF3EFE" w:rsidRPr="0091160C">
        <w:rPr>
          <w:sz w:val="28"/>
          <w:szCs w:val="28"/>
        </w:rPr>
        <w:tab/>
        <w:t xml:space="preserve">    </w:t>
      </w:r>
      <w:r w:rsidR="00AF3EFE" w:rsidRPr="0091160C">
        <w:rPr>
          <w:sz w:val="28"/>
          <w:szCs w:val="28"/>
        </w:rPr>
        <w:tab/>
      </w:r>
      <w:r w:rsidR="00606F89" w:rsidRPr="0091160C">
        <w:rPr>
          <w:sz w:val="28"/>
          <w:szCs w:val="28"/>
        </w:rPr>
        <w:t xml:space="preserve">           </w:t>
      </w:r>
      <w:r w:rsidR="00161011" w:rsidRPr="0091160C">
        <w:rPr>
          <w:sz w:val="28"/>
          <w:szCs w:val="28"/>
        </w:rPr>
        <w:t xml:space="preserve"> </w:t>
      </w:r>
      <w:r w:rsidR="00606F89" w:rsidRPr="0091160C">
        <w:rPr>
          <w:sz w:val="28"/>
          <w:szCs w:val="28"/>
        </w:rPr>
        <w:t xml:space="preserve">                   </w:t>
      </w:r>
      <w:r w:rsidR="00B32C27" w:rsidRPr="0091160C">
        <w:rPr>
          <w:sz w:val="28"/>
          <w:szCs w:val="28"/>
        </w:rPr>
        <w:t xml:space="preserve">    </w:t>
      </w:r>
      <w:r w:rsidR="0091160C" w:rsidRPr="0091160C">
        <w:rPr>
          <w:sz w:val="28"/>
          <w:szCs w:val="28"/>
        </w:rPr>
        <w:t xml:space="preserve">       </w:t>
      </w:r>
      <w:r w:rsidR="00B32C27" w:rsidRPr="0091160C">
        <w:rPr>
          <w:sz w:val="28"/>
          <w:szCs w:val="28"/>
        </w:rPr>
        <w:t xml:space="preserve"> </w:t>
      </w:r>
      <w:r w:rsidR="00606F89" w:rsidRPr="0091160C">
        <w:rPr>
          <w:sz w:val="28"/>
          <w:szCs w:val="28"/>
        </w:rPr>
        <w:t xml:space="preserve"> </w:t>
      </w:r>
      <w:r w:rsidR="0091160C" w:rsidRPr="0091160C">
        <w:rPr>
          <w:sz w:val="28"/>
          <w:szCs w:val="28"/>
        </w:rPr>
        <w:t>G</w:t>
      </w:r>
      <w:r w:rsidR="00606F89" w:rsidRPr="0091160C">
        <w:rPr>
          <w:sz w:val="28"/>
          <w:szCs w:val="28"/>
        </w:rPr>
        <w:t xml:space="preserve">. </w:t>
      </w:r>
      <w:r w:rsidR="0091160C" w:rsidRPr="0091160C">
        <w:rPr>
          <w:sz w:val="28"/>
          <w:szCs w:val="28"/>
        </w:rPr>
        <w:t>Bērziņš</w:t>
      </w:r>
      <w:r w:rsidR="00606F89" w:rsidRPr="0091160C">
        <w:rPr>
          <w:sz w:val="28"/>
          <w:szCs w:val="28"/>
        </w:rPr>
        <w:t xml:space="preserve"> </w:t>
      </w:r>
    </w:p>
    <w:p w:rsidR="00765D84" w:rsidRPr="0091160C" w:rsidRDefault="00765D84" w:rsidP="00AF3EFE">
      <w:pPr>
        <w:jc w:val="both"/>
        <w:rPr>
          <w:sz w:val="28"/>
          <w:szCs w:val="28"/>
        </w:rPr>
      </w:pPr>
    </w:p>
    <w:p w:rsidR="00B32C27" w:rsidRPr="00AF6AAE" w:rsidRDefault="00B32C27" w:rsidP="00AF3EFE">
      <w:pPr>
        <w:jc w:val="both"/>
      </w:pPr>
    </w:p>
    <w:p w:rsidR="00B32C27" w:rsidRDefault="00B32C27" w:rsidP="00AF3EFE">
      <w:pPr>
        <w:jc w:val="both"/>
        <w:rPr>
          <w:sz w:val="20"/>
          <w:szCs w:val="20"/>
        </w:rPr>
      </w:pPr>
    </w:p>
    <w:p w:rsidR="00AF3EFE" w:rsidRPr="004D7388" w:rsidRDefault="0091160C" w:rsidP="00AF3EFE">
      <w:pPr>
        <w:jc w:val="both"/>
        <w:rPr>
          <w:sz w:val="20"/>
          <w:szCs w:val="20"/>
        </w:rPr>
      </w:pPr>
      <w:r>
        <w:rPr>
          <w:sz w:val="20"/>
          <w:szCs w:val="20"/>
        </w:rPr>
        <w:t>25</w:t>
      </w:r>
      <w:r w:rsidR="00CC780E" w:rsidRPr="004D7388">
        <w:rPr>
          <w:sz w:val="20"/>
          <w:szCs w:val="20"/>
        </w:rPr>
        <w:t>.</w:t>
      </w:r>
      <w:r>
        <w:rPr>
          <w:sz w:val="20"/>
          <w:szCs w:val="20"/>
        </w:rPr>
        <w:t>11</w:t>
      </w:r>
      <w:r w:rsidR="00AF3EFE" w:rsidRPr="004D7388">
        <w:rPr>
          <w:sz w:val="20"/>
          <w:szCs w:val="20"/>
        </w:rPr>
        <w:t>.201</w:t>
      </w:r>
      <w:r w:rsidR="00610321" w:rsidRPr="004D7388">
        <w:rPr>
          <w:sz w:val="20"/>
          <w:szCs w:val="20"/>
        </w:rPr>
        <w:t>1</w:t>
      </w:r>
      <w:r w:rsidR="00AF3EFE" w:rsidRPr="004D7388">
        <w:rPr>
          <w:sz w:val="20"/>
          <w:szCs w:val="20"/>
        </w:rPr>
        <w:t xml:space="preserve"> </w:t>
      </w:r>
      <w:r w:rsidR="00EC6D9E" w:rsidRPr="004D7388">
        <w:rPr>
          <w:sz w:val="20"/>
          <w:szCs w:val="20"/>
        </w:rPr>
        <w:t>1</w:t>
      </w:r>
      <w:r w:rsidR="00A05128">
        <w:rPr>
          <w:sz w:val="20"/>
          <w:szCs w:val="20"/>
        </w:rPr>
        <w:t>5</w:t>
      </w:r>
      <w:r w:rsidR="00AF3EFE" w:rsidRPr="004D7388">
        <w:rPr>
          <w:sz w:val="20"/>
          <w:szCs w:val="20"/>
        </w:rPr>
        <w:t>:</w:t>
      </w:r>
      <w:r w:rsidR="00EC6D9E" w:rsidRPr="004D7388">
        <w:rPr>
          <w:sz w:val="20"/>
          <w:szCs w:val="20"/>
        </w:rPr>
        <w:t>00</w:t>
      </w:r>
    </w:p>
    <w:p w:rsidR="00AF3EFE" w:rsidRPr="004D7388" w:rsidRDefault="00DC7F5D" w:rsidP="00AF3EFE">
      <w:pPr>
        <w:jc w:val="both"/>
        <w:rPr>
          <w:sz w:val="20"/>
          <w:szCs w:val="20"/>
        </w:rPr>
      </w:pPr>
      <w:r>
        <w:rPr>
          <w:sz w:val="20"/>
          <w:szCs w:val="20"/>
        </w:rPr>
        <w:t>7</w:t>
      </w:r>
      <w:r w:rsidR="00FC04F5">
        <w:rPr>
          <w:sz w:val="20"/>
          <w:szCs w:val="20"/>
        </w:rPr>
        <w:t>42</w:t>
      </w:r>
    </w:p>
    <w:p w:rsidR="00642365" w:rsidRPr="004D7388" w:rsidRDefault="0091160C" w:rsidP="00AF3EFE">
      <w:pPr>
        <w:jc w:val="both"/>
        <w:rPr>
          <w:sz w:val="20"/>
          <w:szCs w:val="20"/>
        </w:rPr>
      </w:pPr>
      <w:r>
        <w:rPr>
          <w:sz w:val="20"/>
          <w:szCs w:val="20"/>
        </w:rPr>
        <w:t>Dace Vītola</w:t>
      </w:r>
    </w:p>
    <w:p w:rsidR="00E61C0B" w:rsidRPr="004D7388" w:rsidRDefault="00642365" w:rsidP="00AF3EFE">
      <w:pPr>
        <w:jc w:val="both"/>
        <w:rPr>
          <w:sz w:val="20"/>
          <w:szCs w:val="20"/>
        </w:rPr>
      </w:pPr>
      <w:r w:rsidRPr="004D7388">
        <w:rPr>
          <w:sz w:val="20"/>
          <w:szCs w:val="20"/>
        </w:rPr>
        <w:t>670369</w:t>
      </w:r>
      <w:r w:rsidR="0091160C">
        <w:rPr>
          <w:sz w:val="20"/>
          <w:szCs w:val="20"/>
        </w:rPr>
        <w:t>13</w:t>
      </w:r>
      <w:bookmarkStart w:id="9" w:name="_GoBack"/>
      <w:bookmarkEnd w:id="9"/>
      <w:r w:rsidRPr="004D7388">
        <w:rPr>
          <w:sz w:val="20"/>
          <w:szCs w:val="20"/>
        </w:rPr>
        <w:t xml:space="preserve">, </w:t>
      </w:r>
      <w:hyperlink r:id="rId8" w:history="1">
        <w:r w:rsidR="0091160C" w:rsidRPr="00EB191C">
          <w:rPr>
            <w:rStyle w:val="Hipersaite"/>
            <w:sz w:val="20"/>
            <w:szCs w:val="20"/>
          </w:rPr>
          <w:t>Dace.Vitola@tm.gov.lv</w:t>
        </w:r>
      </w:hyperlink>
    </w:p>
    <w:sectPr w:rsidR="00E61C0B" w:rsidRPr="004D7388" w:rsidSect="001D7D2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A7" w:rsidRDefault="008A1DA7" w:rsidP="00A70D10">
      <w:r>
        <w:separator/>
      </w:r>
    </w:p>
  </w:endnote>
  <w:endnote w:type="continuationSeparator" w:id="0">
    <w:p w:rsidR="008A1DA7" w:rsidRDefault="008A1DA7" w:rsidP="00A7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A7" w:rsidRPr="0091160C" w:rsidRDefault="008A1DA7" w:rsidP="0091160C">
    <w:pPr>
      <w:tabs>
        <w:tab w:val="left" w:pos="6379"/>
      </w:tabs>
      <w:ind w:right="-1"/>
      <w:jc w:val="both"/>
      <w:rPr>
        <w:bCs/>
        <w:sz w:val="20"/>
        <w:szCs w:val="20"/>
      </w:rPr>
    </w:pPr>
    <w:r w:rsidRPr="0091160C">
      <w:rPr>
        <w:sz w:val="20"/>
        <w:szCs w:val="20"/>
      </w:rPr>
      <w:t>TMzino_</w:t>
    </w:r>
    <w:r w:rsidR="0091160C" w:rsidRPr="0091160C">
      <w:rPr>
        <w:sz w:val="20"/>
        <w:szCs w:val="20"/>
      </w:rPr>
      <w:t>2511</w:t>
    </w:r>
    <w:r w:rsidRPr="0091160C">
      <w:rPr>
        <w:sz w:val="20"/>
        <w:szCs w:val="20"/>
      </w:rPr>
      <w:t>11_C</w:t>
    </w:r>
    <w:r w:rsidR="0091160C" w:rsidRPr="0091160C">
      <w:rPr>
        <w:sz w:val="20"/>
        <w:szCs w:val="20"/>
      </w:rPr>
      <w:t>OMPET</w:t>
    </w:r>
    <w:r w:rsidRPr="0091160C">
      <w:rPr>
        <w:sz w:val="20"/>
        <w:szCs w:val="20"/>
      </w:rPr>
      <w:t xml:space="preserve">; informatīvais </w:t>
    </w:r>
    <w:smartTag w:uri="schemas-tilde-lv/tildestengine" w:element="veidnes">
      <w:smartTagPr>
        <w:attr w:name="text" w:val="ziņojums"/>
        <w:attr w:name="baseform" w:val="ziņojums"/>
        <w:attr w:name="id" w:val="-1"/>
      </w:smartTagPr>
      <w:r w:rsidRPr="0091160C">
        <w:rPr>
          <w:sz w:val="20"/>
          <w:szCs w:val="20"/>
        </w:rPr>
        <w:t>ziņojums</w:t>
      </w:r>
    </w:smartTag>
    <w:r w:rsidRPr="0091160C">
      <w:rPr>
        <w:sz w:val="20"/>
        <w:szCs w:val="20"/>
      </w:rPr>
      <w:t xml:space="preserve"> </w:t>
    </w:r>
    <w:r w:rsidRPr="0091160C">
      <w:rPr>
        <w:bCs/>
        <w:sz w:val="20"/>
        <w:szCs w:val="20"/>
      </w:rPr>
      <w:t xml:space="preserve">par </w:t>
    </w:r>
    <w:r w:rsidR="0091160C" w:rsidRPr="0091160C">
      <w:rPr>
        <w:sz w:val="20"/>
        <w:szCs w:val="20"/>
      </w:rPr>
      <w:t>Latvijas nacionālajām pozīcijām par Eiropas Savienības Konkurētspējas ministru padomes 2011. gada 5.–6. decembra sanāksmē izskatāmajiem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A7" w:rsidRPr="00DC7F5D" w:rsidRDefault="008A1DA7" w:rsidP="00DC7F5D">
    <w:pPr>
      <w:tabs>
        <w:tab w:val="left" w:pos="6379"/>
      </w:tabs>
      <w:ind w:right="-1"/>
      <w:jc w:val="both"/>
      <w:rPr>
        <w:bCs/>
        <w:sz w:val="20"/>
        <w:szCs w:val="20"/>
      </w:rPr>
    </w:pPr>
    <w:r w:rsidRPr="00DC7F5D">
      <w:rPr>
        <w:sz w:val="20"/>
        <w:szCs w:val="20"/>
      </w:rPr>
      <w:t>TMzino_</w:t>
    </w:r>
    <w:r w:rsidR="00DC7F5D" w:rsidRPr="00DC7F5D">
      <w:rPr>
        <w:sz w:val="20"/>
        <w:szCs w:val="20"/>
      </w:rPr>
      <w:t>2511</w:t>
    </w:r>
    <w:r w:rsidRPr="00DC7F5D">
      <w:rPr>
        <w:sz w:val="20"/>
        <w:szCs w:val="20"/>
      </w:rPr>
      <w:t>11_C</w:t>
    </w:r>
    <w:r w:rsidR="00DC7F5D" w:rsidRPr="00DC7F5D">
      <w:rPr>
        <w:sz w:val="20"/>
        <w:szCs w:val="20"/>
      </w:rPr>
      <w:t>OMPET</w:t>
    </w:r>
    <w:r w:rsidRPr="00DC7F5D">
      <w:rPr>
        <w:sz w:val="20"/>
        <w:szCs w:val="20"/>
      </w:rPr>
      <w:t xml:space="preserve">; informatīvais </w:t>
    </w:r>
    <w:smartTag w:uri="schemas-tilde-lv/tildestengine" w:element="veidnes">
      <w:smartTagPr>
        <w:attr w:name="text" w:val="ziņojums"/>
        <w:attr w:name="baseform" w:val="ziņojums"/>
        <w:attr w:name="id" w:val="-1"/>
      </w:smartTagPr>
      <w:r w:rsidRPr="00DC7F5D">
        <w:rPr>
          <w:sz w:val="20"/>
          <w:szCs w:val="20"/>
        </w:rPr>
        <w:t>ziņojums</w:t>
      </w:r>
    </w:smartTag>
    <w:r w:rsidRPr="00DC7F5D">
      <w:rPr>
        <w:sz w:val="20"/>
        <w:szCs w:val="20"/>
      </w:rPr>
      <w:t xml:space="preserve"> </w:t>
    </w:r>
    <w:r w:rsidR="00DC7F5D" w:rsidRPr="00DC7F5D">
      <w:rPr>
        <w:sz w:val="20"/>
        <w:szCs w:val="20"/>
      </w:rPr>
      <w:t>Par Latvijas nacionālajām pozīcijām par Eiropas Savienības Konkurētspējas ministru padomes 2011. gada 5.–6. decembra sanāksmē izskatāmajiem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A7" w:rsidRDefault="008A1DA7" w:rsidP="00A70D10">
      <w:r>
        <w:separator/>
      </w:r>
    </w:p>
  </w:footnote>
  <w:footnote w:type="continuationSeparator" w:id="0">
    <w:p w:rsidR="008A1DA7" w:rsidRDefault="008A1DA7" w:rsidP="00A70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A7" w:rsidRDefault="000C5396">
    <w:pPr>
      <w:pStyle w:val="Galvene"/>
      <w:framePr w:wrap="auto" w:vAnchor="text" w:hAnchor="margin" w:xAlign="center" w:y="1"/>
      <w:rPr>
        <w:rStyle w:val="Lappusesnumurs"/>
      </w:rPr>
    </w:pPr>
    <w:r>
      <w:rPr>
        <w:rStyle w:val="Lappusesnumurs"/>
      </w:rPr>
      <w:fldChar w:fldCharType="begin"/>
    </w:r>
    <w:r w:rsidR="008A1DA7">
      <w:rPr>
        <w:rStyle w:val="Lappusesnumurs"/>
      </w:rPr>
      <w:instrText xml:space="preserve">PAGE  </w:instrText>
    </w:r>
    <w:r>
      <w:rPr>
        <w:rStyle w:val="Lappusesnumurs"/>
      </w:rPr>
      <w:fldChar w:fldCharType="separate"/>
    </w:r>
    <w:r w:rsidR="00FC04F5">
      <w:rPr>
        <w:rStyle w:val="Lappusesnumurs"/>
        <w:noProof/>
      </w:rPr>
      <w:t>3</w:t>
    </w:r>
    <w:r>
      <w:rPr>
        <w:rStyle w:val="Lappusesnumurs"/>
      </w:rPr>
      <w:fldChar w:fldCharType="end"/>
    </w:r>
  </w:p>
  <w:p w:rsidR="008A1DA7" w:rsidRDefault="008A1DA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934"/>
    <w:multiLevelType w:val="hybridMultilevel"/>
    <w:tmpl w:val="8820C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7473A60"/>
    <w:multiLevelType w:val="hybridMultilevel"/>
    <w:tmpl w:val="4ED49EB4"/>
    <w:lvl w:ilvl="0" w:tplc="5E122F70">
      <w:start w:val="1"/>
      <w:numFmt w:val="lowerLetter"/>
      <w:lvlText w:val="%1)"/>
      <w:lvlJc w:val="left"/>
      <w:pPr>
        <w:ind w:left="486" w:hanging="360"/>
      </w:pPr>
      <w:rPr>
        <w:rFonts w:hint="default"/>
        <w:b/>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4">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5">
    <w:nsid w:val="24F511C9"/>
    <w:multiLevelType w:val="hybridMultilevel"/>
    <w:tmpl w:val="FE6ACE3E"/>
    <w:lvl w:ilvl="0" w:tplc="9FC000FC">
      <w:start w:val="1"/>
      <w:numFmt w:val="decimal"/>
      <w:lvlText w:val="%1."/>
      <w:lvlJc w:val="left"/>
      <w:pPr>
        <w:ind w:left="1004" w:hanging="360"/>
      </w:pPr>
      <w:rPr>
        <w:rFonts w:hint="default"/>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nsid w:val="28FC17D7"/>
    <w:multiLevelType w:val="hybridMultilevel"/>
    <w:tmpl w:val="834217DC"/>
    <w:lvl w:ilvl="0" w:tplc="04260017">
      <w:start w:val="1"/>
      <w:numFmt w:val="lowerLetter"/>
      <w:lvlText w:val="%1)"/>
      <w:lvlJc w:val="left"/>
      <w:pPr>
        <w:ind w:left="846" w:hanging="360"/>
      </w:p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7">
    <w:nsid w:val="3FE62184"/>
    <w:multiLevelType w:val="hybridMultilevel"/>
    <w:tmpl w:val="F68C09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EA30D63"/>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71DE2E73"/>
    <w:multiLevelType w:val="hybridMultilevel"/>
    <w:tmpl w:val="B1603FBA"/>
    <w:lvl w:ilvl="0" w:tplc="FE3CFC90">
      <w:start w:val="2"/>
      <w:numFmt w:val="bullet"/>
      <w:lvlText w:val="-"/>
      <w:lvlJc w:val="left"/>
      <w:pPr>
        <w:ind w:left="720" w:hanging="360"/>
      </w:pPr>
      <w:rPr>
        <w:rFonts w:ascii="TimesNewRoman" w:eastAsiaTheme="minorHAnsi"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2160E8A"/>
    <w:multiLevelType w:val="hybridMultilevel"/>
    <w:tmpl w:val="8BF00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4"/>
  </w:num>
  <w:num w:numId="6">
    <w:abstractNumId w:val="12"/>
  </w:num>
  <w:num w:numId="7">
    <w:abstractNumId w:val="15"/>
  </w:num>
  <w:num w:numId="8">
    <w:abstractNumId w:val="2"/>
  </w:num>
  <w:num w:numId="9">
    <w:abstractNumId w:val="9"/>
  </w:num>
  <w:num w:numId="10">
    <w:abstractNumId w:val="7"/>
  </w:num>
  <w:num w:numId="11">
    <w:abstractNumId w:val="0"/>
  </w:num>
  <w:num w:numId="12">
    <w:abstractNumId w:val="5"/>
  </w:num>
  <w:num w:numId="13">
    <w:abstractNumId w:val="6"/>
  </w:num>
  <w:num w:numId="14">
    <w:abstractNumId w:val="14"/>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EFE"/>
    <w:rsid w:val="00006B6F"/>
    <w:rsid w:val="00022DBA"/>
    <w:rsid w:val="000358EA"/>
    <w:rsid w:val="00047D6D"/>
    <w:rsid w:val="0005516C"/>
    <w:rsid w:val="00076F95"/>
    <w:rsid w:val="000A5837"/>
    <w:rsid w:val="000C39A7"/>
    <w:rsid w:val="000C5396"/>
    <w:rsid w:val="000D406D"/>
    <w:rsid w:val="000F3375"/>
    <w:rsid w:val="001152FE"/>
    <w:rsid w:val="00161011"/>
    <w:rsid w:val="00165B07"/>
    <w:rsid w:val="001729AD"/>
    <w:rsid w:val="00192C7A"/>
    <w:rsid w:val="00193C42"/>
    <w:rsid w:val="001A5397"/>
    <w:rsid w:val="001B79BA"/>
    <w:rsid w:val="001C00BD"/>
    <w:rsid w:val="001D7D26"/>
    <w:rsid w:val="001E604A"/>
    <w:rsid w:val="001F377A"/>
    <w:rsid w:val="00227280"/>
    <w:rsid w:val="00247320"/>
    <w:rsid w:val="00247A3A"/>
    <w:rsid w:val="0025030E"/>
    <w:rsid w:val="0028219F"/>
    <w:rsid w:val="00292D2D"/>
    <w:rsid w:val="0029413D"/>
    <w:rsid w:val="00294C62"/>
    <w:rsid w:val="002E2A94"/>
    <w:rsid w:val="002F4224"/>
    <w:rsid w:val="002F4972"/>
    <w:rsid w:val="0036070D"/>
    <w:rsid w:val="00380CB7"/>
    <w:rsid w:val="0038728E"/>
    <w:rsid w:val="00393017"/>
    <w:rsid w:val="003C0399"/>
    <w:rsid w:val="003C3BEE"/>
    <w:rsid w:val="003D2E69"/>
    <w:rsid w:val="003F3A23"/>
    <w:rsid w:val="00402ED1"/>
    <w:rsid w:val="004228DA"/>
    <w:rsid w:val="004440D9"/>
    <w:rsid w:val="004502EC"/>
    <w:rsid w:val="004525EE"/>
    <w:rsid w:val="004631DE"/>
    <w:rsid w:val="004811E7"/>
    <w:rsid w:val="00483D17"/>
    <w:rsid w:val="004845CF"/>
    <w:rsid w:val="0049284E"/>
    <w:rsid w:val="004A76AE"/>
    <w:rsid w:val="004B2A06"/>
    <w:rsid w:val="004C6208"/>
    <w:rsid w:val="004C7B2D"/>
    <w:rsid w:val="004D7388"/>
    <w:rsid w:val="004E0F8D"/>
    <w:rsid w:val="004F3719"/>
    <w:rsid w:val="00511EE0"/>
    <w:rsid w:val="005156C2"/>
    <w:rsid w:val="00517209"/>
    <w:rsid w:val="0052172C"/>
    <w:rsid w:val="0053148A"/>
    <w:rsid w:val="005502BE"/>
    <w:rsid w:val="00551CC0"/>
    <w:rsid w:val="00557757"/>
    <w:rsid w:val="005660D7"/>
    <w:rsid w:val="00567D98"/>
    <w:rsid w:val="00572D7A"/>
    <w:rsid w:val="005C0863"/>
    <w:rsid w:val="005D1D71"/>
    <w:rsid w:val="005E01AD"/>
    <w:rsid w:val="00606F89"/>
    <w:rsid w:val="00610321"/>
    <w:rsid w:val="00642365"/>
    <w:rsid w:val="00650923"/>
    <w:rsid w:val="00653AF9"/>
    <w:rsid w:val="0066682C"/>
    <w:rsid w:val="006911EA"/>
    <w:rsid w:val="006A5D0B"/>
    <w:rsid w:val="006B6CAF"/>
    <w:rsid w:val="006E4E37"/>
    <w:rsid w:val="00717BF2"/>
    <w:rsid w:val="0072138F"/>
    <w:rsid w:val="007454FC"/>
    <w:rsid w:val="0074730B"/>
    <w:rsid w:val="00762E63"/>
    <w:rsid w:val="00765D84"/>
    <w:rsid w:val="00765F22"/>
    <w:rsid w:val="00767A80"/>
    <w:rsid w:val="00771BCE"/>
    <w:rsid w:val="00784D25"/>
    <w:rsid w:val="007A2E45"/>
    <w:rsid w:val="007A3A76"/>
    <w:rsid w:val="007C337E"/>
    <w:rsid w:val="007D23F4"/>
    <w:rsid w:val="007D4E4B"/>
    <w:rsid w:val="007F4BB7"/>
    <w:rsid w:val="00826B70"/>
    <w:rsid w:val="008326BC"/>
    <w:rsid w:val="008358D8"/>
    <w:rsid w:val="00855279"/>
    <w:rsid w:val="00856313"/>
    <w:rsid w:val="00856F19"/>
    <w:rsid w:val="0086293C"/>
    <w:rsid w:val="00866FA4"/>
    <w:rsid w:val="008952AF"/>
    <w:rsid w:val="008A14DF"/>
    <w:rsid w:val="008A1DA7"/>
    <w:rsid w:val="008A1FC8"/>
    <w:rsid w:val="008B2572"/>
    <w:rsid w:val="008B5841"/>
    <w:rsid w:val="008B6E43"/>
    <w:rsid w:val="008C6ED3"/>
    <w:rsid w:val="008E09EF"/>
    <w:rsid w:val="008F2B9C"/>
    <w:rsid w:val="009034C5"/>
    <w:rsid w:val="0091160C"/>
    <w:rsid w:val="00925970"/>
    <w:rsid w:val="00943BDE"/>
    <w:rsid w:val="009459A8"/>
    <w:rsid w:val="009805D0"/>
    <w:rsid w:val="00985D11"/>
    <w:rsid w:val="00995E29"/>
    <w:rsid w:val="00996994"/>
    <w:rsid w:val="009D2AFB"/>
    <w:rsid w:val="009F0810"/>
    <w:rsid w:val="00A00EB5"/>
    <w:rsid w:val="00A02D17"/>
    <w:rsid w:val="00A05128"/>
    <w:rsid w:val="00A058A6"/>
    <w:rsid w:val="00A20EAD"/>
    <w:rsid w:val="00A30526"/>
    <w:rsid w:val="00A36504"/>
    <w:rsid w:val="00A43996"/>
    <w:rsid w:val="00A60DC2"/>
    <w:rsid w:val="00A70D10"/>
    <w:rsid w:val="00A97731"/>
    <w:rsid w:val="00AA00CF"/>
    <w:rsid w:val="00AA3CE3"/>
    <w:rsid w:val="00AA4FE5"/>
    <w:rsid w:val="00AB314F"/>
    <w:rsid w:val="00AD0B0C"/>
    <w:rsid w:val="00AD2AFB"/>
    <w:rsid w:val="00AF3EFE"/>
    <w:rsid w:val="00AF6AAE"/>
    <w:rsid w:val="00B167A8"/>
    <w:rsid w:val="00B21578"/>
    <w:rsid w:val="00B31E0E"/>
    <w:rsid w:val="00B32C27"/>
    <w:rsid w:val="00B511DD"/>
    <w:rsid w:val="00B52996"/>
    <w:rsid w:val="00B709BD"/>
    <w:rsid w:val="00BA0049"/>
    <w:rsid w:val="00BA5642"/>
    <w:rsid w:val="00BA5DC0"/>
    <w:rsid w:val="00BC075B"/>
    <w:rsid w:val="00C07392"/>
    <w:rsid w:val="00C137BF"/>
    <w:rsid w:val="00C20A03"/>
    <w:rsid w:val="00C43058"/>
    <w:rsid w:val="00C471AC"/>
    <w:rsid w:val="00C643D6"/>
    <w:rsid w:val="00C72112"/>
    <w:rsid w:val="00C7575F"/>
    <w:rsid w:val="00C86FAB"/>
    <w:rsid w:val="00C931AD"/>
    <w:rsid w:val="00CC1A74"/>
    <w:rsid w:val="00CC780E"/>
    <w:rsid w:val="00CC79A7"/>
    <w:rsid w:val="00CF28AC"/>
    <w:rsid w:val="00D01C6F"/>
    <w:rsid w:val="00D03554"/>
    <w:rsid w:val="00D33DF9"/>
    <w:rsid w:val="00D361A4"/>
    <w:rsid w:val="00D62F8D"/>
    <w:rsid w:val="00D91A10"/>
    <w:rsid w:val="00D93D93"/>
    <w:rsid w:val="00DB5F8C"/>
    <w:rsid w:val="00DB6E73"/>
    <w:rsid w:val="00DC7F5D"/>
    <w:rsid w:val="00DD007F"/>
    <w:rsid w:val="00DE0B37"/>
    <w:rsid w:val="00DE138D"/>
    <w:rsid w:val="00DE42D9"/>
    <w:rsid w:val="00DF2CAC"/>
    <w:rsid w:val="00E00AA8"/>
    <w:rsid w:val="00E0698D"/>
    <w:rsid w:val="00E318FA"/>
    <w:rsid w:val="00E61C0B"/>
    <w:rsid w:val="00E80699"/>
    <w:rsid w:val="00E9678F"/>
    <w:rsid w:val="00EB52FC"/>
    <w:rsid w:val="00EC6D9E"/>
    <w:rsid w:val="00EF67A3"/>
    <w:rsid w:val="00F1080F"/>
    <w:rsid w:val="00F23888"/>
    <w:rsid w:val="00F40C63"/>
    <w:rsid w:val="00F76C15"/>
    <w:rsid w:val="00F809B1"/>
    <w:rsid w:val="00F90DEC"/>
    <w:rsid w:val="00FB7289"/>
    <w:rsid w:val="00FC04F5"/>
    <w:rsid w:val="00FF5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2">
    <w:name w:val="heading 2"/>
    <w:basedOn w:val="Parastais"/>
    <w:next w:val="Parastais"/>
    <w:link w:val="Virsraksts2Rakstz"/>
    <w:uiPriority w:val="9"/>
    <w:semiHidden/>
    <w:unhideWhenUsed/>
    <w:qFormat/>
    <w:rsid w:val="009116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semiHidden/>
    <w:rsid w:val="00AF3EFE"/>
    <w:rPr>
      <w:sz w:val="20"/>
      <w:szCs w:val="20"/>
    </w:rPr>
  </w:style>
  <w:style w:type="character" w:customStyle="1" w:styleId="KomentratekstsRakstz">
    <w:name w:val="Komentāra teksts Rakstz."/>
    <w:basedOn w:val="Noklusjumarindkopasfonts"/>
    <w:link w:val="Komentrateksts"/>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customStyle="1" w:styleId="naisc">
    <w:name w:val="naisc"/>
    <w:basedOn w:val="Parastais"/>
    <w:rsid w:val="004C6208"/>
    <w:pPr>
      <w:spacing w:before="100" w:beforeAutospacing="1" w:after="100" w:afterAutospacing="1"/>
    </w:pPr>
    <w:rPr>
      <w:lang w:eastAsia="lv-LV"/>
    </w:rPr>
  </w:style>
  <w:style w:type="character" w:styleId="Komentraatsauce">
    <w:name w:val="annotation reference"/>
    <w:basedOn w:val="Noklusjumarindkopasfonts"/>
    <w:semiHidden/>
    <w:rsid w:val="00AF6AAE"/>
    <w:rPr>
      <w:sz w:val="16"/>
      <w:szCs w:val="16"/>
    </w:rPr>
  </w:style>
  <w:style w:type="character" w:styleId="Izteiksmgs">
    <w:name w:val="Strong"/>
    <w:basedOn w:val="Noklusjumarindkopasfonts"/>
    <w:uiPriority w:val="22"/>
    <w:qFormat/>
    <w:rsid w:val="002F4224"/>
    <w:rPr>
      <w:b/>
      <w:bCs/>
    </w:rPr>
  </w:style>
  <w:style w:type="paragraph" w:customStyle="1" w:styleId="Titrearticle">
    <w:name w:val="Titre article"/>
    <w:basedOn w:val="Parastais"/>
    <w:next w:val="Parastais"/>
    <w:rsid w:val="00985D11"/>
    <w:pPr>
      <w:keepNext/>
      <w:spacing w:before="360" w:after="120"/>
      <w:jc w:val="center"/>
    </w:pPr>
    <w:rPr>
      <w:i/>
      <w:iCs/>
      <w:lang w:val="en-GB" w:eastAsia="fr-BE"/>
    </w:rPr>
  </w:style>
  <w:style w:type="paragraph" w:customStyle="1" w:styleId="naiskr">
    <w:name w:val="naiskr"/>
    <w:basedOn w:val="Parastais"/>
    <w:rsid w:val="0091160C"/>
    <w:pPr>
      <w:spacing w:before="100" w:beforeAutospacing="1" w:after="100" w:afterAutospacing="1"/>
    </w:pPr>
  </w:style>
  <w:style w:type="paragraph" w:customStyle="1" w:styleId="Body1">
    <w:name w:val="Body 1"/>
    <w:rsid w:val="0091160C"/>
    <w:pPr>
      <w:spacing w:after="0" w:line="240" w:lineRule="auto"/>
    </w:pPr>
    <w:rPr>
      <w:rFonts w:ascii="Helvetica" w:eastAsia="ヒラギノ角ゴ Pro W3" w:hAnsi="Helvetica" w:cs="Times New Roman"/>
      <w:color w:val="000000"/>
      <w:sz w:val="24"/>
      <w:szCs w:val="20"/>
      <w:lang w:val="en-US" w:eastAsia="lv-LV"/>
    </w:rPr>
  </w:style>
  <w:style w:type="character" w:customStyle="1" w:styleId="Virsraksts2Rakstz">
    <w:name w:val="Virsraksts 2 Rakstz."/>
    <w:basedOn w:val="Noklusjumarindkopasfonts"/>
    <w:link w:val="Virsraksts2"/>
    <w:uiPriority w:val="9"/>
    <w:semiHidden/>
    <w:rsid w:val="009116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875544">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031226143">
      <w:bodyDiv w:val="1"/>
      <w:marLeft w:val="0"/>
      <w:marRight w:val="0"/>
      <w:marTop w:val="0"/>
      <w:marBottom w:val="0"/>
      <w:divBdr>
        <w:top w:val="none" w:sz="0" w:space="0" w:color="auto"/>
        <w:left w:val="none" w:sz="0" w:space="0" w:color="auto"/>
        <w:bottom w:val="none" w:sz="0" w:space="0" w:color="auto"/>
        <w:right w:val="none" w:sz="0" w:space="0" w:color="auto"/>
      </w:divBdr>
    </w:div>
    <w:div w:id="1070427668">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20378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tol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8F25-D744-406A-BD62-F3A6DE73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Pages>
  <Words>3956</Words>
  <Characters>2256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Latvijas nacionālajām pozīcijām par Eiropas Savienības Konkurētspējas ministru padomes 2011. gada 5.–6. decembra sanāksmē izskatāmajiem jautājumiem</vt:lpstr>
      <vt:lpstr/>
    </vt:vector>
  </TitlesOfParts>
  <Company>Tieslietu Ministrija</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nacionālajām pozīcijām par Eiropas Savienības Konkurētspējas ministru padomes 2011. gada 5.–6. decembra sanāksmē izskatāmajiem jautājumiem</dc:title>
  <dc:subject>Informatīvais ziņojums</dc:subject>
  <dc:creator>Dace Vītola</dc:creator>
  <cp:keywords/>
  <dc:description>Dace.Vitola@tm.gov.lv; 67036913 </dc:description>
  <cp:lastModifiedBy>as1501</cp:lastModifiedBy>
  <cp:revision>99</cp:revision>
  <cp:lastPrinted>2010-11-26T14:08:00Z</cp:lastPrinted>
  <dcterms:created xsi:type="dcterms:W3CDTF">2010-05-27T12:54:00Z</dcterms:created>
  <dcterms:modified xsi:type="dcterms:W3CDTF">2011-11-28T08:43:00Z</dcterms:modified>
</cp:coreProperties>
</file>