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3B" w:rsidRPr="00D65F29" w:rsidRDefault="00CD373B" w:rsidP="00CD373B">
      <w:pPr>
        <w:spacing w:before="0" w:beforeAutospacing="0" w:after="0" w:afterAutospacing="0"/>
        <w:jc w:val="center"/>
        <w:rPr>
          <w:b/>
        </w:rPr>
      </w:pPr>
      <w:r w:rsidRPr="00D65F29">
        <w:rPr>
          <w:b/>
          <w:bCs/>
        </w:rPr>
        <w:t xml:space="preserve">Ministru kabineta noteikumu projekta </w:t>
      </w:r>
      <w:r w:rsidRPr="00D65F29">
        <w:rPr>
          <w:b/>
        </w:rPr>
        <w:t>„</w:t>
      </w:r>
      <w:r w:rsidR="00774648" w:rsidRPr="00D65F29">
        <w:rPr>
          <w:b/>
          <w:bCs/>
        </w:rPr>
        <w:t>Grozījumi Ministru kabineta 2010.gada 10.augusta noteikumos Nr.766 „Noteikumi par darbības programmas „Infrastruktūra un pakalpojumi” papildinājuma 3.2.2.1.1.apakšaktivitātes „Informācijas sistēmu un elektronisko pakalpojumu attīstība” projektu iesniegumu atlases otro kārtu”</w:t>
      </w:r>
      <w:r w:rsidRPr="00D65F29">
        <w:rPr>
          <w:b/>
        </w:rPr>
        <w:t>”</w:t>
      </w:r>
    </w:p>
    <w:p w:rsidR="00D65F29" w:rsidRPr="00A425CF" w:rsidRDefault="009764BA" w:rsidP="00A425CF">
      <w:pPr>
        <w:spacing w:before="0" w:beforeAutospacing="0" w:after="0" w:afterAutospacing="0"/>
        <w:jc w:val="center"/>
        <w:rPr>
          <w:b/>
        </w:rPr>
      </w:pPr>
      <w:r w:rsidRPr="00D65F29">
        <w:rPr>
          <w:b/>
        </w:rPr>
        <w:t xml:space="preserve">sākotnējās ietekmes novērtējuma </w:t>
      </w:r>
      <w:smartTag w:uri="schemas-tilde-lv/tildestengine" w:element="veidnes">
        <w:smartTagPr>
          <w:attr w:name="text" w:val="ziņojums"/>
          <w:attr w:name="baseform" w:val="ziņojums"/>
          <w:attr w:name="id" w:val="-1"/>
        </w:smartTagPr>
        <w:r w:rsidRPr="00D65F29">
          <w:rPr>
            <w:b/>
          </w:rPr>
          <w:t>ziņojums</w:t>
        </w:r>
      </w:smartTag>
      <w:r w:rsidRPr="00D65F29">
        <w:rPr>
          <w:b/>
        </w:rPr>
        <w:t xml:space="preserve"> (anotācija)</w:t>
      </w: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244"/>
      </w:tblGrid>
      <w:tr w:rsidR="00BC04C1" w:rsidRPr="00542F93" w:rsidTr="00D13399">
        <w:tc>
          <w:tcPr>
            <w:tcW w:w="9077" w:type="dxa"/>
            <w:gridSpan w:val="3"/>
            <w:vAlign w:val="center"/>
          </w:tcPr>
          <w:p w:rsidR="00BC04C1" w:rsidRPr="00D65F29" w:rsidRDefault="00BC04C1" w:rsidP="007B3198">
            <w:pPr>
              <w:pStyle w:val="naisnod"/>
              <w:spacing w:before="0" w:after="0"/>
            </w:pPr>
            <w:r w:rsidRPr="00D65F29">
              <w:rPr>
                <w:bCs w:val="0"/>
              </w:rPr>
              <w:t>I. Tiesību akta projekta izstrādes nepieciešamība</w:t>
            </w:r>
          </w:p>
        </w:tc>
      </w:tr>
      <w:tr w:rsidR="00BC04C1" w:rsidRPr="00542F93" w:rsidTr="00D13399">
        <w:trPr>
          <w:trHeight w:val="467"/>
        </w:trPr>
        <w:tc>
          <w:tcPr>
            <w:tcW w:w="550" w:type="dxa"/>
          </w:tcPr>
          <w:p w:rsidR="00BC04C1" w:rsidRPr="00542F93" w:rsidRDefault="00BC04C1" w:rsidP="007B3198">
            <w:pPr>
              <w:pStyle w:val="naiskr"/>
              <w:spacing w:before="0" w:after="0"/>
            </w:pPr>
            <w:r w:rsidRPr="00542F93">
              <w:t>1.</w:t>
            </w:r>
          </w:p>
        </w:tc>
        <w:tc>
          <w:tcPr>
            <w:tcW w:w="3283" w:type="dxa"/>
          </w:tcPr>
          <w:p w:rsidR="00BC04C1" w:rsidRDefault="00BC04C1" w:rsidP="00980A89">
            <w:pPr>
              <w:jc w:val="both"/>
            </w:pPr>
            <w:r>
              <w:t>Pamatojums</w:t>
            </w:r>
          </w:p>
        </w:tc>
        <w:tc>
          <w:tcPr>
            <w:tcW w:w="5244" w:type="dxa"/>
          </w:tcPr>
          <w:p w:rsidR="00BC04C1" w:rsidRPr="005E2EEE" w:rsidRDefault="00BC04C1" w:rsidP="009B6181">
            <w:pPr>
              <w:pStyle w:val="naiskr"/>
              <w:spacing w:before="0" w:after="0"/>
              <w:ind w:left="102" w:right="142"/>
              <w:jc w:val="both"/>
              <w:rPr>
                <w:rFonts w:ascii="Verdana" w:hAnsi="Verdana"/>
                <w:b/>
                <w:bCs/>
                <w:sz w:val="28"/>
                <w:szCs w:val="28"/>
              </w:rPr>
            </w:pPr>
            <w:r w:rsidRPr="00980A89">
              <w:rPr>
                <w:iCs/>
              </w:rPr>
              <w:t>Ministru kabineta noteikumu projektu „Grozījumi Ministru kabineta 2010.gada 10.augusta noteikumos Nr.766 „Noteikumi par darbības programmas „Infrastruktūra un pakalpojumi” papildinājuma 3.2.2.1.1.apakšaktivitātes „Informācijas sistēmu un elektronisko pakalpojumu attīstība” projektu iesniegumu atlases otro kārtu”” (turpmāk – noteikumu projekts) Vides aizsardzības un reģionālās attīstības ministrija</w:t>
            </w:r>
            <w:r w:rsidR="00DF7BC6">
              <w:rPr>
                <w:iCs/>
              </w:rPr>
              <w:t xml:space="preserve"> (turpmāk-VARAM)</w:t>
            </w:r>
            <w:r w:rsidRPr="00980A89">
              <w:rPr>
                <w:iCs/>
              </w:rPr>
              <w:t xml:space="preserve"> izstrādājusi saskaņā ar Eiropas Savienības struktūrfondu un Kohēzijas fonda vadības likuma 18.panta 10.punktu, Ministru kabineta 2010.gada 22.novembra rīkojum</w:t>
            </w:r>
            <w:r w:rsidR="000D6B90" w:rsidRPr="00980A89">
              <w:rPr>
                <w:iCs/>
              </w:rPr>
              <w:t>a</w:t>
            </w:r>
            <w:r w:rsidRPr="00980A89">
              <w:rPr>
                <w:iCs/>
              </w:rPr>
              <w:t xml:space="preserve"> Nr.676 „Par Reģionālās attīstības un pašvaldību lietu ministrijas likvidācijas nodrošināšanu” 1.</w:t>
            </w:r>
            <w:r w:rsidR="00B64B68">
              <w:rPr>
                <w:iCs/>
              </w:rPr>
              <w:t xml:space="preserve"> </w:t>
            </w:r>
            <w:r w:rsidRPr="00980A89">
              <w:rPr>
                <w:iCs/>
              </w:rPr>
              <w:t>un 8.punktu</w:t>
            </w:r>
            <w:r w:rsidR="008D4A5E" w:rsidRPr="00980A89">
              <w:rPr>
                <w:iCs/>
              </w:rPr>
              <w:t>,</w:t>
            </w:r>
            <w:r w:rsidR="000D6B90" w:rsidRPr="00980A89">
              <w:rPr>
                <w:iCs/>
              </w:rPr>
              <w:t xml:space="preserve"> Ministru kabineta 2011.gada 15.februāra protokollēmuma</w:t>
            </w:r>
            <w:r w:rsidR="0072740A" w:rsidRPr="00980A89">
              <w:rPr>
                <w:iCs/>
              </w:rPr>
              <w:t xml:space="preserve"> „Informatīvais ziņojums „Par Latvijas gatavošanos prezidentūrai Eiropas Savienības Padomē 2015.gadā. Paveiktais 2010.gadā””</w:t>
            </w:r>
            <w:r w:rsidR="000D6B90" w:rsidRPr="00980A89">
              <w:rPr>
                <w:iCs/>
              </w:rPr>
              <w:t xml:space="preserve"> (Nr.10 57.§) 5.1.apakšpunktu</w:t>
            </w:r>
            <w:r w:rsidR="008D4A5E" w:rsidRPr="00980A89">
              <w:rPr>
                <w:iCs/>
              </w:rPr>
              <w:t>,</w:t>
            </w:r>
            <w:r w:rsidR="00725E87" w:rsidRPr="00980A89">
              <w:rPr>
                <w:iCs/>
              </w:rPr>
              <w:t xml:space="preserve"> Ministru kabineta 2011.gada </w:t>
            </w:r>
            <w:r w:rsidR="00E236C6" w:rsidRPr="00980A89">
              <w:rPr>
                <w:iCs/>
              </w:rPr>
              <w:t>14.</w:t>
            </w:r>
            <w:r w:rsidR="00725E87" w:rsidRPr="00980A89">
              <w:rPr>
                <w:iCs/>
              </w:rPr>
              <w:t>jūnija protokollēmuma</w:t>
            </w:r>
            <w:r w:rsidR="0072740A" w:rsidRPr="00980A89">
              <w:rPr>
                <w:iCs/>
              </w:rPr>
              <w:t xml:space="preserve"> „Informatīvais ziņojums „Par maksimālajām konsultāciju pakalpojumu likmēm, kuras piemērojamas darbības programmas „Infrastruktūra un pakalpojumi” papildinājuma 3.2.2.1.1.apakšaktivitātes „Informācijas sistēmu un elektronisko pakalpojumu attīstība" projektu iepirkumos”” (Nr.36 40.§) (turpmāk – Ministru kabineta 2011.gada 14.jūnija protokollēmums Nr.36)</w:t>
            </w:r>
            <w:r w:rsidR="008D4A5E" w:rsidRPr="00980A89">
              <w:rPr>
                <w:iCs/>
              </w:rPr>
              <w:t xml:space="preserve"> </w:t>
            </w:r>
            <w:r w:rsidR="000B4B94" w:rsidRPr="00980A89">
              <w:rPr>
                <w:iCs/>
              </w:rPr>
              <w:t>2. un 3.</w:t>
            </w:r>
            <w:r w:rsidR="00D40339">
              <w:rPr>
                <w:iCs/>
              </w:rPr>
              <w:t>punktu</w:t>
            </w:r>
            <w:r w:rsidR="009B6181">
              <w:rPr>
                <w:iCs/>
              </w:rPr>
              <w:t>.</w:t>
            </w:r>
          </w:p>
        </w:tc>
      </w:tr>
      <w:tr w:rsidR="00BC04C1" w:rsidRPr="00542F93" w:rsidTr="00D13399">
        <w:trPr>
          <w:trHeight w:val="523"/>
        </w:trPr>
        <w:tc>
          <w:tcPr>
            <w:tcW w:w="550" w:type="dxa"/>
          </w:tcPr>
          <w:p w:rsidR="00BC04C1" w:rsidRPr="00542F93" w:rsidRDefault="00BC04C1" w:rsidP="007B3198">
            <w:pPr>
              <w:pStyle w:val="naiskr"/>
              <w:spacing w:before="0" w:after="0"/>
            </w:pPr>
            <w:r w:rsidRPr="00542F93">
              <w:t>2.</w:t>
            </w:r>
          </w:p>
        </w:tc>
        <w:tc>
          <w:tcPr>
            <w:tcW w:w="3283" w:type="dxa"/>
          </w:tcPr>
          <w:p w:rsidR="00BC04C1" w:rsidRDefault="00BC04C1" w:rsidP="00980A89">
            <w:pPr>
              <w:jc w:val="both"/>
            </w:pPr>
            <w:r>
              <w:t>Pašreizējā situācija un problēmas</w:t>
            </w:r>
          </w:p>
        </w:tc>
        <w:tc>
          <w:tcPr>
            <w:tcW w:w="5244" w:type="dxa"/>
          </w:tcPr>
          <w:p w:rsidR="00BC04C1" w:rsidRDefault="00BC04C1" w:rsidP="00980A89">
            <w:pPr>
              <w:pStyle w:val="naiskr"/>
              <w:spacing w:before="0" w:after="0"/>
              <w:ind w:left="102" w:right="142"/>
              <w:jc w:val="both"/>
              <w:rPr>
                <w:iCs/>
              </w:rPr>
            </w:pPr>
            <w:r w:rsidRPr="00980A89">
              <w:rPr>
                <w:iCs/>
              </w:rPr>
              <w:t>Saskaņā ar Ministru kabineta 2010.gada 22.novembra rīkojum</w:t>
            </w:r>
            <w:r w:rsidR="00725E87" w:rsidRPr="00980A89">
              <w:rPr>
                <w:iCs/>
              </w:rPr>
              <w:t>u</w:t>
            </w:r>
            <w:r w:rsidRPr="00980A89">
              <w:rPr>
                <w:iCs/>
              </w:rPr>
              <w:t xml:space="preserve"> Nr.676 „Par Reģionālās attīstības un pašvaldību lietu ministrijas likvidācijas nodrošināšanu” līdz 2010.gada 31.decembrim tiek likvidēta Reģionālās attīstības un pašvaldību lietu ministrija un pievienota Vides ministrijai. Savukārt ar 2011.gada 1.janvāri Vides ministrija ir Reģionālās attīstības un pašvaldību lietu ministrijas funkciju, pārvaldes uzdevumu, tiesību, saistību, mantas, finanšu līdzekļu, lietvedības un arhīva pārņēmēja.</w:t>
            </w:r>
          </w:p>
          <w:p w:rsidR="00725E87" w:rsidRPr="00980A89" w:rsidRDefault="00BC04C1" w:rsidP="00980A89">
            <w:pPr>
              <w:pStyle w:val="naiskr"/>
              <w:spacing w:before="0" w:after="0"/>
              <w:ind w:left="102" w:right="142"/>
              <w:jc w:val="both"/>
              <w:rPr>
                <w:iCs/>
              </w:rPr>
            </w:pPr>
            <w:r w:rsidRPr="00980A89">
              <w:rPr>
                <w:iCs/>
              </w:rPr>
              <w:t xml:space="preserve">Tādējādi, lai sakārtotu tiesību normu sistēmu atbilstoši faktiskajai situācijai, nepieciešams veikt </w:t>
            </w:r>
            <w:r w:rsidRPr="00980A89">
              <w:rPr>
                <w:iCs/>
              </w:rPr>
              <w:lastRenderedPageBreak/>
              <w:t>attiecīgus grozījumus tiesību aktos, kuros ir ietver</w:t>
            </w:r>
            <w:r w:rsidR="00B64B68">
              <w:rPr>
                <w:iCs/>
              </w:rPr>
              <w:t>t</w:t>
            </w:r>
            <w:r w:rsidRPr="00980A89">
              <w:rPr>
                <w:iCs/>
              </w:rPr>
              <w:t>as Reģionālās attīstības un pašvaldību lietu ministrijas funkcijas, uzdevumi un kompetence.</w:t>
            </w:r>
          </w:p>
          <w:p w:rsidR="00A15F7B" w:rsidRPr="00214F09" w:rsidRDefault="00214F09" w:rsidP="00214F09">
            <w:pPr>
              <w:pStyle w:val="naisf"/>
              <w:spacing w:before="0" w:beforeAutospacing="0" w:after="0" w:afterAutospacing="0"/>
              <w:ind w:left="74" w:right="113"/>
              <w:rPr>
                <w:lang w:val="de-DE"/>
              </w:rPr>
            </w:pPr>
            <w:r w:rsidRPr="00C74A5F">
              <w:rPr>
                <w:iCs/>
                <w:lang w:val="lv-LV"/>
              </w:rPr>
              <w:t>Atbilstoši Ministru kabineta 2011.gada 14.jūnija protokollēmuma Nr.36 2. un 3. punktam</w:t>
            </w:r>
            <w:r w:rsidRPr="00D11D82">
              <w:rPr>
                <w:iCs/>
                <w:lang w:val="lv-LV"/>
              </w:rPr>
              <w:t xml:space="preserve"> </w:t>
            </w:r>
            <w:r>
              <w:rPr>
                <w:lang w:val="de-DE"/>
              </w:rPr>
              <w:t xml:space="preserve">nepieciešams papildināt </w:t>
            </w:r>
            <w:r w:rsidRPr="003A6AD8">
              <w:rPr>
                <w:bCs/>
                <w:lang w:val="de-DE"/>
              </w:rPr>
              <w:t>Ministru kabineta 2008.gada 21.jūlija noteikumu</w:t>
            </w:r>
            <w:r>
              <w:rPr>
                <w:bCs/>
                <w:lang w:val="de-DE"/>
              </w:rPr>
              <w:t>s</w:t>
            </w:r>
            <w:r w:rsidRPr="003A6AD8">
              <w:rPr>
                <w:bCs/>
                <w:lang w:val="de-DE"/>
              </w:rPr>
              <w:t xml:space="preserve"> Nr.576 „Noteikumi par darbības programmas „Infrastruktūra un pakalpojumi” papildinājuma 3.2.2.1.1.apakšaktivitāti „Informācijas sistēmu un elektronisko pakalpojumu attīstība”” (turpmāk - noteikumi)</w:t>
            </w:r>
            <w:r w:rsidRPr="00670FC5">
              <w:rPr>
                <w:lang w:val="lv-LV"/>
              </w:rPr>
              <w:t xml:space="preserve"> </w:t>
            </w:r>
            <w:r w:rsidRPr="00670FC5">
              <w:rPr>
                <w:lang w:val="de-DE"/>
              </w:rPr>
              <w:t>ar punktiem, kas attiecas uz iepirkumu veikšanu un konsultāciju pakalpojumu likmju apmēru noteikšanu projektu ietvaros.</w:t>
            </w:r>
          </w:p>
          <w:p w:rsidR="00F155F6" w:rsidRPr="00980A89" w:rsidRDefault="00D40339" w:rsidP="00A15F7B">
            <w:pPr>
              <w:pStyle w:val="naiskr"/>
              <w:spacing w:before="0" w:after="0"/>
              <w:ind w:left="102" w:right="142"/>
              <w:jc w:val="both"/>
              <w:rPr>
                <w:iCs/>
              </w:rPr>
            </w:pPr>
            <w:r>
              <w:rPr>
                <w:iCs/>
              </w:rPr>
              <w:t>N</w:t>
            </w:r>
            <w:r w:rsidR="008962A1" w:rsidRPr="00980A89">
              <w:rPr>
                <w:iCs/>
              </w:rPr>
              <w:t>epieciešams</w:t>
            </w:r>
            <w:r w:rsidR="00B50A47" w:rsidRPr="00980A89">
              <w:rPr>
                <w:iCs/>
              </w:rPr>
              <w:t xml:space="preserve"> precizēt normas, kas attiecas uz ieņēmumus nesošiem projektiem</w:t>
            </w:r>
            <w:r w:rsidR="009F3E14">
              <w:rPr>
                <w:iCs/>
              </w:rPr>
              <w:t xml:space="preserve"> un kas paredz, ka projektos nedrīkst paredzēt neto ieņēmumus,</w:t>
            </w:r>
            <w:r w:rsidR="00964098">
              <w:rPr>
                <w:iCs/>
              </w:rPr>
              <w:t xml:space="preserve"> kā arī jāprecizē normas, kas attiecas uz </w:t>
            </w:r>
            <w:r w:rsidR="009F3E14" w:rsidRPr="00E01453">
              <w:rPr>
                <w:iCs/>
              </w:rPr>
              <w:t>p</w:t>
            </w:r>
            <w:r w:rsidR="00964098" w:rsidRPr="00E01453">
              <w:rPr>
                <w:iCs/>
              </w:rPr>
              <w:t>reču un p</w:t>
            </w:r>
            <w:r w:rsidR="009F3E14" w:rsidRPr="00E01453">
              <w:rPr>
                <w:iCs/>
              </w:rPr>
              <w:t>akalpojumu sniegšanas garantijām, nosakot precīzāku regulējumu projekta izmaksu attiecināmībai.</w:t>
            </w:r>
          </w:p>
        </w:tc>
      </w:tr>
      <w:tr w:rsidR="00BC04C1" w:rsidRPr="00542F93" w:rsidTr="00D13399">
        <w:trPr>
          <w:trHeight w:val="517"/>
        </w:trPr>
        <w:tc>
          <w:tcPr>
            <w:tcW w:w="550" w:type="dxa"/>
          </w:tcPr>
          <w:p w:rsidR="00BC04C1" w:rsidRPr="00542F93" w:rsidRDefault="00BC04C1" w:rsidP="007B3198">
            <w:pPr>
              <w:pStyle w:val="naiskr"/>
              <w:spacing w:before="0" w:after="0"/>
            </w:pPr>
            <w:r w:rsidRPr="00542F93">
              <w:lastRenderedPageBreak/>
              <w:t>3.</w:t>
            </w:r>
          </w:p>
        </w:tc>
        <w:tc>
          <w:tcPr>
            <w:tcW w:w="3283" w:type="dxa"/>
          </w:tcPr>
          <w:p w:rsidR="00BC04C1" w:rsidRDefault="00BC04C1" w:rsidP="00980A89">
            <w:pPr>
              <w:jc w:val="both"/>
            </w:pPr>
            <w:r>
              <w:t>Saistītie politikas ietekmes novērtējumi un pētījumi</w:t>
            </w:r>
          </w:p>
        </w:tc>
        <w:tc>
          <w:tcPr>
            <w:tcW w:w="5244" w:type="dxa"/>
          </w:tcPr>
          <w:p w:rsidR="00BC04C1" w:rsidRDefault="00BC04C1" w:rsidP="00DE49DB">
            <w:pPr>
              <w:ind w:left="74"/>
            </w:pPr>
            <w:r>
              <w:t>Nav attiecināms</w:t>
            </w:r>
          </w:p>
        </w:tc>
      </w:tr>
      <w:tr w:rsidR="00BC04C1" w:rsidRPr="00542F93" w:rsidTr="00D13399">
        <w:trPr>
          <w:trHeight w:val="517"/>
        </w:trPr>
        <w:tc>
          <w:tcPr>
            <w:tcW w:w="550" w:type="dxa"/>
          </w:tcPr>
          <w:p w:rsidR="00BC04C1" w:rsidRPr="00542F93" w:rsidRDefault="00BC04C1" w:rsidP="00980A89">
            <w:pPr>
              <w:pStyle w:val="naiskr"/>
              <w:spacing w:before="0" w:after="0"/>
              <w:jc w:val="both"/>
            </w:pPr>
            <w:r w:rsidRPr="00542F93">
              <w:t>4.</w:t>
            </w:r>
          </w:p>
        </w:tc>
        <w:tc>
          <w:tcPr>
            <w:tcW w:w="3283" w:type="dxa"/>
          </w:tcPr>
          <w:p w:rsidR="00BC04C1" w:rsidRDefault="00BC04C1" w:rsidP="00980A89">
            <w:pPr>
              <w:jc w:val="both"/>
            </w:pPr>
            <w:r>
              <w:t>Tiesiskā regulējuma mērķis un būtība</w:t>
            </w:r>
          </w:p>
        </w:tc>
        <w:tc>
          <w:tcPr>
            <w:tcW w:w="5244" w:type="dxa"/>
          </w:tcPr>
          <w:p w:rsidR="003929B8" w:rsidRDefault="003B1797" w:rsidP="000C3AB2">
            <w:pPr>
              <w:pStyle w:val="naisf"/>
              <w:spacing w:before="0" w:beforeAutospacing="0" w:after="0" w:afterAutospacing="0"/>
              <w:ind w:left="74" w:right="113"/>
              <w:rPr>
                <w:lang w:val="lv-LV"/>
              </w:rPr>
            </w:pPr>
            <w:r>
              <w:rPr>
                <w:lang w:val="lv-LV"/>
              </w:rPr>
              <w:t>N</w:t>
            </w:r>
            <w:r w:rsidR="003929B8">
              <w:rPr>
                <w:lang w:val="lv-LV"/>
              </w:rPr>
              <w:t>oteikumos paredzēts veikt šādus grozījumus:</w:t>
            </w:r>
          </w:p>
          <w:p w:rsidR="0078224C" w:rsidRDefault="0078224C" w:rsidP="004D4859">
            <w:pPr>
              <w:pStyle w:val="naisf"/>
              <w:numPr>
                <w:ilvl w:val="0"/>
                <w:numId w:val="1"/>
              </w:numPr>
              <w:spacing w:before="0" w:beforeAutospacing="0" w:after="0" w:afterAutospacing="0"/>
              <w:ind w:left="708" w:right="113" w:hanging="274"/>
              <w:rPr>
                <w:lang w:val="lv-LV"/>
              </w:rPr>
            </w:pPr>
            <w:r>
              <w:rPr>
                <w:lang w:val="lv-LV"/>
              </w:rPr>
              <w:t>Noteikumu</w:t>
            </w:r>
            <w:r w:rsidRPr="008B48B4">
              <w:rPr>
                <w:lang w:val="lv-LV"/>
              </w:rPr>
              <w:t xml:space="preserve"> </w:t>
            </w:r>
            <w:r w:rsidR="003929B8" w:rsidRPr="008B48B4">
              <w:rPr>
                <w:lang w:val="lv-LV"/>
              </w:rPr>
              <w:t xml:space="preserve">visā tekstā </w:t>
            </w:r>
            <w:r w:rsidRPr="008B48B4">
              <w:rPr>
                <w:lang w:val="lv-LV"/>
              </w:rPr>
              <w:t>aizstāt vārdus „Reģionālās attīstības un pašvaldību lietu ministrija”</w:t>
            </w:r>
            <w:r>
              <w:rPr>
                <w:lang w:val="lv-LV"/>
              </w:rPr>
              <w:t xml:space="preserve"> </w:t>
            </w:r>
            <w:r w:rsidRPr="008B48B4">
              <w:rPr>
                <w:lang w:val="lv-LV"/>
              </w:rPr>
              <w:t>ar vārdiem „</w:t>
            </w:r>
            <w:r w:rsidRPr="008B48B4">
              <w:rPr>
                <w:rStyle w:val="Strong"/>
                <w:b w:val="0"/>
                <w:color w:val="000000"/>
                <w:lang w:val="lv-LV"/>
              </w:rPr>
              <w:t>Vides aizsardzības un reģionālās attīstības ministrija</w:t>
            </w:r>
            <w:r w:rsidR="003929B8">
              <w:rPr>
                <w:lang w:val="lv-LV"/>
              </w:rPr>
              <w:t>”;</w:t>
            </w:r>
            <w:r w:rsidRPr="008B48B4">
              <w:rPr>
                <w:lang w:val="lv-LV"/>
              </w:rPr>
              <w:t xml:space="preserve"> </w:t>
            </w:r>
          </w:p>
          <w:p w:rsidR="004D4859" w:rsidRDefault="00CE4BBD" w:rsidP="004D4859">
            <w:pPr>
              <w:pStyle w:val="naisf"/>
              <w:numPr>
                <w:ilvl w:val="0"/>
                <w:numId w:val="1"/>
              </w:numPr>
              <w:spacing w:before="0" w:beforeAutospacing="0" w:after="0" w:afterAutospacing="0"/>
              <w:ind w:left="708" w:right="113" w:hanging="274"/>
              <w:rPr>
                <w:lang w:val="lv-LV"/>
              </w:rPr>
            </w:pPr>
            <w:r>
              <w:rPr>
                <w:lang w:val="lv-LV"/>
              </w:rPr>
              <w:t>P</w:t>
            </w:r>
            <w:r w:rsidR="004D4859">
              <w:rPr>
                <w:lang w:val="lv-LV"/>
              </w:rPr>
              <w:t xml:space="preserve">recizēt </w:t>
            </w:r>
            <w:r w:rsidR="00670FC5">
              <w:rPr>
                <w:lang w:val="lv-LV" w:eastAsia="lv-LV"/>
              </w:rPr>
              <w:t>a</w:t>
            </w:r>
            <w:r w:rsidR="00670FC5" w:rsidRPr="00670FC5">
              <w:rPr>
                <w:lang w:val="lv-LV" w:eastAsia="lv-LV"/>
              </w:rPr>
              <w:t>pakšaktivitātes</w:t>
            </w:r>
            <w:r w:rsidR="004D4859">
              <w:rPr>
                <w:lang w:val="lv-LV" w:eastAsia="lv-LV"/>
              </w:rPr>
              <w:t xml:space="preserve"> </w:t>
            </w:r>
            <w:r w:rsidR="00670FC5" w:rsidRPr="00670FC5">
              <w:rPr>
                <w:lang w:val="lv-LV" w:eastAsia="lv-LV"/>
              </w:rPr>
              <w:t>otrās atlases kārtas ietvaros pieejam</w:t>
            </w:r>
            <w:r w:rsidR="00670FC5">
              <w:rPr>
                <w:lang w:val="lv-LV" w:eastAsia="lv-LV"/>
              </w:rPr>
              <w:t>o</w:t>
            </w:r>
            <w:r w:rsidR="00670FC5" w:rsidRPr="00670FC5">
              <w:rPr>
                <w:lang w:val="lv-LV" w:eastAsia="lv-LV"/>
              </w:rPr>
              <w:t xml:space="preserve"> Eiropas Reģionālās attīstības fonda finansējum</w:t>
            </w:r>
            <w:r w:rsidR="00670FC5">
              <w:rPr>
                <w:lang w:val="lv-LV" w:eastAsia="lv-LV"/>
              </w:rPr>
              <w:t>u;</w:t>
            </w:r>
          </w:p>
          <w:p w:rsidR="009F3E14" w:rsidRPr="009F3E14" w:rsidRDefault="004D4859" w:rsidP="000C3AB2">
            <w:pPr>
              <w:pStyle w:val="naisf"/>
              <w:numPr>
                <w:ilvl w:val="0"/>
                <w:numId w:val="1"/>
              </w:numPr>
              <w:spacing w:before="0" w:beforeAutospacing="0" w:after="0" w:afterAutospacing="0"/>
              <w:ind w:left="708" w:right="113" w:hanging="274"/>
              <w:rPr>
                <w:lang w:val="lv-LV"/>
              </w:rPr>
            </w:pPr>
            <w:r>
              <w:rPr>
                <w:lang w:val="lv-LV" w:eastAsia="lv-LV"/>
              </w:rPr>
              <w:t>Precizēt noteikumu punktu, kas nosaka projekta maksimālo finansējuma apjomu.</w:t>
            </w:r>
            <w:r w:rsidR="003B69EE">
              <w:rPr>
                <w:lang w:val="lv-LV" w:eastAsia="lv-LV"/>
              </w:rPr>
              <w:t xml:space="preserve"> Minētā norma attiecas uz projektiem, par kuru īstenoša</w:t>
            </w:r>
            <w:r w:rsidR="0031103B">
              <w:rPr>
                <w:lang w:val="lv-LV" w:eastAsia="lv-LV"/>
              </w:rPr>
              <w:t>nu vēl nav noslēgtas vienošanās;</w:t>
            </w:r>
          </w:p>
          <w:p w:rsidR="009F3E14" w:rsidRDefault="00CE4BBD" w:rsidP="000C3AB2">
            <w:pPr>
              <w:pStyle w:val="naisf"/>
              <w:numPr>
                <w:ilvl w:val="0"/>
                <w:numId w:val="1"/>
              </w:numPr>
              <w:spacing w:before="0" w:beforeAutospacing="0" w:after="0" w:afterAutospacing="0"/>
              <w:ind w:left="708" w:right="113" w:hanging="274"/>
              <w:rPr>
                <w:lang w:val="lv-LV" w:eastAsia="lv-LV"/>
              </w:rPr>
            </w:pPr>
            <w:r>
              <w:rPr>
                <w:iCs/>
                <w:lang w:val="lv-LV"/>
              </w:rPr>
              <w:t>Iekļaut</w:t>
            </w:r>
            <w:r w:rsidR="009F3E14" w:rsidRPr="009F3E14">
              <w:rPr>
                <w:iCs/>
                <w:lang w:val="lv-LV"/>
              </w:rPr>
              <w:t xml:space="preserve"> normas, kas attiecas uz </w:t>
            </w:r>
            <w:r w:rsidR="009F3E14" w:rsidRPr="009F3E14">
              <w:rPr>
                <w:lang w:val="lv-LV"/>
              </w:rPr>
              <w:t xml:space="preserve">preču un pakalpojumu sniegšanas garantijām, nosakot precīzāku </w:t>
            </w:r>
            <w:r w:rsidR="009F3E14" w:rsidRPr="009F3E14">
              <w:rPr>
                <w:lang w:val="lv-LV" w:eastAsia="lv-LV"/>
              </w:rPr>
              <w:t>regulējumu projekta izmaksu attiecināmība</w:t>
            </w:r>
            <w:r w:rsidR="009F3E14">
              <w:rPr>
                <w:lang w:val="lv-LV" w:eastAsia="lv-LV"/>
              </w:rPr>
              <w:t>i;</w:t>
            </w:r>
          </w:p>
          <w:p w:rsidR="00214F09" w:rsidRPr="00214F09" w:rsidRDefault="00214F09" w:rsidP="00214F09">
            <w:pPr>
              <w:pStyle w:val="naisf"/>
              <w:numPr>
                <w:ilvl w:val="0"/>
                <w:numId w:val="1"/>
              </w:numPr>
              <w:spacing w:before="0" w:beforeAutospacing="0" w:after="0" w:afterAutospacing="0"/>
              <w:ind w:left="708" w:right="113" w:hanging="274"/>
              <w:rPr>
                <w:lang w:val="lv-LV" w:eastAsia="lv-LV"/>
              </w:rPr>
            </w:pPr>
            <w:r w:rsidRPr="00585CA7">
              <w:rPr>
                <w:lang w:val="lv-LV" w:eastAsia="lv-LV"/>
              </w:rPr>
              <w:t>Noteikt, ka sarunu procedūras</w:t>
            </w:r>
            <w:r>
              <w:rPr>
                <w:lang w:val="lv-LV" w:eastAsia="lv-LV"/>
              </w:rPr>
              <w:t xml:space="preserve">, </w:t>
            </w:r>
            <w:r w:rsidRPr="00585CA7">
              <w:rPr>
                <w:lang w:val="lv-LV" w:eastAsia="lv-LV"/>
              </w:rPr>
              <w:t>projektu iepirkumos nav pieļaujamas un izmaksas, kas radušās par sarunu procedūras</w:t>
            </w:r>
            <w:r w:rsidR="007A308B">
              <w:rPr>
                <w:lang w:val="lv-LV" w:eastAsia="lv-LV"/>
              </w:rPr>
              <w:t xml:space="preserve"> </w:t>
            </w:r>
            <w:r w:rsidRPr="00585CA7">
              <w:rPr>
                <w:lang w:val="lv-LV" w:eastAsia="lv-LV"/>
              </w:rPr>
              <w:t>rezultātā iepirktajiem pakalpojumiem, nav attiecināmas</w:t>
            </w:r>
            <w:r>
              <w:rPr>
                <w:lang w:val="lv-LV" w:eastAsia="lv-LV"/>
              </w:rPr>
              <w:t xml:space="preserve">, </w:t>
            </w:r>
            <w:r w:rsidRPr="00585CA7">
              <w:rPr>
                <w:lang w:val="lv-LV" w:eastAsia="lv-LV"/>
              </w:rPr>
              <w:t>izņ</w:t>
            </w:r>
            <w:r>
              <w:rPr>
                <w:lang w:val="lv-LV" w:eastAsia="lv-LV"/>
              </w:rPr>
              <w:t>e</w:t>
            </w:r>
            <w:r w:rsidRPr="00585CA7">
              <w:rPr>
                <w:lang w:val="lv-LV" w:eastAsia="lv-LV"/>
              </w:rPr>
              <w:t>m</w:t>
            </w:r>
            <w:r>
              <w:rPr>
                <w:lang w:val="lv-LV" w:eastAsia="lv-LV"/>
              </w:rPr>
              <w:t>ot gadījumu</w:t>
            </w:r>
            <w:r w:rsidRPr="00585CA7">
              <w:rPr>
                <w:lang w:val="lv-LV" w:eastAsia="lv-LV"/>
              </w:rPr>
              <w:t xml:space="preserve">, ja iepirkuma rezultātā ir noslēgts līgums par tādas programmatūras pilnveidošanu, uz kuru tās autoram ir spēkā esošas </w:t>
            </w:r>
            <w:r>
              <w:rPr>
                <w:lang w:val="lv-LV" w:eastAsia="lv-LV"/>
              </w:rPr>
              <w:t>izņēmuma tiesības (vai autortiesības)</w:t>
            </w:r>
            <w:r w:rsidRPr="00585CA7">
              <w:rPr>
                <w:lang w:val="lv-LV" w:eastAsia="lv-LV"/>
              </w:rPr>
              <w:t xml:space="preserve"> to modificēt, un ja sarunu procedūras</w:t>
            </w:r>
            <w:r>
              <w:rPr>
                <w:lang w:val="lv-LV" w:eastAsia="lv-LV"/>
              </w:rPr>
              <w:t xml:space="preserve">, iepriekš nepublicējot paziņojumu </w:t>
            </w:r>
            <w:r>
              <w:rPr>
                <w:lang w:val="lv-LV" w:eastAsia="lv-LV"/>
              </w:rPr>
              <w:lastRenderedPageBreak/>
              <w:t>par līgumu,</w:t>
            </w:r>
            <w:r w:rsidRPr="00585CA7">
              <w:rPr>
                <w:lang w:val="lv-LV" w:eastAsia="lv-LV"/>
              </w:rPr>
              <w:t xml:space="preserve"> piemērošanai ir saņemts atbildīgās iestādes saskaņojums;</w:t>
            </w:r>
          </w:p>
          <w:p w:rsidR="008468B3" w:rsidRPr="00182121" w:rsidRDefault="008468B3" w:rsidP="00214F09">
            <w:pPr>
              <w:pStyle w:val="naisf"/>
              <w:numPr>
                <w:ilvl w:val="0"/>
                <w:numId w:val="1"/>
              </w:numPr>
              <w:spacing w:before="0" w:beforeAutospacing="0" w:after="0" w:afterAutospacing="0"/>
              <w:ind w:left="708" w:right="113" w:hanging="274"/>
              <w:rPr>
                <w:lang w:val="lv-LV" w:eastAsia="lv-LV"/>
              </w:rPr>
            </w:pPr>
            <w:r w:rsidRPr="003929B8">
              <w:rPr>
                <w:lang w:val="lv-LV" w:eastAsia="lv-LV"/>
              </w:rPr>
              <w:t xml:space="preserve">Noteikt, ka pakalpojumu izmaksas, kuru samaksa veikta, piemērojot cilvēkstundas likmi, nepārsniedz 5% no projekta kopējām tiešajām attiecināmajām izmaksām. </w:t>
            </w:r>
            <w:r w:rsidRPr="00182121">
              <w:rPr>
                <w:lang w:val="lv-LV" w:eastAsia="lv-LV"/>
              </w:rPr>
              <w:t>Nosacījums nav obligāts finansējuma saņēmējiem, kuri nos</w:t>
            </w:r>
            <w:r w:rsidR="004D4859">
              <w:rPr>
                <w:lang w:val="lv-LV" w:eastAsia="lv-LV"/>
              </w:rPr>
              <w:t>lēguši līgumus līdz šo</w:t>
            </w:r>
            <w:r w:rsidRPr="00182121">
              <w:rPr>
                <w:lang w:val="lv-LV" w:eastAsia="lv-LV"/>
              </w:rPr>
              <w:t xml:space="preserve"> grozījumu spēkā stāšanās dienai un kuriem saskaņā ar līguma nosacījumiem bez finansiālas negatīvas ietekmes nav iespējams pārtraukt pakalpojumu saņemšanu un turpmāk tos nepieprasīt;</w:t>
            </w:r>
          </w:p>
          <w:p w:rsidR="008468B3" w:rsidRPr="003929B8" w:rsidRDefault="008468B3" w:rsidP="00214F09">
            <w:pPr>
              <w:pStyle w:val="naisf"/>
              <w:numPr>
                <w:ilvl w:val="0"/>
                <w:numId w:val="1"/>
              </w:numPr>
              <w:spacing w:before="0" w:beforeAutospacing="0" w:after="0" w:afterAutospacing="0"/>
              <w:ind w:left="708" w:right="113" w:hanging="274"/>
              <w:rPr>
                <w:lang w:val="lv-LV" w:eastAsia="lv-LV"/>
              </w:rPr>
            </w:pPr>
            <w:r w:rsidRPr="00182121">
              <w:rPr>
                <w:lang w:val="lv-LV" w:eastAsia="lv-LV"/>
              </w:rPr>
              <w:t xml:space="preserve">Noteikt, ka iepirkumu tehniskās </w:t>
            </w:r>
            <w:r w:rsidRPr="007A308B">
              <w:rPr>
                <w:lang w:val="lv-LV" w:eastAsia="lv-LV"/>
              </w:rPr>
              <w:t>specifikācijas izstrādes izmaksas nepārsniedz 5% no projekta tiešajām attiecināmajām izmaksām. Nosacījums nav obligāts finansējuma saņēmējiem,</w:t>
            </w:r>
            <w:r w:rsidR="004D4859" w:rsidRPr="007A308B">
              <w:rPr>
                <w:lang w:val="lv-LV" w:eastAsia="lv-LV"/>
              </w:rPr>
              <w:t xml:space="preserve"> kuri noslēguši līgumus līdz šo </w:t>
            </w:r>
            <w:r w:rsidRPr="007A308B">
              <w:rPr>
                <w:lang w:val="lv-LV" w:eastAsia="lv-LV"/>
              </w:rPr>
              <w:t>grozījumu spēkā stāšanās dienai un kuriem saskaņā ar līguma nosacījumiem bez finansiālas negatīvas ietekmes nav iespējams pārtraukt pakalpojumu</w:t>
            </w:r>
            <w:r w:rsidRPr="003929B8">
              <w:rPr>
                <w:lang w:val="lv-LV" w:eastAsia="lv-LV"/>
              </w:rPr>
              <w:t xml:space="preserve"> saņemšanu un turpmāk tos nepieprasīt</w:t>
            </w:r>
            <w:r w:rsidRPr="00182121">
              <w:rPr>
                <w:lang w:val="lv-LV" w:eastAsia="lv-LV"/>
              </w:rPr>
              <w:t>;</w:t>
            </w:r>
          </w:p>
          <w:p w:rsidR="003929B8" w:rsidRPr="003929B8" w:rsidRDefault="000905D0" w:rsidP="00214F09">
            <w:pPr>
              <w:pStyle w:val="naisf"/>
              <w:numPr>
                <w:ilvl w:val="0"/>
                <w:numId w:val="1"/>
              </w:numPr>
              <w:spacing w:before="0" w:beforeAutospacing="0" w:after="0" w:afterAutospacing="0"/>
              <w:ind w:left="708" w:right="113" w:hanging="274"/>
              <w:rPr>
                <w:lang w:val="lv-LV"/>
              </w:rPr>
            </w:pPr>
            <w:r>
              <w:rPr>
                <w:lang w:val="lv-LV" w:eastAsia="lv-LV"/>
              </w:rPr>
              <w:t>Līgumos, kuros samaksa tiek veikta, pamatojoties uz nostrādāto stundu skaitu, n</w:t>
            </w:r>
            <w:r w:rsidR="003929B8" w:rsidRPr="003929B8">
              <w:rPr>
                <w:lang w:val="lv-LV" w:eastAsia="lv-LV"/>
              </w:rPr>
              <w:t>oteikt maksimālo cilvēkstundas likmi 45 latu apmērā (ieskaitot pievienotās vērtības nodokli), veicot samaksu ar nodošanas-pieņemšanas aktu un nodrošinot izmaksu izsekojamību. Samaksu par cilvēkstundām veikt tikai par pakalpojumiem, kurus nav iespējams pasūtīt kā gabaldarbus. Samaksu veikt saskaņā ar līgumslēdzēju pušu parakstītu nodošanas</w:t>
            </w:r>
            <w:r w:rsidR="003929B8" w:rsidRPr="003929B8">
              <w:rPr>
                <w:lang w:val="lv-LV"/>
              </w:rPr>
              <w:t xml:space="preserve">-pieņemšanas aktu, kurā atspoguļota informācija par nostrādāto stundu skaitu, stundas </w:t>
            </w:r>
            <w:r w:rsidR="008962A1">
              <w:rPr>
                <w:lang w:val="lv-LV"/>
              </w:rPr>
              <w:t>likmi un padarītā darba saturu</w:t>
            </w:r>
            <w:r w:rsidR="00A14C8C">
              <w:rPr>
                <w:lang w:val="lv-LV"/>
              </w:rPr>
              <w:t>;</w:t>
            </w:r>
          </w:p>
          <w:p w:rsidR="008468B3" w:rsidRDefault="008468B3" w:rsidP="00214F09">
            <w:pPr>
              <w:pStyle w:val="naisf"/>
              <w:numPr>
                <w:ilvl w:val="0"/>
                <w:numId w:val="1"/>
              </w:numPr>
              <w:spacing w:before="0" w:beforeAutospacing="0" w:after="0" w:afterAutospacing="0"/>
              <w:ind w:left="708" w:right="113" w:hanging="274"/>
              <w:rPr>
                <w:lang w:val="lv-LV" w:eastAsia="lv-LV"/>
              </w:rPr>
            </w:pPr>
            <w:r>
              <w:rPr>
                <w:lang w:val="lv-LV"/>
              </w:rPr>
              <w:t>Iekļaut prasību</w:t>
            </w:r>
            <w:r w:rsidRPr="003929B8">
              <w:rPr>
                <w:lang w:val="lv-LV"/>
              </w:rPr>
              <w:t xml:space="preserve"> finansējuma saņēmējam, ka, </w:t>
            </w:r>
            <w:r>
              <w:rPr>
                <w:lang w:val="lv-LV"/>
              </w:rPr>
              <w:t>p</w:t>
            </w:r>
            <w:r w:rsidRPr="008962A1">
              <w:rPr>
                <w:lang w:val="lv-LV"/>
              </w:rPr>
              <w:t xml:space="preserve">rojekta iesniedzējs var pretendēt uz Eiropas </w:t>
            </w:r>
            <w:r w:rsidRPr="008962A1">
              <w:rPr>
                <w:lang w:val="lv-LV" w:eastAsia="lv-LV"/>
              </w:rPr>
              <w:t>Reģionālās attīstības</w:t>
            </w:r>
            <w:r>
              <w:rPr>
                <w:lang w:val="lv-LV" w:eastAsia="lv-LV"/>
              </w:rPr>
              <w:t xml:space="preserve"> fonda finansējuma saņemšanu, </w:t>
            </w:r>
            <w:r w:rsidRPr="008962A1">
              <w:rPr>
                <w:lang w:val="lv-LV" w:eastAsia="lv-LV"/>
              </w:rPr>
              <w:t xml:space="preserve">ja projekta dzīves ciklā </w:t>
            </w:r>
            <w:r w:rsidR="003B69EE">
              <w:rPr>
                <w:lang w:val="lv-LV" w:eastAsia="lv-LV"/>
              </w:rPr>
              <w:t>(laika periods, kurā tiek izmantota projekta īstenošanas rezultā</w:t>
            </w:r>
            <w:r w:rsidR="00805E92">
              <w:rPr>
                <w:lang w:val="lv-LV" w:eastAsia="lv-LV"/>
              </w:rPr>
              <w:t>tā</w:t>
            </w:r>
            <w:r w:rsidR="003B69EE">
              <w:rPr>
                <w:lang w:val="lv-LV" w:eastAsia="lv-LV"/>
              </w:rPr>
              <w:t xml:space="preserve"> radītā informācijas sistēma un elektroniskie pakalpojumi (saskaņā ar </w:t>
            </w:r>
            <w:r w:rsidR="00805E92" w:rsidRPr="00214F09">
              <w:rPr>
                <w:lang w:val="lv-LV" w:eastAsia="lv-LV"/>
              </w:rPr>
              <w:t xml:space="preserve">Eiropas Komisijas dokumentā „Vadlīnijas izmaksu – ieguvumu analīzes veikšanai investīciju projektiem </w:t>
            </w:r>
            <w:r w:rsidR="00C93458">
              <w:rPr>
                <w:lang w:val="lv-LV" w:eastAsia="lv-LV"/>
              </w:rPr>
              <w:t xml:space="preserve">noteikto </w:t>
            </w:r>
            <w:r w:rsidR="003B69EE">
              <w:rPr>
                <w:lang w:val="lv-LV" w:eastAsia="lv-LV"/>
              </w:rPr>
              <w:t>– 15 gadi))</w:t>
            </w:r>
            <w:r w:rsidR="003B69EE" w:rsidRPr="008962A1">
              <w:rPr>
                <w:lang w:val="lv-LV" w:eastAsia="lv-LV"/>
              </w:rPr>
              <w:t xml:space="preserve"> </w:t>
            </w:r>
            <w:r w:rsidRPr="008962A1">
              <w:rPr>
                <w:lang w:val="lv-LV" w:eastAsia="lv-LV"/>
              </w:rPr>
              <w:t>netiek paredzēti neto ieņēmumi</w:t>
            </w:r>
            <w:r>
              <w:rPr>
                <w:lang w:val="lv-LV" w:eastAsia="lv-LV"/>
              </w:rPr>
              <w:t>;</w:t>
            </w:r>
          </w:p>
          <w:p w:rsidR="008468B3" w:rsidRPr="003929B8" w:rsidRDefault="008468B3" w:rsidP="00214F09">
            <w:pPr>
              <w:pStyle w:val="naisf"/>
              <w:numPr>
                <w:ilvl w:val="0"/>
                <w:numId w:val="1"/>
              </w:numPr>
              <w:spacing w:before="0" w:beforeAutospacing="0" w:after="0" w:afterAutospacing="0"/>
              <w:ind w:left="708" w:right="113" w:hanging="425"/>
              <w:rPr>
                <w:lang w:val="lv-LV" w:eastAsia="lv-LV"/>
              </w:rPr>
            </w:pPr>
            <w:r>
              <w:rPr>
                <w:lang w:val="lv-LV" w:eastAsia="lv-LV"/>
              </w:rPr>
              <w:t>Noteikt, ka f</w:t>
            </w:r>
            <w:r w:rsidRPr="003929B8">
              <w:rPr>
                <w:lang w:val="lv-LV" w:eastAsia="lv-LV"/>
              </w:rPr>
              <w:t xml:space="preserve">inansējuma saņēmējs ir tieši </w:t>
            </w:r>
            <w:r w:rsidRPr="003929B8">
              <w:rPr>
                <w:lang w:val="lv-LV" w:eastAsia="lv-LV"/>
              </w:rPr>
              <w:lastRenderedPageBreak/>
              <w:t>atbildīgs par projekta īstenošanu un rezultātu uzturēšanu vismaz piecus gadus pēc projekta īstenošanas</w:t>
            </w:r>
            <w:r w:rsidR="003A28F8">
              <w:rPr>
                <w:lang w:val="lv-LV" w:eastAsia="lv-LV"/>
              </w:rPr>
              <w:t xml:space="preserve">, </w:t>
            </w:r>
            <w:r w:rsidR="003A28F8" w:rsidRPr="003A28F8">
              <w:rPr>
                <w:lang w:val="lv-LV" w:eastAsia="lv-LV"/>
              </w:rPr>
              <w:t xml:space="preserve">lai </w:t>
            </w:r>
            <w:r w:rsidR="00BA4C39">
              <w:rPr>
                <w:lang w:val="lv-LV" w:eastAsia="lv-LV"/>
              </w:rPr>
              <w:t>tiktu nodrošināta</w:t>
            </w:r>
            <w:r w:rsidR="003A28F8" w:rsidRPr="003A28F8">
              <w:rPr>
                <w:lang w:val="lv-LV" w:eastAsia="lv-LV"/>
              </w:rPr>
              <w:t xml:space="preserve"> </w:t>
            </w:r>
            <w:r w:rsidR="00BA4C39">
              <w:rPr>
                <w:lang w:val="lv-LV" w:eastAsia="lv-LV"/>
              </w:rPr>
              <w:t xml:space="preserve">projekta rezultātu ilgtspēja un </w:t>
            </w:r>
            <w:r w:rsidR="003A28F8" w:rsidRPr="003A28F8">
              <w:rPr>
                <w:lang w:val="lv-LV" w:eastAsia="lv-LV"/>
              </w:rPr>
              <w:t xml:space="preserve">Padomes 2006.gada 11.jūlija Regulas (EK) Nr. </w:t>
            </w:r>
            <w:hyperlink r:id="rId7" w:tgtFrame="_blank" w:tooltip="Atvērt regulas konsolidēto versiju" w:history="1">
              <w:r w:rsidR="003A28F8" w:rsidRPr="003A28F8">
                <w:rPr>
                  <w:lang w:val="lv-LV" w:eastAsia="lv-LV"/>
                </w:rPr>
                <w:t>1083/2006</w:t>
              </w:r>
            </w:hyperlink>
            <w:r w:rsidR="003A28F8" w:rsidRPr="003A28F8">
              <w:rPr>
                <w:lang w:val="lv-LV" w:eastAsia="lv-LV"/>
              </w:rPr>
              <w:t xml:space="preserve">, ar ko paredz vispārīgus noteikumus par Eiropas Reģionālās attīstības fondu, Eiropas Sociālo fondu un Kohēzijas fondu un atceļ Regulu (EK) Nr. </w:t>
            </w:r>
            <w:hyperlink r:id="rId8" w:tgtFrame="_blank" w:tooltip="Atvērt regulu latviešu valodā" w:history="1">
              <w:r w:rsidR="003A28F8" w:rsidRPr="003A28F8">
                <w:rPr>
                  <w:lang w:val="lv-LV" w:eastAsia="lv-LV"/>
                </w:rPr>
                <w:t>1260/1999</w:t>
              </w:r>
            </w:hyperlink>
            <w:r w:rsidR="003A28F8" w:rsidRPr="003A28F8">
              <w:rPr>
                <w:lang w:val="lv-LV" w:eastAsia="lv-LV"/>
              </w:rPr>
              <w:t>, 57.panta 1.</w:t>
            </w:r>
            <w:r w:rsidR="00BA4C39">
              <w:rPr>
                <w:lang w:val="lv-LV" w:eastAsia="lv-LV"/>
              </w:rPr>
              <w:t>punktā minētā nosacījuma izpilde</w:t>
            </w:r>
            <w:r w:rsidRPr="003929B8">
              <w:rPr>
                <w:lang w:val="lv-LV" w:eastAsia="lv-LV"/>
              </w:rPr>
              <w:t>;</w:t>
            </w:r>
          </w:p>
          <w:p w:rsidR="003929B8" w:rsidRDefault="003929B8" w:rsidP="00214F09">
            <w:pPr>
              <w:pStyle w:val="naisf"/>
              <w:numPr>
                <w:ilvl w:val="0"/>
                <w:numId w:val="1"/>
              </w:numPr>
              <w:spacing w:before="0" w:beforeAutospacing="0" w:after="0" w:afterAutospacing="0"/>
              <w:ind w:left="708" w:right="113" w:hanging="425"/>
              <w:rPr>
                <w:lang w:val="lv-LV" w:eastAsia="lv-LV"/>
              </w:rPr>
            </w:pPr>
            <w:r>
              <w:rPr>
                <w:lang w:val="lv-LV" w:eastAsia="lv-LV"/>
              </w:rPr>
              <w:t>N</w:t>
            </w:r>
            <w:r w:rsidRPr="003929B8">
              <w:rPr>
                <w:lang w:val="lv-LV" w:eastAsia="lv-LV"/>
              </w:rPr>
              <w:t>oteikt nodošanas-pieņemšanas aktos par veiktā darba uzdevuma izpildi obligāti iekļaujamās prasības</w:t>
            </w:r>
            <w:r w:rsidR="00670FC5">
              <w:rPr>
                <w:lang w:val="lv-LV" w:eastAsia="lv-LV"/>
              </w:rPr>
              <w:t xml:space="preserve"> izmaksu skaidrai izsekojamība</w:t>
            </w:r>
            <w:r w:rsidR="00670FC5" w:rsidRPr="00670FC5">
              <w:rPr>
                <w:lang w:val="lv-LV" w:eastAsia="lv-LV"/>
              </w:rPr>
              <w:t>i</w:t>
            </w:r>
            <w:r w:rsidR="00DF7BC6">
              <w:rPr>
                <w:lang w:val="lv-LV" w:eastAsia="lv-LV"/>
              </w:rPr>
              <w:t>, t</w:t>
            </w:r>
            <w:r w:rsidR="002701F1">
              <w:rPr>
                <w:lang w:val="lv-LV" w:eastAsia="lv-LV"/>
              </w:rPr>
              <w:t xml:space="preserve">ai </w:t>
            </w:r>
            <w:r w:rsidR="00DF7BC6">
              <w:rPr>
                <w:lang w:val="lv-LV" w:eastAsia="lv-LV"/>
              </w:rPr>
              <w:t>sk</w:t>
            </w:r>
            <w:r w:rsidR="002701F1">
              <w:rPr>
                <w:lang w:val="lv-LV" w:eastAsia="lv-LV"/>
              </w:rPr>
              <w:t>aitā</w:t>
            </w:r>
            <w:r w:rsidR="00DF7BC6">
              <w:rPr>
                <w:lang w:val="lv-LV" w:eastAsia="lv-LV"/>
              </w:rPr>
              <w:t xml:space="preserve"> nosakot, ka samaksu par nostrādātajām cilvēkstundām veic tikai pakalpojumiem, kurus nav iespējams pasūtīt kā gabaldarbus, t.i., ja nav iespējams noteikt pakalpojuma darba apjomu un nav iespējams skaidri definēt pakalpojuma rezultātu. </w:t>
            </w:r>
          </w:p>
          <w:p w:rsidR="008468B3" w:rsidRDefault="008468B3" w:rsidP="00214F09">
            <w:pPr>
              <w:pStyle w:val="naisf"/>
              <w:numPr>
                <w:ilvl w:val="0"/>
                <w:numId w:val="1"/>
              </w:numPr>
              <w:spacing w:before="0" w:beforeAutospacing="0" w:after="0" w:afterAutospacing="0"/>
              <w:ind w:left="708" w:right="113" w:hanging="425"/>
              <w:rPr>
                <w:lang w:val="lv-LV" w:eastAsia="lv-LV"/>
              </w:rPr>
            </w:pPr>
            <w:r>
              <w:rPr>
                <w:lang w:val="lv-LV" w:eastAsia="lv-LV"/>
              </w:rPr>
              <w:t xml:space="preserve">Noteikt, ka </w:t>
            </w:r>
            <w:r w:rsidRPr="003929B8">
              <w:rPr>
                <w:lang w:val="lv-LV" w:eastAsia="lv-LV"/>
              </w:rPr>
              <w:t xml:space="preserve">iepirkumos, kur līgumi ar pakalpojumu sniedzējiem ir noslēgti un kur cilvēkstundu likme pārsniedz 45 latus par cilvēkstundu (ieskaitot pievienotās vērtības nodokli), </w:t>
            </w:r>
            <w:r>
              <w:rPr>
                <w:lang w:val="lv-LV" w:eastAsia="lv-LV"/>
              </w:rPr>
              <w:t>ir jā</w:t>
            </w:r>
            <w:r w:rsidRPr="003929B8">
              <w:rPr>
                <w:lang w:val="lv-LV" w:eastAsia="lv-LV"/>
              </w:rPr>
              <w:t>pārtrau</w:t>
            </w:r>
            <w:r>
              <w:rPr>
                <w:lang w:val="lv-LV" w:eastAsia="lv-LV"/>
              </w:rPr>
              <w:t>c</w:t>
            </w:r>
            <w:r w:rsidRPr="003929B8">
              <w:rPr>
                <w:lang w:val="lv-LV" w:eastAsia="lv-LV"/>
              </w:rPr>
              <w:t xml:space="preserve"> pakalpojumu pieprasīšan</w:t>
            </w:r>
            <w:r>
              <w:rPr>
                <w:lang w:val="lv-LV" w:eastAsia="lv-LV"/>
              </w:rPr>
              <w:t>a un to izpilde</w:t>
            </w:r>
            <w:r w:rsidRPr="003929B8">
              <w:rPr>
                <w:lang w:val="lv-LV" w:eastAsia="lv-LV"/>
              </w:rPr>
              <w:t>, ja līguma nosacījumi to pieļauj un ir iespējams vienoties ar izpildītāju, neparedzot negatīvu finansiālu ietekmi;</w:t>
            </w:r>
          </w:p>
          <w:p w:rsidR="00A16C3D" w:rsidRDefault="00A16C3D" w:rsidP="00214F09">
            <w:pPr>
              <w:pStyle w:val="naisf"/>
              <w:numPr>
                <w:ilvl w:val="0"/>
                <w:numId w:val="1"/>
              </w:numPr>
              <w:spacing w:before="0" w:beforeAutospacing="0" w:after="0" w:afterAutospacing="0"/>
              <w:ind w:left="708" w:right="113" w:hanging="425"/>
              <w:rPr>
                <w:lang w:val="lv-LV" w:eastAsia="lv-LV"/>
              </w:rPr>
            </w:pPr>
            <w:r>
              <w:rPr>
                <w:lang w:val="lv-LV" w:eastAsia="lv-LV"/>
              </w:rPr>
              <w:t xml:space="preserve">Lai vienkāršotu administratīvo procedūru veikšanu projektu iesniegumu vērtēšanas procesā, svītrot normu, kas nosaka, ka </w:t>
            </w:r>
            <w:r w:rsidRPr="00A16C3D">
              <w:rPr>
                <w:lang w:val="lv-LV" w:eastAsia="lv-LV"/>
              </w:rPr>
              <w:t>vērtēšanas komisijas priekšsēdētājs ir atbildīgās iestādes vadītājs vai atbildīgās iestādes vadītāja norīkota amatpersona</w:t>
            </w:r>
            <w:r>
              <w:rPr>
                <w:lang w:val="lv-LV" w:eastAsia="lv-LV"/>
              </w:rPr>
              <w:t>.</w:t>
            </w:r>
          </w:p>
          <w:p w:rsidR="004A42FA" w:rsidRDefault="004A42FA" w:rsidP="00214F09">
            <w:pPr>
              <w:pStyle w:val="naisf"/>
              <w:numPr>
                <w:ilvl w:val="0"/>
                <w:numId w:val="1"/>
              </w:numPr>
              <w:spacing w:before="0" w:beforeAutospacing="0" w:after="0" w:afterAutospacing="0"/>
              <w:ind w:left="708" w:right="113" w:hanging="425"/>
              <w:rPr>
                <w:lang w:val="lv-LV" w:eastAsia="lv-LV"/>
              </w:rPr>
            </w:pPr>
            <w:r>
              <w:rPr>
                <w:lang w:val="lv-LV" w:eastAsia="lv-LV"/>
              </w:rPr>
              <w:t xml:space="preserve">Svītrot </w:t>
            </w:r>
            <w:r w:rsidRPr="004A42FA">
              <w:rPr>
                <w:lang w:val="lv-LV" w:eastAsia="lv-LV"/>
              </w:rPr>
              <w:t xml:space="preserve">2.pielikuma tabulas Nr.3 1.6.apakšpunktu ņemot vērā, ka finansējuma </w:t>
            </w:r>
            <w:r w:rsidR="0093267E" w:rsidRPr="004A42FA">
              <w:rPr>
                <w:lang w:val="lv-LV" w:eastAsia="lv-LV"/>
              </w:rPr>
              <w:t>saņēmējiem</w:t>
            </w:r>
            <w:r w:rsidRPr="004A42FA">
              <w:rPr>
                <w:lang w:val="lv-LV" w:eastAsia="lv-LV"/>
              </w:rPr>
              <w:t xml:space="preserve"> tas ir radījis neskaidrības tabulas aizpildīšanā, kur pievienotās vērtības nodokli var iekļaut arī katrā budžeta kopsavilkuma pozīcijā.</w:t>
            </w:r>
          </w:p>
          <w:p w:rsidR="00F155F6" w:rsidRDefault="00F155F6" w:rsidP="00214F09">
            <w:pPr>
              <w:pStyle w:val="naisf"/>
              <w:numPr>
                <w:ilvl w:val="0"/>
                <w:numId w:val="1"/>
              </w:numPr>
              <w:spacing w:before="0" w:beforeAutospacing="0" w:after="0" w:afterAutospacing="0"/>
              <w:ind w:left="708" w:right="113" w:hanging="425"/>
              <w:rPr>
                <w:lang w:val="lv-LV" w:eastAsia="lv-LV"/>
              </w:rPr>
            </w:pPr>
            <w:r>
              <w:rPr>
                <w:lang w:val="lv-LV" w:eastAsia="lv-LV"/>
              </w:rPr>
              <w:t>Apvienot Veselības ministrijas trīs</w:t>
            </w:r>
            <w:r w:rsidRPr="003929B8">
              <w:rPr>
                <w:lang w:val="lv-LV" w:eastAsia="lv-LV"/>
              </w:rPr>
              <w:t xml:space="preserve"> projekt</w:t>
            </w:r>
            <w:r>
              <w:rPr>
                <w:lang w:val="lv-LV" w:eastAsia="lv-LV"/>
              </w:rPr>
              <w:t>us</w:t>
            </w:r>
            <w:r w:rsidRPr="003929B8">
              <w:rPr>
                <w:lang w:val="lv-LV" w:eastAsia="lv-LV"/>
              </w:rPr>
              <w:t xml:space="preserve"> vienā projektā „</w:t>
            </w:r>
            <w:r w:rsidRPr="00F155F6">
              <w:rPr>
                <w:lang w:val="lv-LV" w:eastAsia="lv-LV"/>
              </w:rPr>
              <w:t>E-veselības integrētās informācijas sistēmas attīstība</w:t>
            </w:r>
            <w:r w:rsidRPr="003929B8">
              <w:rPr>
                <w:lang w:val="lv-LV" w:eastAsia="lv-LV"/>
              </w:rPr>
              <w:t xml:space="preserve">” ar projekta kopējām attiecināmām izmaksām </w:t>
            </w:r>
            <w:r w:rsidRPr="00F155F6">
              <w:rPr>
                <w:lang w:val="lv-LV" w:eastAsia="lv-LV"/>
              </w:rPr>
              <w:t>5 817 924,00</w:t>
            </w:r>
            <w:r w:rsidRPr="003929B8">
              <w:rPr>
                <w:lang w:val="lv-LV" w:eastAsia="lv-LV"/>
              </w:rPr>
              <w:t xml:space="preserve"> LVL</w:t>
            </w:r>
            <w:r>
              <w:rPr>
                <w:lang w:val="lv-LV" w:eastAsia="lv-LV"/>
              </w:rPr>
              <w:t>;</w:t>
            </w:r>
          </w:p>
          <w:p w:rsidR="00F155F6" w:rsidRDefault="00F155F6" w:rsidP="00214F09">
            <w:pPr>
              <w:pStyle w:val="naisf"/>
              <w:numPr>
                <w:ilvl w:val="0"/>
                <w:numId w:val="1"/>
              </w:numPr>
              <w:spacing w:before="0" w:beforeAutospacing="0" w:after="0" w:afterAutospacing="0"/>
              <w:ind w:left="708" w:right="113" w:hanging="425"/>
              <w:rPr>
                <w:lang w:val="lv-LV" w:eastAsia="lv-LV"/>
              </w:rPr>
            </w:pPr>
            <w:r>
              <w:rPr>
                <w:lang w:val="lv-LV" w:eastAsia="lv-LV"/>
              </w:rPr>
              <w:t>Samazināt Finanšu ministrijas projekta „</w:t>
            </w:r>
            <w:r w:rsidRPr="00F155F6">
              <w:rPr>
                <w:lang w:val="lv-LV" w:eastAsia="lv-LV"/>
              </w:rPr>
              <w:t>Vienotas valsts iestāžu finanšu un vadības grāmatvedības sistēmas izveide un tās sasaiste ar vienoto valsts cilvēkresursu vadības sistēmu</w:t>
            </w:r>
            <w:r>
              <w:rPr>
                <w:lang w:val="lv-LV" w:eastAsia="lv-LV"/>
              </w:rPr>
              <w:t xml:space="preserve">” kopējo attiecināmo izmaksu </w:t>
            </w:r>
            <w:r>
              <w:rPr>
                <w:lang w:val="lv-LV" w:eastAsia="lv-LV"/>
              </w:rPr>
              <w:lastRenderedPageBreak/>
              <w:t>summu</w:t>
            </w:r>
            <w:r w:rsidR="00980A89">
              <w:rPr>
                <w:lang w:val="lv-LV" w:eastAsia="lv-LV"/>
              </w:rPr>
              <w:t xml:space="preserve"> uz </w:t>
            </w:r>
            <w:r w:rsidRPr="00F155F6">
              <w:rPr>
                <w:lang w:val="lv-LV" w:eastAsia="lv-LV"/>
              </w:rPr>
              <w:t>2 434 280,00</w:t>
            </w:r>
            <w:r>
              <w:rPr>
                <w:lang w:val="lv-LV" w:eastAsia="lv-LV"/>
              </w:rPr>
              <w:t xml:space="preserve"> LVL;</w:t>
            </w:r>
          </w:p>
          <w:p w:rsidR="009B6181" w:rsidRDefault="003929B8" w:rsidP="00214F09">
            <w:pPr>
              <w:pStyle w:val="naisf"/>
              <w:numPr>
                <w:ilvl w:val="0"/>
                <w:numId w:val="1"/>
              </w:numPr>
              <w:spacing w:before="0" w:beforeAutospacing="0" w:after="0" w:afterAutospacing="0"/>
              <w:ind w:left="708" w:right="113" w:hanging="425"/>
              <w:rPr>
                <w:lang w:val="lv-LV" w:eastAsia="lv-LV"/>
              </w:rPr>
            </w:pPr>
            <w:r>
              <w:rPr>
                <w:lang w:val="lv-LV" w:eastAsia="lv-LV"/>
              </w:rPr>
              <w:t>Precizēt</w:t>
            </w:r>
            <w:r w:rsidR="00603A20" w:rsidRPr="003929B8">
              <w:rPr>
                <w:lang w:val="lv-LV" w:eastAsia="lv-LV"/>
              </w:rPr>
              <w:t xml:space="preserve"> Valsts kases projekta nosauk</w:t>
            </w:r>
            <w:r>
              <w:rPr>
                <w:lang w:val="lv-LV" w:eastAsia="lv-LV"/>
              </w:rPr>
              <w:t>umu</w:t>
            </w:r>
            <w:r w:rsidR="00603A20" w:rsidRPr="003929B8">
              <w:rPr>
                <w:lang w:val="lv-LV" w:eastAsia="lv-LV"/>
              </w:rPr>
              <w:t xml:space="preserve"> un projekta kopējās attiecināmās izmaksas atbilstoši apstiprinātajam projekta iesniegumam</w:t>
            </w:r>
            <w:r w:rsidR="009B6181">
              <w:rPr>
                <w:lang w:val="lv-LV" w:eastAsia="lv-LV"/>
              </w:rPr>
              <w:t>.</w:t>
            </w:r>
          </w:p>
          <w:p w:rsidR="00DF7BC6" w:rsidRPr="009B6181" w:rsidRDefault="009B6181" w:rsidP="00214F09">
            <w:pPr>
              <w:pStyle w:val="naisf"/>
              <w:spacing w:before="0" w:beforeAutospacing="0" w:after="0" w:afterAutospacing="0"/>
              <w:ind w:left="283" w:right="113"/>
              <w:rPr>
                <w:lang w:val="lv-LV"/>
              </w:rPr>
            </w:pPr>
            <w:r w:rsidRPr="009B6181">
              <w:rPr>
                <w:lang w:val="lv-LV"/>
              </w:rPr>
              <w:t xml:space="preserve"> </w:t>
            </w:r>
            <w:r w:rsidR="00DF7BC6" w:rsidRPr="009B6181">
              <w:rPr>
                <w:lang w:val="lv-LV"/>
              </w:rPr>
              <w:t>Lai nodrošinātu noteikumu</w:t>
            </w:r>
            <w:r w:rsidR="007A1637" w:rsidRPr="009B6181">
              <w:rPr>
                <w:lang w:val="lv-LV"/>
              </w:rPr>
              <w:t xml:space="preserve"> projekta</w:t>
            </w:r>
            <w:r w:rsidR="00DF7BC6" w:rsidRPr="009B6181">
              <w:rPr>
                <w:lang w:val="lv-LV"/>
              </w:rPr>
              <w:t xml:space="preserve"> 1</w:t>
            </w:r>
            <w:r w:rsidR="00214F09">
              <w:rPr>
                <w:lang w:val="lv-LV"/>
              </w:rPr>
              <w:t>4</w:t>
            </w:r>
            <w:r w:rsidR="00DF7BC6" w:rsidRPr="009B6181">
              <w:rPr>
                <w:lang w:val="lv-LV"/>
              </w:rPr>
              <w:t>.punktā izteiktā 63.</w:t>
            </w:r>
            <w:r w:rsidR="0020420D" w:rsidRPr="009B6181">
              <w:rPr>
                <w:lang w:val="lv-LV"/>
              </w:rPr>
              <w:t>punkta</w:t>
            </w:r>
            <w:r w:rsidR="00DF7BC6" w:rsidRPr="009B6181">
              <w:rPr>
                <w:lang w:val="lv-LV"/>
              </w:rPr>
              <w:t xml:space="preserve"> piemērošanu, VARAM lūgs finansējuma saņēmējus 3 mēnešu laikā no noteikumu </w:t>
            </w:r>
            <w:r w:rsidR="004D4859" w:rsidRPr="009B6181">
              <w:rPr>
                <w:lang w:val="lv-LV"/>
              </w:rPr>
              <w:t xml:space="preserve">projekta </w:t>
            </w:r>
            <w:r w:rsidR="00DF7BC6" w:rsidRPr="009B6181">
              <w:rPr>
                <w:lang w:val="lv-LV"/>
              </w:rPr>
              <w:t xml:space="preserve">spēkā stāšanās brīža veikt </w:t>
            </w:r>
            <w:r w:rsidR="004D4859" w:rsidRPr="009B6181">
              <w:rPr>
                <w:lang w:val="lv-LV"/>
              </w:rPr>
              <w:t>apakšaktivitātes</w:t>
            </w:r>
            <w:r w:rsidR="00D165EF" w:rsidRPr="009B6181">
              <w:rPr>
                <w:lang w:val="lv-LV"/>
              </w:rPr>
              <w:t xml:space="preserve"> </w:t>
            </w:r>
            <w:r w:rsidR="00DF7BC6" w:rsidRPr="009B6181">
              <w:rPr>
                <w:lang w:val="lv-LV"/>
              </w:rPr>
              <w:t xml:space="preserve">projektu ietvaros noslēgto </w:t>
            </w:r>
            <w:r w:rsidR="00D165EF" w:rsidRPr="009B6181">
              <w:rPr>
                <w:lang w:val="lv-LV"/>
              </w:rPr>
              <w:t xml:space="preserve">iepirkumu </w:t>
            </w:r>
            <w:r w:rsidR="00DF7BC6" w:rsidRPr="009B6181">
              <w:rPr>
                <w:lang w:val="lv-LV"/>
              </w:rPr>
              <w:t>līgumu izvērtēšanu</w:t>
            </w:r>
            <w:r w:rsidR="00D165EF" w:rsidRPr="009B6181">
              <w:rPr>
                <w:lang w:val="lv-LV"/>
              </w:rPr>
              <w:t>, ņemot vērā iepriekš minētajos noteikumu punktos noteikto</w:t>
            </w:r>
            <w:r w:rsidR="002701F1" w:rsidRPr="009B6181">
              <w:rPr>
                <w:lang w:val="lv-LV"/>
              </w:rPr>
              <w:t>, tai skaitā ievērojot nosacījumu, ka finansējuma saņēmējiem ir jāpārtrauc pakalpojumu pieprasīšana, ja to ir iespējams izdarīt</w:t>
            </w:r>
            <w:r w:rsidR="00D165EF" w:rsidRPr="009B6181">
              <w:rPr>
                <w:lang w:val="lv-LV"/>
              </w:rPr>
              <w:t xml:space="preserve"> bez</w:t>
            </w:r>
            <w:r w:rsidR="002701F1" w:rsidRPr="009B6181">
              <w:rPr>
                <w:lang w:val="lv-LV"/>
              </w:rPr>
              <w:t xml:space="preserve"> finansiālas negatīvas ietekmes, t.i. potenciālie ieguvumi ir lielāki par potenciālajiem zaudējumiem līguma laušanas gadījumā.</w:t>
            </w:r>
          </w:p>
        </w:tc>
      </w:tr>
      <w:tr w:rsidR="00BC04C1" w:rsidRPr="00542F93" w:rsidTr="00D13399">
        <w:trPr>
          <w:trHeight w:val="531"/>
        </w:trPr>
        <w:tc>
          <w:tcPr>
            <w:tcW w:w="550" w:type="dxa"/>
          </w:tcPr>
          <w:p w:rsidR="00BC04C1" w:rsidRPr="00542F93" w:rsidRDefault="00BC04C1" w:rsidP="00980A89">
            <w:pPr>
              <w:pStyle w:val="naiskr"/>
              <w:spacing w:before="0" w:after="0"/>
              <w:jc w:val="both"/>
            </w:pPr>
            <w:r w:rsidRPr="00542F93">
              <w:lastRenderedPageBreak/>
              <w:t>5.</w:t>
            </w:r>
          </w:p>
        </w:tc>
        <w:tc>
          <w:tcPr>
            <w:tcW w:w="3283" w:type="dxa"/>
          </w:tcPr>
          <w:p w:rsidR="00BC04C1" w:rsidRDefault="00BC04C1" w:rsidP="00980A89">
            <w:pPr>
              <w:jc w:val="both"/>
            </w:pPr>
            <w:r>
              <w:t>Projekta izstrādē iesaistītās institūcijas</w:t>
            </w:r>
          </w:p>
        </w:tc>
        <w:tc>
          <w:tcPr>
            <w:tcW w:w="5244" w:type="dxa"/>
          </w:tcPr>
          <w:p w:rsidR="00BC04C1" w:rsidRDefault="00BC04C1" w:rsidP="00980A89">
            <w:pPr>
              <w:ind w:left="74" w:right="114"/>
              <w:jc w:val="both"/>
            </w:pPr>
            <w:r>
              <w:t>Nav attiecināms</w:t>
            </w:r>
          </w:p>
        </w:tc>
      </w:tr>
      <w:tr w:rsidR="00BC04C1" w:rsidRPr="00542F93" w:rsidTr="00D13399">
        <w:trPr>
          <w:trHeight w:val="357"/>
        </w:trPr>
        <w:tc>
          <w:tcPr>
            <w:tcW w:w="550" w:type="dxa"/>
          </w:tcPr>
          <w:p w:rsidR="00BC04C1" w:rsidRPr="00542F93" w:rsidRDefault="00BC04C1" w:rsidP="00980A89">
            <w:pPr>
              <w:pStyle w:val="naiskr"/>
              <w:spacing w:before="0" w:after="0"/>
              <w:jc w:val="both"/>
            </w:pPr>
            <w:r w:rsidRPr="00542F93">
              <w:t>6.</w:t>
            </w:r>
          </w:p>
        </w:tc>
        <w:tc>
          <w:tcPr>
            <w:tcW w:w="3283" w:type="dxa"/>
          </w:tcPr>
          <w:p w:rsidR="00BC04C1" w:rsidRDefault="00BC04C1" w:rsidP="00980A89">
            <w:pPr>
              <w:jc w:val="both"/>
            </w:pPr>
            <w:r>
              <w:t>Iemesli, kādēļ netika nodrošināta sabiedrības līdzdalība</w:t>
            </w:r>
          </w:p>
        </w:tc>
        <w:tc>
          <w:tcPr>
            <w:tcW w:w="5244" w:type="dxa"/>
          </w:tcPr>
          <w:p w:rsidR="00BC04C1" w:rsidRDefault="00BC04C1" w:rsidP="00963B58">
            <w:pPr>
              <w:ind w:left="74" w:right="114"/>
              <w:jc w:val="both"/>
            </w:pPr>
            <w:r w:rsidRPr="00542F93">
              <w:t xml:space="preserve">Ņemot vērā, ka apakšaktivitāte tiek īstenota ierobežotas projektu </w:t>
            </w:r>
            <w:r w:rsidRPr="00BC04C1">
              <w:t xml:space="preserve">iesniegumu atlases veidā un 2010.gadā, izstrādājot prioritāro projektu sarakstu, tika nodrošināta visu tiešo valsts pārvaldes iestāžu, tām pakļautībā un pārraudzībā esošo institūciju līdzdalība, veicot grozījumus </w:t>
            </w:r>
            <w:r w:rsidR="007947F7" w:rsidRPr="007947F7">
              <w:rPr>
                <w:bCs/>
              </w:rPr>
              <w:t>noteikumos</w:t>
            </w:r>
            <w:r w:rsidRPr="00BC04C1">
              <w:t>, sabiedrības līdzdalība nav nepieciešama.</w:t>
            </w:r>
          </w:p>
        </w:tc>
      </w:tr>
      <w:tr w:rsidR="00BC04C1" w:rsidRPr="00542F93" w:rsidTr="00D13399">
        <w:tc>
          <w:tcPr>
            <w:tcW w:w="550" w:type="dxa"/>
          </w:tcPr>
          <w:p w:rsidR="00BC04C1" w:rsidRPr="00542F93" w:rsidRDefault="00BC04C1" w:rsidP="00980A89">
            <w:pPr>
              <w:pStyle w:val="naiskr"/>
              <w:spacing w:before="0" w:after="0"/>
              <w:jc w:val="both"/>
            </w:pPr>
            <w:r w:rsidRPr="00542F93">
              <w:t>7.</w:t>
            </w:r>
          </w:p>
        </w:tc>
        <w:tc>
          <w:tcPr>
            <w:tcW w:w="3283" w:type="dxa"/>
          </w:tcPr>
          <w:p w:rsidR="00BC04C1" w:rsidRDefault="00BC04C1" w:rsidP="00980A89">
            <w:pPr>
              <w:jc w:val="both"/>
            </w:pPr>
            <w:r>
              <w:t>Cita informācija</w:t>
            </w:r>
          </w:p>
        </w:tc>
        <w:tc>
          <w:tcPr>
            <w:tcW w:w="5244" w:type="dxa"/>
          </w:tcPr>
          <w:p w:rsidR="00BC04C1" w:rsidRDefault="00BC04C1" w:rsidP="00980A89">
            <w:pPr>
              <w:ind w:left="74"/>
              <w:jc w:val="both"/>
            </w:pPr>
            <w:r>
              <w:t>Nav attiecināms</w:t>
            </w:r>
          </w:p>
        </w:tc>
      </w:tr>
    </w:tbl>
    <w:p w:rsidR="00BC04C1" w:rsidRDefault="00BC04C1" w:rsidP="00980A89">
      <w:pPr>
        <w:spacing w:before="0" w:beforeAutospacing="0" w:after="0" w:afterAutospacing="0"/>
        <w:ind w:firstLine="720"/>
        <w:jc w:val="both"/>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283"/>
        <w:gridCol w:w="5386"/>
      </w:tblGrid>
      <w:tr w:rsidR="00BC04C1" w:rsidRPr="00542F93" w:rsidTr="00D13399">
        <w:tc>
          <w:tcPr>
            <w:tcW w:w="9219" w:type="dxa"/>
            <w:gridSpan w:val="3"/>
            <w:vAlign w:val="center"/>
          </w:tcPr>
          <w:p w:rsidR="00BC04C1" w:rsidRPr="00542F93" w:rsidRDefault="00BC04C1" w:rsidP="00980A89">
            <w:pPr>
              <w:pStyle w:val="naisnod"/>
              <w:spacing w:before="0" w:after="0"/>
              <w:jc w:val="both"/>
            </w:pPr>
            <w:r w:rsidRPr="00542F93">
              <w:t>II. Tiesību akta projekta ietekme uz sabiedrību</w:t>
            </w:r>
          </w:p>
        </w:tc>
      </w:tr>
      <w:tr w:rsidR="00BC04C1" w:rsidRPr="00542F93" w:rsidTr="00D13399">
        <w:trPr>
          <w:trHeight w:val="467"/>
        </w:trPr>
        <w:tc>
          <w:tcPr>
            <w:tcW w:w="550" w:type="dxa"/>
          </w:tcPr>
          <w:p w:rsidR="00BC04C1" w:rsidRPr="00542F93" w:rsidRDefault="00BC04C1" w:rsidP="00980A89">
            <w:pPr>
              <w:pStyle w:val="naiskr"/>
              <w:spacing w:before="0" w:after="0"/>
              <w:jc w:val="both"/>
            </w:pPr>
            <w:r w:rsidRPr="00542F93">
              <w:t>1.</w:t>
            </w:r>
          </w:p>
        </w:tc>
        <w:tc>
          <w:tcPr>
            <w:tcW w:w="3283" w:type="dxa"/>
          </w:tcPr>
          <w:p w:rsidR="00BC04C1" w:rsidRPr="00542F93" w:rsidRDefault="00BC04C1" w:rsidP="00980A89">
            <w:pPr>
              <w:pStyle w:val="naiskr"/>
              <w:spacing w:before="0" w:after="0"/>
              <w:jc w:val="both"/>
            </w:pPr>
            <w:r w:rsidRPr="00542F93">
              <w:t>Sabiedrības mērķgrupa</w:t>
            </w:r>
          </w:p>
        </w:tc>
        <w:tc>
          <w:tcPr>
            <w:tcW w:w="5386" w:type="dxa"/>
          </w:tcPr>
          <w:p w:rsidR="00BC04C1" w:rsidRPr="00542F93" w:rsidRDefault="00BC04C1" w:rsidP="00980A89">
            <w:pPr>
              <w:pStyle w:val="naiskr"/>
              <w:spacing w:before="120" w:after="120"/>
              <w:ind w:left="141" w:right="142"/>
              <w:jc w:val="both"/>
            </w:pPr>
            <w:r w:rsidRPr="00542F93">
              <w:t>Valsts pārvaldes iestādes, pilnvarotās personas valsts pārvaldes uzdevumu veikšanai un citi informācijas sistēmu un elektronisko pakalpojumu lietotāji.</w:t>
            </w:r>
            <w:r w:rsidRPr="00542F93">
              <w:rPr>
                <w:b/>
                <w:bCs/>
              </w:rPr>
              <w:t xml:space="preserve"> </w:t>
            </w:r>
          </w:p>
        </w:tc>
      </w:tr>
      <w:tr w:rsidR="00BC04C1" w:rsidRPr="00542F93" w:rsidTr="00D13399">
        <w:trPr>
          <w:trHeight w:val="523"/>
        </w:trPr>
        <w:tc>
          <w:tcPr>
            <w:tcW w:w="550" w:type="dxa"/>
          </w:tcPr>
          <w:p w:rsidR="00BC04C1" w:rsidRPr="00542F93" w:rsidRDefault="00BC04C1" w:rsidP="00980A89">
            <w:pPr>
              <w:pStyle w:val="naiskr"/>
              <w:spacing w:before="0" w:after="0"/>
              <w:jc w:val="both"/>
            </w:pPr>
            <w:r w:rsidRPr="00542F93">
              <w:t>2.</w:t>
            </w:r>
          </w:p>
        </w:tc>
        <w:tc>
          <w:tcPr>
            <w:tcW w:w="3283" w:type="dxa"/>
          </w:tcPr>
          <w:p w:rsidR="00BC04C1" w:rsidRPr="00542F93" w:rsidRDefault="00BC04C1" w:rsidP="00980A89">
            <w:pPr>
              <w:pStyle w:val="naiskr"/>
              <w:spacing w:before="0" w:after="0"/>
              <w:jc w:val="both"/>
            </w:pPr>
            <w:r w:rsidRPr="00542F93">
              <w:t>Citas sabiedrības grupas (bez mērķgrupas), kuras tiesiskais regulējums arī ietekmē vai varētu ietekmēt</w:t>
            </w:r>
          </w:p>
        </w:tc>
        <w:tc>
          <w:tcPr>
            <w:tcW w:w="5386" w:type="dxa"/>
          </w:tcPr>
          <w:p w:rsidR="00BC04C1" w:rsidRPr="00542F93" w:rsidRDefault="00BC04C1" w:rsidP="00980A89">
            <w:pPr>
              <w:pStyle w:val="naiskr"/>
              <w:spacing w:before="0" w:after="0"/>
              <w:ind w:left="141" w:right="142"/>
              <w:jc w:val="both"/>
            </w:pPr>
            <w:r w:rsidRPr="00542F93">
              <w:rPr>
                <w:iCs/>
              </w:rPr>
              <w:t>Nav attiecināms.</w:t>
            </w:r>
          </w:p>
        </w:tc>
      </w:tr>
      <w:tr w:rsidR="00BC04C1" w:rsidRPr="00542F93" w:rsidTr="00D13399">
        <w:trPr>
          <w:trHeight w:val="517"/>
        </w:trPr>
        <w:tc>
          <w:tcPr>
            <w:tcW w:w="550" w:type="dxa"/>
          </w:tcPr>
          <w:p w:rsidR="00BC04C1" w:rsidRPr="00542F93" w:rsidRDefault="00BC04C1" w:rsidP="00980A89">
            <w:pPr>
              <w:pStyle w:val="naiskr"/>
              <w:spacing w:before="0" w:after="0"/>
              <w:jc w:val="both"/>
            </w:pPr>
            <w:r w:rsidRPr="00542F93">
              <w:t>3.</w:t>
            </w:r>
          </w:p>
        </w:tc>
        <w:tc>
          <w:tcPr>
            <w:tcW w:w="3283" w:type="dxa"/>
          </w:tcPr>
          <w:p w:rsidR="00BC04C1" w:rsidRPr="00542F93" w:rsidRDefault="00BC04C1" w:rsidP="00980A89">
            <w:pPr>
              <w:pStyle w:val="naiskr"/>
              <w:spacing w:before="0" w:after="0"/>
              <w:jc w:val="both"/>
            </w:pPr>
            <w:r w:rsidRPr="00542F93">
              <w:t>Tiesiskā regulējuma finansiālā ietekme</w:t>
            </w:r>
          </w:p>
        </w:tc>
        <w:tc>
          <w:tcPr>
            <w:tcW w:w="5386" w:type="dxa"/>
          </w:tcPr>
          <w:p w:rsidR="00BC04C1" w:rsidRPr="00542F93" w:rsidRDefault="00BC04C1" w:rsidP="00980A89">
            <w:pPr>
              <w:pStyle w:val="naiskr"/>
              <w:spacing w:before="0" w:after="0"/>
              <w:ind w:left="102" w:right="142"/>
              <w:jc w:val="both"/>
            </w:pPr>
            <w:r w:rsidRPr="00542F93">
              <w:t>Tiek precizēts finansējuma sadalījums pa nozaru ministrijām un to pakļautībā un pārraudzībā esošajām institūcijām apakšaktivitātes ietvaros, ņemot vērā apstiprināto projektu apakšaktivitātes ietvaros summas.</w:t>
            </w:r>
          </w:p>
          <w:p w:rsidR="00BC04C1" w:rsidRPr="00542F93" w:rsidRDefault="00BC04C1" w:rsidP="00980A89">
            <w:pPr>
              <w:pStyle w:val="naiskr"/>
              <w:spacing w:before="0" w:after="0"/>
              <w:ind w:left="102" w:right="142"/>
              <w:jc w:val="both"/>
            </w:pPr>
          </w:p>
        </w:tc>
      </w:tr>
      <w:tr w:rsidR="00BC04C1" w:rsidRPr="00542F93" w:rsidTr="00D13399">
        <w:trPr>
          <w:trHeight w:val="517"/>
        </w:trPr>
        <w:tc>
          <w:tcPr>
            <w:tcW w:w="550" w:type="dxa"/>
          </w:tcPr>
          <w:p w:rsidR="00BC04C1" w:rsidRPr="00542F93" w:rsidRDefault="00BC04C1" w:rsidP="00980A89">
            <w:pPr>
              <w:pStyle w:val="naiskr"/>
              <w:spacing w:before="0" w:after="0"/>
              <w:jc w:val="both"/>
            </w:pPr>
            <w:r w:rsidRPr="00542F93">
              <w:t>4.</w:t>
            </w:r>
          </w:p>
        </w:tc>
        <w:tc>
          <w:tcPr>
            <w:tcW w:w="3283" w:type="dxa"/>
          </w:tcPr>
          <w:p w:rsidR="00BC04C1" w:rsidRPr="00542F93" w:rsidRDefault="00BC04C1" w:rsidP="00980A89">
            <w:pPr>
              <w:pStyle w:val="naiskr"/>
              <w:spacing w:before="0" w:after="0"/>
              <w:jc w:val="both"/>
            </w:pPr>
            <w:r w:rsidRPr="00542F93">
              <w:t>Tiesiskā regulējuma nefinansiālā ietekme</w:t>
            </w:r>
          </w:p>
        </w:tc>
        <w:tc>
          <w:tcPr>
            <w:tcW w:w="5386" w:type="dxa"/>
          </w:tcPr>
          <w:p w:rsidR="00BC04C1" w:rsidRPr="00542F93" w:rsidRDefault="001835DF" w:rsidP="003A28F8">
            <w:pPr>
              <w:pStyle w:val="naiskr"/>
              <w:spacing w:before="0" w:after="0"/>
              <w:ind w:left="102" w:right="142"/>
              <w:jc w:val="both"/>
            </w:pPr>
            <w:r w:rsidRPr="00542F93">
              <w:rPr>
                <w:iCs/>
              </w:rPr>
              <w:t xml:space="preserve">Pēc noteikumu </w:t>
            </w:r>
            <w:r w:rsidRPr="00710F3A">
              <w:rPr>
                <w:iCs/>
              </w:rPr>
              <w:t>projekta apstiprināšanas finansējuma saņēmējiem būs jāveic vienošanās par Eiropas Savienības fonda projekta īstenošanu un Eiropas Savienības Reģionālā attīstības fonda finansējuma piešķiršanu</w:t>
            </w:r>
            <w:r>
              <w:rPr>
                <w:iCs/>
              </w:rPr>
              <w:t xml:space="preserve"> un</w:t>
            </w:r>
            <w:r w:rsidRPr="00710F3A">
              <w:rPr>
                <w:iCs/>
              </w:rPr>
              <w:t xml:space="preserve"> projekt</w:t>
            </w:r>
            <w:r>
              <w:rPr>
                <w:iCs/>
              </w:rPr>
              <w:t>u</w:t>
            </w:r>
            <w:r w:rsidRPr="00710F3A">
              <w:rPr>
                <w:iCs/>
              </w:rPr>
              <w:t xml:space="preserve"> grozījumi, precizējot</w:t>
            </w:r>
            <w:r w:rsidRPr="00542F93">
              <w:rPr>
                <w:iCs/>
              </w:rPr>
              <w:t xml:space="preserve"> </w:t>
            </w:r>
            <w:r>
              <w:rPr>
                <w:iCs/>
              </w:rPr>
              <w:lastRenderedPageBreak/>
              <w:t xml:space="preserve">vienošanās un </w:t>
            </w:r>
            <w:r w:rsidRPr="00542F93">
              <w:rPr>
                <w:iCs/>
              </w:rPr>
              <w:t>projektus atbilstoši spēkā esošajam tiesiskajam regulējumam.</w:t>
            </w:r>
          </w:p>
        </w:tc>
      </w:tr>
      <w:tr w:rsidR="00BC04C1" w:rsidRPr="00542F93" w:rsidTr="00D13399">
        <w:trPr>
          <w:trHeight w:val="531"/>
        </w:trPr>
        <w:tc>
          <w:tcPr>
            <w:tcW w:w="550" w:type="dxa"/>
          </w:tcPr>
          <w:p w:rsidR="00BC04C1" w:rsidRPr="00542F93" w:rsidRDefault="00BC04C1" w:rsidP="007B3198">
            <w:pPr>
              <w:pStyle w:val="naiskr"/>
              <w:spacing w:before="0" w:after="0"/>
            </w:pPr>
            <w:r w:rsidRPr="00542F93">
              <w:lastRenderedPageBreak/>
              <w:t>5.</w:t>
            </w:r>
          </w:p>
        </w:tc>
        <w:tc>
          <w:tcPr>
            <w:tcW w:w="3283" w:type="dxa"/>
          </w:tcPr>
          <w:p w:rsidR="00BC04C1" w:rsidRPr="00542F93" w:rsidRDefault="00BC04C1" w:rsidP="007B3198">
            <w:pPr>
              <w:pStyle w:val="naiskr"/>
              <w:spacing w:before="0" w:after="0"/>
            </w:pPr>
            <w:r w:rsidRPr="00542F93">
              <w:t>Administratīvās procedūras raksturojums</w:t>
            </w:r>
          </w:p>
        </w:tc>
        <w:tc>
          <w:tcPr>
            <w:tcW w:w="5386" w:type="dxa"/>
          </w:tcPr>
          <w:p w:rsidR="00BC04C1" w:rsidRPr="00542F93" w:rsidRDefault="00BC04C1" w:rsidP="007B3198">
            <w:pPr>
              <w:pStyle w:val="naiskr"/>
              <w:spacing w:before="0" w:after="0"/>
              <w:ind w:left="102" w:right="142"/>
            </w:pPr>
            <w:r w:rsidRPr="00542F93">
              <w:rPr>
                <w:iCs/>
              </w:rPr>
              <w:t>Nav attiecināms.</w:t>
            </w:r>
          </w:p>
        </w:tc>
      </w:tr>
      <w:tr w:rsidR="00BC04C1" w:rsidRPr="00542F93" w:rsidTr="00D13399">
        <w:trPr>
          <w:trHeight w:val="357"/>
        </w:trPr>
        <w:tc>
          <w:tcPr>
            <w:tcW w:w="550" w:type="dxa"/>
          </w:tcPr>
          <w:p w:rsidR="00BC04C1" w:rsidRPr="00542F93" w:rsidRDefault="00BC04C1" w:rsidP="00D22743">
            <w:pPr>
              <w:pStyle w:val="naiskr"/>
              <w:spacing w:before="0" w:after="0"/>
            </w:pPr>
            <w:r w:rsidRPr="00542F93">
              <w:t>6.</w:t>
            </w:r>
          </w:p>
        </w:tc>
        <w:tc>
          <w:tcPr>
            <w:tcW w:w="3283" w:type="dxa"/>
          </w:tcPr>
          <w:p w:rsidR="00BC04C1" w:rsidRPr="00542F93" w:rsidRDefault="00BC04C1" w:rsidP="00D22743">
            <w:pPr>
              <w:pStyle w:val="naiskr"/>
              <w:spacing w:before="0" w:after="0"/>
            </w:pPr>
            <w:r w:rsidRPr="00542F93">
              <w:t>Administratīvo izmaksu monetārs novērtējums</w:t>
            </w:r>
          </w:p>
        </w:tc>
        <w:tc>
          <w:tcPr>
            <w:tcW w:w="5386" w:type="dxa"/>
          </w:tcPr>
          <w:p w:rsidR="00BC04C1" w:rsidRPr="00980A89" w:rsidRDefault="00BC04C1" w:rsidP="00980A89">
            <w:pPr>
              <w:pStyle w:val="naiskr"/>
              <w:spacing w:before="0" w:after="0"/>
              <w:ind w:left="102" w:right="142"/>
              <w:rPr>
                <w:iCs/>
              </w:rPr>
            </w:pPr>
            <w:r w:rsidRPr="00542F93">
              <w:rPr>
                <w:iCs/>
              </w:rPr>
              <w:t>Nav attiecināms.</w:t>
            </w:r>
          </w:p>
        </w:tc>
      </w:tr>
      <w:tr w:rsidR="00BC04C1" w:rsidRPr="00542F93" w:rsidTr="00D13399">
        <w:tc>
          <w:tcPr>
            <w:tcW w:w="550" w:type="dxa"/>
          </w:tcPr>
          <w:p w:rsidR="00BC04C1" w:rsidRPr="00542F93" w:rsidRDefault="00BC04C1" w:rsidP="00D22743">
            <w:pPr>
              <w:pStyle w:val="naiskr"/>
              <w:spacing w:before="0" w:after="0"/>
            </w:pPr>
            <w:r w:rsidRPr="00542F93">
              <w:t>7.</w:t>
            </w:r>
          </w:p>
        </w:tc>
        <w:tc>
          <w:tcPr>
            <w:tcW w:w="3283" w:type="dxa"/>
          </w:tcPr>
          <w:p w:rsidR="00BC04C1" w:rsidRPr="00542F93" w:rsidRDefault="00BC04C1" w:rsidP="00D22743">
            <w:pPr>
              <w:pStyle w:val="naiskr"/>
              <w:spacing w:before="0" w:after="0"/>
            </w:pPr>
            <w:r w:rsidRPr="00542F93">
              <w:t>Cita informācija</w:t>
            </w:r>
          </w:p>
        </w:tc>
        <w:tc>
          <w:tcPr>
            <w:tcW w:w="5386" w:type="dxa"/>
          </w:tcPr>
          <w:p w:rsidR="00BC04C1" w:rsidRPr="00980A89" w:rsidRDefault="00BC04C1" w:rsidP="00980A89">
            <w:pPr>
              <w:pStyle w:val="naiskr"/>
              <w:spacing w:before="0" w:after="0"/>
              <w:ind w:left="102" w:right="142"/>
              <w:rPr>
                <w:iCs/>
              </w:rPr>
            </w:pPr>
            <w:r w:rsidRPr="00542F93">
              <w:rPr>
                <w:iCs/>
              </w:rPr>
              <w:t>Nav attiecināms.</w:t>
            </w:r>
          </w:p>
        </w:tc>
      </w:tr>
    </w:tbl>
    <w:p w:rsidR="001C0092" w:rsidRDefault="001C0092" w:rsidP="001565BC">
      <w:pPr>
        <w:spacing w:before="0" w:beforeAutospacing="0" w:after="0" w:afterAutospacing="0"/>
        <w:jc w:val="both"/>
      </w:pPr>
    </w:p>
    <w:tbl>
      <w:tblPr>
        <w:tblW w:w="9279"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2985"/>
        <w:gridCol w:w="5336"/>
      </w:tblGrid>
      <w:tr w:rsidR="001565BC" w:rsidRPr="007C0F2C" w:rsidTr="00D13399">
        <w:trPr>
          <w:jc w:val="center"/>
        </w:trPr>
        <w:tc>
          <w:tcPr>
            <w:tcW w:w="9279" w:type="dxa"/>
            <w:gridSpan w:val="3"/>
          </w:tcPr>
          <w:p w:rsidR="001565BC" w:rsidRPr="007C0F2C" w:rsidRDefault="001565BC" w:rsidP="003344B3">
            <w:pPr>
              <w:pStyle w:val="naisnod"/>
              <w:spacing w:before="0" w:after="0"/>
              <w:jc w:val="both"/>
            </w:pPr>
            <w:r w:rsidRPr="00004EFF">
              <w:t>IV. Tiesību akta projekta ietekme uz spēkā esošo tiesību normu sistēmu</w:t>
            </w:r>
            <w:r w:rsidRPr="007C0F2C">
              <w:t xml:space="preserve"> </w:t>
            </w:r>
          </w:p>
        </w:tc>
      </w:tr>
      <w:tr w:rsidR="00F600DF" w:rsidRPr="00327620" w:rsidTr="00D13399">
        <w:trPr>
          <w:jc w:val="center"/>
        </w:trPr>
        <w:tc>
          <w:tcPr>
            <w:tcW w:w="958" w:type="dxa"/>
          </w:tcPr>
          <w:p w:rsidR="00F600DF" w:rsidRPr="0025465D" w:rsidRDefault="00F600DF" w:rsidP="003344B3">
            <w:pPr>
              <w:pStyle w:val="naiskr"/>
              <w:spacing w:before="0" w:after="0"/>
            </w:pPr>
            <w:r w:rsidRPr="0025465D">
              <w:t>1.</w:t>
            </w:r>
          </w:p>
        </w:tc>
        <w:tc>
          <w:tcPr>
            <w:tcW w:w="2985" w:type="dxa"/>
          </w:tcPr>
          <w:p w:rsidR="00F600DF" w:rsidRPr="0025465D" w:rsidRDefault="00F600DF" w:rsidP="003344B3">
            <w:pPr>
              <w:pStyle w:val="naiskr"/>
              <w:spacing w:before="0" w:after="0"/>
            </w:pPr>
            <w:r w:rsidRPr="00004EFF">
              <w:t>Nepieciešamie saistītie tiesību aktu projekti</w:t>
            </w:r>
          </w:p>
        </w:tc>
        <w:tc>
          <w:tcPr>
            <w:tcW w:w="5336" w:type="dxa"/>
          </w:tcPr>
          <w:p w:rsidR="009C4A25" w:rsidRPr="00F600DF" w:rsidRDefault="009C4A25" w:rsidP="009C4A25">
            <w:pPr>
              <w:spacing w:before="0" w:beforeAutospacing="0" w:after="0" w:afterAutospacing="0"/>
              <w:jc w:val="both"/>
              <w:rPr>
                <w:iCs/>
              </w:rPr>
            </w:pPr>
            <w:r>
              <w:rPr>
                <w:iCs/>
              </w:rPr>
              <w:t>VARAM</w:t>
            </w:r>
            <w:r w:rsidRPr="00F600DF">
              <w:rPr>
                <w:iCs/>
              </w:rPr>
              <w:t xml:space="preserve"> ir sagatavojusi iesniegšanai Ministru kabinetā </w:t>
            </w:r>
            <w:r w:rsidR="004D4859">
              <w:rPr>
                <w:iCs/>
              </w:rPr>
              <w:t xml:space="preserve">Ministru kabineta </w:t>
            </w:r>
            <w:r w:rsidRPr="00F600DF">
              <w:rPr>
                <w:iCs/>
              </w:rPr>
              <w:t>rīkojuma projektu „Grozījumi darbības programmas „Infrastruktūra un pakalpojumi” papildinājumā”, lai nodrošinātu, ka noteikuma projekts atbilst darbības programmas „Infrastruktūra un pakalpojumi” papildinājumā noteiktajam.</w:t>
            </w:r>
          </w:p>
          <w:p w:rsidR="009C4A25" w:rsidRDefault="009C4A25" w:rsidP="009C4A25">
            <w:pPr>
              <w:spacing w:before="0" w:beforeAutospacing="0" w:after="0" w:afterAutospacing="0"/>
              <w:jc w:val="both"/>
              <w:rPr>
                <w:iCs/>
              </w:rPr>
            </w:pPr>
            <w:r w:rsidRPr="00F600DF">
              <w:rPr>
                <w:iCs/>
              </w:rPr>
              <w:t>Finanšu ministrija un Tieslietu ministrija atbalsta Min</w:t>
            </w:r>
            <w:r>
              <w:rPr>
                <w:iCs/>
              </w:rPr>
              <w:t>istru kabineta rīkojuma projekta</w:t>
            </w:r>
            <w:r w:rsidRPr="00F600DF">
              <w:rPr>
                <w:iCs/>
              </w:rPr>
              <w:t xml:space="preserve"> „Grozījumi darbības programmas „Infrastruktūra un pakalpojumi” papildinājumā” un tā sākotnējās ietekmes </w:t>
            </w:r>
            <w:r>
              <w:rPr>
                <w:iCs/>
              </w:rPr>
              <w:t>novērtējuma ziņojuma</w:t>
            </w:r>
            <w:r w:rsidRPr="00F600DF">
              <w:rPr>
                <w:iCs/>
              </w:rPr>
              <w:t xml:space="preserve"> (anotācij</w:t>
            </w:r>
            <w:r>
              <w:rPr>
                <w:iCs/>
              </w:rPr>
              <w:t>as</w:t>
            </w:r>
            <w:r w:rsidRPr="00F600DF">
              <w:rPr>
                <w:iCs/>
              </w:rPr>
              <w:t>) tālāku virzību bez iebildumiem.</w:t>
            </w:r>
          </w:p>
          <w:p w:rsidR="009C4A25" w:rsidRDefault="009C4A25" w:rsidP="009C4A25">
            <w:pPr>
              <w:spacing w:before="0" w:beforeAutospacing="0" w:after="0" w:afterAutospacing="0"/>
              <w:jc w:val="both"/>
            </w:pPr>
            <w:r>
              <w:rPr>
                <w:iCs/>
              </w:rPr>
              <w:t>VARAM</w:t>
            </w:r>
            <w:r w:rsidRPr="00F600DF">
              <w:rPr>
                <w:iCs/>
              </w:rPr>
              <w:t xml:space="preserve"> ir </w:t>
            </w:r>
            <w:r w:rsidR="00533334">
              <w:rPr>
                <w:iCs/>
              </w:rPr>
              <w:t>iesniegusi izskatīšanai</w:t>
            </w:r>
            <w:r w:rsidRPr="00F600DF">
              <w:rPr>
                <w:iCs/>
              </w:rPr>
              <w:t xml:space="preserve"> Ministru kabinetā</w:t>
            </w:r>
            <w:r>
              <w:rPr>
                <w:iCs/>
              </w:rPr>
              <w:t xml:space="preserve"> </w:t>
            </w:r>
            <w:r>
              <w:t>Ministru kabineta rīkojuma projektu „Par Ministru kabineta 2010.gada 15.marta rīkojuma Nr.147 „Par elektroniskās pārvaldes un informācijas sabiedrības attīstības prioritāro projektu sarakstu” atzīšanu par spēku zaudējušu” un tā anotāciju.</w:t>
            </w:r>
          </w:p>
          <w:p w:rsidR="009C4A25" w:rsidRDefault="009C4A25" w:rsidP="009C4A25">
            <w:pPr>
              <w:spacing w:before="0" w:beforeAutospacing="0" w:after="0" w:afterAutospacing="0"/>
              <w:jc w:val="both"/>
              <w:rPr>
                <w:iCs/>
              </w:rPr>
            </w:pPr>
            <w:r w:rsidRPr="00F600DF">
              <w:rPr>
                <w:iCs/>
              </w:rPr>
              <w:t>Finanšu ministrija un Tieslietu ministrija</w:t>
            </w:r>
            <w:r>
              <w:rPr>
                <w:iCs/>
              </w:rPr>
              <w:t xml:space="preserve"> atbalsta</w:t>
            </w:r>
            <w:r w:rsidRPr="00F600DF">
              <w:rPr>
                <w:iCs/>
              </w:rPr>
              <w:t xml:space="preserve"> </w:t>
            </w:r>
            <w:r>
              <w:t xml:space="preserve">Ministru kabineta rīkojuma projekta „Par Ministru kabineta 2010.gada 15.marta rīkojuma Nr.147 „Par elektroniskās pārvaldes un informācijas sabiedrības attīstības prioritāro projektu sarakstu” atzīšanu par spēku zaudējušu” un </w:t>
            </w:r>
            <w:r w:rsidRPr="00F600DF">
              <w:rPr>
                <w:iCs/>
              </w:rPr>
              <w:t xml:space="preserve">tā sākotnējās ietekmes </w:t>
            </w:r>
            <w:r>
              <w:rPr>
                <w:iCs/>
              </w:rPr>
              <w:t>novērtējuma ziņojuma</w:t>
            </w:r>
            <w:r w:rsidRPr="00F600DF">
              <w:rPr>
                <w:iCs/>
              </w:rPr>
              <w:t xml:space="preserve"> (anotācij</w:t>
            </w:r>
            <w:r>
              <w:rPr>
                <w:iCs/>
              </w:rPr>
              <w:t>as</w:t>
            </w:r>
            <w:r w:rsidRPr="00F600DF">
              <w:rPr>
                <w:iCs/>
              </w:rPr>
              <w:t>) tālāku virzību bez iebildumiem.</w:t>
            </w:r>
          </w:p>
          <w:p w:rsidR="00F600DF" w:rsidRDefault="009C4A25" w:rsidP="009C4A25">
            <w:pPr>
              <w:spacing w:before="0" w:beforeAutospacing="0" w:after="0" w:afterAutospacing="0"/>
              <w:jc w:val="both"/>
            </w:pPr>
            <w:r>
              <w:rPr>
                <w:iCs/>
              </w:rPr>
              <w:t>Ministru kabineta</w:t>
            </w:r>
            <w:r w:rsidRPr="00F600DF">
              <w:rPr>
                <w:iCs/>
              </w:rPr>
              <w:t xml:space="preserve"> </w:t>
            </w:r>
            <w:r>
              <w:rPr>
                <w:iCs/>
              </w:rPr>
              <w:t>rīkojuma projekts</w:t>
            </w:r>
            <w:r w:rsidRPr="00F600DF">
              <w:rPr>
                <w:iCs/>
              </w:rPr>
              <w:t xml:space="preserve"> „Grozījumi darbības programmas „Infrastruktūra un pakalpojumi” papildinājumā”</w:t>
            </w:r>
            <w:r>
              <w:rPr>
                <w:iCs/>
              </w:rPr>
              <w:t xml:space="preserve"> un </w:t>
            </w:r>
            <w:r>
              <w:t>Ministru kabineta rīkojuma projekts „Par Ministru kabineta 2010.gada 15.marta rīkojuma Nr.147 „Par elektroniskās pārvaldes un informācijas sabiedrības attīstības prioritāro projektu sarakstu” atzīšanu par spēku zaudējušu” tiks virzīts Ministru kabinetā apstiprināšanai vienlaikus ar noteikumu projektu.</w:t>
            </w:r>
          </w:p>
          <w:p w:rsidR="003608FD" w:rsidRPr="003608FD" w:rsidRDefault="003608FD" w:rsidP="003608FD">
            <w:pPr>
              <w:spacing w:before="0" w:beforeAutospacing="0" w:after="0" w:afterAutospacing="0"/>
              <w:jc w:val="both"/>
            </w:pPr>
            <w:r w:rsidRPr="00872718">
              <w:t xml:space="preserve">VARAM ir sagatavojusi iesniegšanai Ministru kabinetā komitejā </w:t>
            </w:r>
            <w:r>
              <w:t>i</w:t>
            </w:r>
            <w:r w:rsidRPr="00872718">
              <w:t>nformatīvo ziņojumu par Ministru kabineta 2011.gada 14.jūnija protokollēmuma Nr.36 izpildi</w:t>
            </w:r>
            <w:r>
              <w:t>.</w:t>
            </w:r>
          </w:p>
        </w:tc>
      </w:tr>
      <w:tr w:rsidR="00F600DF" w:rsidRPr="00327620" w:rsidTr="00D13399">
        <w:trPr>
          <w:jc w:val="center"/>
        </w:trPr>
        <w:tc>
          <w:tcPr>
            <w:tcW w:w="958" w:type="dxa"/>
          </w:tcPr>
          <w:p w:rsidR="00F600DF" w:rsidRPr="0025465D" w:rsidRDefault="00F600DF" w:rsidP="003344B3">
            <w:pPr>
              <w:pStyle w:val="naiskr"/>
              <w:spacing w:before="0" w:after="0"/>
            </w:pPr>
            <w:r w:rsidRPr="00004EFF">
              <w:lastRenderedPageBreak/>
              <w:t>2.</w:t>
            </w:r>
          </w:p>
        </w:tc>
        <w:tc>
          <w:tcPr>
            <w:tcW w:w="2985" w:type="dxa"/>
          </w:tcPr>
          <w:p w:rsidR="00F600DF" w:rsidRPr="0025465D" w:rsidRDefault="00F600DF" w:rsidP="003344B3">
            <w:pPr>
              <w:pStyle w:val="naiskr"/>
              <w:spacing w:before="0" w:after="0"/>
            </w:pPr>
            <w:r w:rsidRPr="00004EFF">
              <w:t>Cita informācija</w:t>
            </w:r>
          </w:p>
        </w:tc>
        <w:tc>
          <w:tcPr>
            <w:tcW w:w="5336" w:type="dxa"/>
          </w:tcPr>
          <w:p w:rsidR="00F600DF" w:rsidRPr="00327620" w:rsidRDefault="00F600DF" w:rsidP="003344B3">
            <w:pPr>
              <w:pStyle w:val="naiskr"/>
              <w:tabs>
                <w:tab w:val="left" w:pos="2628"/>
              </w:tabs>
              <w:spacing w:before="0" w:after="0"/>
              <w:ind w:left="102" w:right="142"/>
              <w:jc w:val="both"/>
            </w:pPr>
            <w:r>
              <w:t>Nav attiecināms.</w:t>
            </w:r>
          </w:p>
        </w:tc>
      </w:tr>
    </w:tbl>
    <w:p w:rsidR="001565BC" w:rsidRDefault="001565BC" w:rsidP="001565BC">
      <w:pPr>
        <w:spacing w:before="0" w:beforeAutospacing="0" w:after="0" w:afterAutospacing="0"/>
        <w:jc w:val="both"/>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69"/>
        <w:gridCol w:w="138"/>
        <w:gridCol w:w="3267"/>
        <w:gridCol w:w="5382"/>
      </w:tblGrid>
      <w:tr w:rsidR="00606BB1" w:rsidRPr="00542F93" w:rsidTr="00D13399">
        <w:tc>
          <w:tcPr>
            <w:tcW w:w="378" w:type="pct"/>
            <w:gridSpan w:val="2"/>
            <w:tcBorders>
              <w:top w:val="outset" w:sz="6" w:space="0" w:color="000000"/>
              <w:bottom w:val="outset" w:sz="6" w:space="0" w:color="000000"/>
            </w:tcBorders>
          </w:tcPr>
          <w:p w:rsidR="00606BB1" w:rsidRPr="00542F93" w:rsidRDefault="00606BB1" w:rsidP="00D22743">
            <w:pPr>
              <w:jc w:val="center"/>
              <w:rPr>
                <w:b/>
                <w:bCs/>
              </w:rPr>
            </w:pPr>
          </w:p>
        </w:tc>
        <w:tc>
          <w:tcPr>
            <w:tcW w:w="4622" w:type="pct"/>
            <w:gridSpan w:val="2"/>
            <w:tcBorders>
              <w:top w:val="outset" w:sz="6" w:space="0" w:color="000000"/>
              <w:bottom w:val="outset" w:sz="6" w:space="0" w:color="000000"/>
            </w:tcBorders>
          </w:tcPr>
          <w:p w:rsidR="00606BB1" w:rsidRPr="00542F93" w:rsidRDefault="00606BB1" w:rsidP="00D22743">
            <w:pPr>
              <w:jc w:val="center"/>
              <w:rPr>
                <w:b/>
                <w:bCs/>
              </w:rPr>
            </w:pPr>
            <w:r w:rsidRPr="00542F93">
              <w:rPr>
                <w:b/>
                <w:bCs/>
              </w:rPr>
              <w:t>VII. Tiesību akta projekta izpildes nodrošināšana un tās ietekme uz institūcijām</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D22743">
            <w:pPr>
              <w:pStyle w:val="naisnod"/>
              <w:spacing w:before="0" w:after="0"/>
              <w:ind w:right="57"/>
              <w:jc w:val="left"/>
              <w:rPr>
                <w:b w:val="0"/>
                <w:sz w:val="22"/>
                <w:szCs w:val="22"/>
              </w:rPr>
            </w:pPr>
            <w:r w:rsidRPr="007C0F2C">
              <w:rPr>
                <w:b w:val="0"/>
                <w:sz w:val="22"/>
                <w:szCs w:val="22"/>
              </w:rPr>
              <w:t>1.</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Projekta izpildē iesaistītās institūcijas</w:t>
            </w:r>
          </w:p>
        </w:tc>
        <w:tc>
          <w:tcPr>
            <w:tcW w:w="2877" w:type="pct"/>
            <w:tcBorders>
              <w:top w:val="outset" w:sz="6" w:space="0" w:color="000000"/>
              <w:left w:val="outset" w:sz="6" w:space="0" w:color="000000"/>
              <w:bottom w:val="outset" w:sz="6" w:space="0" w:color="000000"/>
            </w:tcBorders>
          </w:tcPr>
          <w:p w:rsidR="00606BB1" w:rsidRPr="00542F93" w:rsidRDefault="00606BB1" w:rsidP="00ED4C32">
            <w:pPr>
              <w:spacing w:before="0" w:beforeAutospacing="0" w:after="0" w:afterAutospacing="0"/>
              <w:jc w:val="both"/>
            </w:pPr>
            <w:r w:rsidRPr="00175F41">
              <w:t>Vides aizsardzības un reģionālās attīstības ministrija</w:t>
            </w:r>
            <w:r>
              <w:t xml:space="preserve">, </w:t>
            </w:r>
            <w:r w:rsidRPr="00542F93">
              <w:t>Centrālā finanšu un līgumu aģentūra</w:t>
            </w:r>
            <w:r w:rsidR="00ED4C32">
              <w:t>.</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D22743">
            <w:pPr>
              <w:pStyle w:val="naisnod"/>
              <w:spacing w:before="0" w:after="0"/>
              <w:ind w:right="57"/>
              <w:jc w:val="left"/>
              <w:rPr>
                <w:b w:val="0"/>
                <w:sz w:val="22"/>
                <w:szCs w:val="22"/>
              </w:rPr>
            </w:pPr>
            <w:r w:rsidRPr="007C0F2C">
              <w:rPr>
                <w:b w:val="0"/>
                <w:sz w:val="22"/>
                <w:szCs w:val="22"/>
              </w:rPr>
              <w:t>2.</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Projekta izpildes ietekme uz pārvaldes funkcijām</w:t>
            </w:r>
          </w:p>
        </w:tc>
        <w:tc>
          <w:tcPr>
            <w:tcW w:w="2877" w:type="pct"/>
            <w:tcBorders>
              <w:top w:val="outset" w:sz="6" w:space="0" w:color="000000"/>
              <w:left w:val="outset" w:sz="6" w:space="0" w:color="000000"/>
              <w:bottom w:val="outset" w:sz="6" w:space="0" w:color="000000"/>
            </w:tcBorders>
          </w:tcPr>
          <w:p w:rsidR="00606BB1" w:rsidRPr="00542F93" w:rsidRDefault="00606BB1" w:rsidP="00980A89">
            <w:pPr>
              <w:spacing w:before="0" w:beforeAutospacing="0" w:after="0" w:afterAutospacing="0"/>
              <w:jc w:val="both"/>
            </w:pPr>
            <w:r w:rsidRPr="00542F93">
              <w:rPr>
                <w:iCs/>
              </w:rPr>
              <w:t>Nav attiecināms.</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7B3198">
            <w:pPr>
              <w:pStyle w:val="naisnod"/>
              <w:spacing w:before="0" w:after="0"/>
              <w:ind w:left="57" w:right="57"/>
              <w:jc w:val="left"/>
              <w:rPr>
                <w:b w:val="0"/>
                <w:sz w:val="22"/>
                <w:szCs w:val="22"/>
              </w:rPr>
            </w:pPr>
            <w:r w:rsidRPr="007C0F2C">
              <w:rPr>
                <w:b w:val="0"/>
                <w:sz w:val="22"/>
                <w:szCs w:val="22"/>
              </w:rPr>
              <w:t>3.</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Projekta izpildes ietekme uz pārvaldes institucionālo struktūru.</w:t>
            </w:r>
          </w:p>
          <w:p w:rsidR="00606BB1" w:rsidRPr="00542F93" w:rsidRDefault="00606BB1" w:rsidP="00980A89">
            <w:pPr>
              <w:spacing w:before="0" w:beforeAutospacing="0" w:after="0" w:afterAutospacing="0"/>
              <w:jc w:val="both"/>
            </w:pPr>
            <w:r w:rsidRPr="00542F93">
              <w:t>Jaunu institūciju izveide</w:t>
            </w:r>
          </w:p>
        </w:tc>
        <w:tc>
          <w:tcPr>
            <w:tcW w:w="2877" w:type="pct"/>
            <w:tcBorders>
              <w:top w:val="outset" w:sz="6" w:space="0" w:color="000000"/>
              <w:left w:val="outset" w:sz="6" w:space="0" w:color="000000"/>
              <w:bottom w:val="outset" w:sz="6" w:space="0" w:color="000000"/>
            </w:tcBorders>
          </w:tcPr>
          <w:p w:rsidR="00606BB1" w:rsidRPr="00542F93" w:rsidRDefault="00606BB1" w:rsidP="00980A89">
            <w:pPr>
              <w:spacing w:before="0" w:beforeAutospacing="0" w:after="0" w:afterAutospacing="0"/>
              <w:jc w:val="both"/>
            </w:pPr>
            <w:r w:rsidRPr="00542F93">
              <w:t>Jaunas institūcijas netiek izveidotas.</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7B3198">
            <w:pPr>
              <w:pStyle w:val="naisnod"/>
              <w:spacing w:before="0" w:after="0"/>
              <w:ind w:left="57" w:right="57"/>
              <w:jc w:val="left"/>
              <w:rPr>
                <w:b w:val="0"/>
                <w:sz w:val="22"/>
                <w:szCs w:val="22"/>
              </w:rPr>
            </w:pPr>
            <w:r w:rsidRPr="007C0F2C">
              <w:rPr>
                <w:b w:val="0"/>
                <w:sz w:val="22"/>
                <w:szCs w:val="22"/>
              </w:rPr>
              <w:t>4.</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Projekta izpildes ietekme uz pārvaldes institucionālo struktūru.</w:t>
            </w:r>
          </w:p>
          <w:p w:rsidR="00606BB1" w:rsidRPr="00542F93" w:rsidRDefault="00606BB1" w:rsidP="00980A89">
            <w:pPr>
              <w:spacing w:before="0" w:beforeAutospacing="0" w:after="0" w:afterAutospacing="0"/>
              <w:jc w:val="both"/>
            </w:pPr>
            <w:r w:rsidRPr="00542F93">
              <w:t>Esošu institūciju likvidācija</w:t>
            </w:r>
          </w:p>
        </w:tc>
        <w:tc>
          <w:tcPr>
            <w:tcW w:w="2877" w:type="pct"/>
            <w:tcBorders>
              <w:top w:val="outset" w:sz="6" w:space="0" w:color="000000"/>
              <w:left w:val="outset" w:sz="6" w:space="0" w:color="000000"/>
              <w:bottom w:val="outset" w:sz="6" w:space="0" w:color="000000"/>
            </w:tcBorders>
          </w:tcPr>
          <w:p w:rsidR="00606BB1" w:rsidRPr="00542F93" w:rsidRDefault="00606BB1" w:rsidP="00980A89">
            <w:pPr>
              <w:spacing w:before="0" w:beforeAutospacing="0" w:after="0" w:afterAutospacing="0"/>
              <w:jc w:val="both"/>
            </w:pPr>
            <w:r w:rsidRPr="00542F93">
              <w:t>Esošās institūcijas netiek likvidētas.</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7B3198">
            <w:pPr>
              <w:pStyle w:val="naisnod"/>
              <w:spacing w:before="0" w:after="0"/>
              <w:ind w:left="57" w:right="57"/>
              <w:jc w:val="left"/>
              <w:rPr>
                <w:b w:val="0"/>
                <w:sz w:val="22"/>
                <w:szCs w:val="22"/>
              </w:rPr>
            </w:pPr>
            <w:r w:rsidRPr="007C0F2C">
              <w:rPr>
                <w:b w:val="0"/>
                <w:sz w:val="22"/>
                <w:szCs w:val="22"/>
              </w:rPr>
              <w:t>5.</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Projekta izpildes ietekme uz pārvaldes institucionālo struktūru.</w:t>
            </w:r>
          </w:p>
          <w:p w:rsidR="00606BB1" w:rsidRPr="00542F93" w:rsidRDefault="00606BB1" w:rsidP="00980A89">
            <w:pPr>
              <w:spacing w:before="0" w:beforeAutospacing="0" w:after="0" w:afterAutospacing="0"/>
              <w:jc w:val="both"/>
            </w:pPr>
            <w:r w:rsidRPr="00542F93">
              <w:t>Esošu institūciju reorganizācija</w:t>
            </w:r>
          </w:p>
        </w:tc>
        <w:tc>
          <w:tcPr>
            <w:tcW w:w="2877" w:type="pct"/>
            <w:tcBorders>
              <w:top w:val="outset" w:sz="6" w:space="0" w:color="000000"/>
              <w:left w:val="outset" w:sz="6" w:space="0" w:color="000000"/>
              <w:bottom w:val="outset" w:sz="6" w:space="0" w:color="000000"/>
            </w:tcBorders>
          </w:tcPr>
          <w:p w:rsidR="00606BB1" w:rsidRPr="00542F93" w:rsidRDefault="00606BB1" w:rsidP="00980A89">
            <w:pPr>
              <w:spacing w:before="0" w:beforeAutospacing="0" w:after="0" w:afterAutospacing="0"/>
              <w:jc w:val="both"/>
            </w:pPr>
            <w:r w:rsidRPr="00542F93">
              <w:t>Esošās institūcijas netiek reorganizētas.</w:t>
            </w:r>
          </w:p>
        </w:tc>
      </w:tr>
      <w:tr w:rsidR="00606BB1" w:rsidRPr="00542F93" w:rsidTr="00A425CF">
        <w:tc>
          <w:tcPr>
            <w:tcW w:w="304" w:type="pct"/>
            <w:tcBorders>
              <w:top w:val="outset" w:sz="6" w:space="0" w:color="000000"/>
              <w:left w:val="outset" w:sz="6" w:space="0" w:color="000000"/>
              <w:bottom w:val="outset" w:sz="6" w:space="0" w:color="000000"/>
              <w:right w:val="outset" w:sz="6" w:space="0" w:color="000000"/>
            </w:tcBorders>
          </w:tcPr>
          <w:p w:rsidR="00606BB1" w:rsidRPr="007C0F2C" w:rsidRDefault="00606BB1" w:rsidP="007B3198">
            <w:pPr>
              <w:pStyle w:val="naiskr"/>
              <w:spacing w:before="0" w:after="0"/>
              <w:ind w:left="57" w:right="57"/>
              <w:rPr>
                <w:sz w:val="22"/>
                <w:szCs w:val="22"/>
              </w:rPr>
            </w:pPr>
            <w:r>
              <w:rPr>
                <w:sz w:val="22"/>
                <w:szCs w:val="22"/>
              </w:rPr>
              <w:t>6</w:t>
            </w:r>
            <w:r w:rsidRPr="007C0F2C">
              <w:rPr>
                <w:sz w:val="22"/>
                <w:szCs w:val="22"/>
              </w:rPr>
              <w:t>.</w:t>
            </w:r>
          </w:p>
        </w:tc>
        <w:tc>
          <w:tcPr>
            <w:tcW w:w="1820" w:type="pct"/>
            <w:gridSpan w:val="2"/>
            <w:tcBorders>
              <w:top w:val="outset" w:sz="6" w:space="0" w:color="000000"/>
              <w:left w:val="outset" w:sz="6" w:space="0" w:color="000000"/>
              <w:bottom w:val="outset" w:sz="6" w:space="0" w:color="000000"/>
              <w:right w:val="outset" w:sz="6" w:space="0" w:color="000000"/>
            </w:tcBorders>
          </w:tcPr>
          <w:p w:rsidR="00606BB1" w:rsidRPr="00542F93" w:rsidRDefault="00606BB1" w:rsidP="00980A89">
            <w:pPr>
              <w:spacing w:before="0" w:beforeAutospacing="0" w:after="0" w:afterAutospacing="0"/>
              <w:jc w:val="both"/>
            </w:pPr>
            <w:r w:rsidRPr="00542F93">
              <w:t>Cita informācija</w:t>
            </w:r>
          </w:p>
        </w:tc>
        <w:tc>
          <w:tcPr>
            <w:tcW w:w="2877" w:type="pct"/>
            <w:tcBorders>
              <w:top w:val="outset" w:sz="6" w:space="0" w:color="000000"/>
              <w:left w:val="outset" w:sz="6" w:space="0" w:color="000000"/>
              <w:bottom w:val="outset" w:sz="6" w:space="0" w:color="000000"/>
            </w:tcBorders>
          </w:tcPr>
          <w:p w:rsidR="00606BB1" w:rsidRPr="00542F93" w:rsidRDefault="001C0092" w:rsidP="004D4859">
            <w:pPr>
              <w:spacing w:before="0" w:beforeAutospacing="0" w:after="0" w:afterAutospacing="0"/>
              <w:jc w:val="both"/>
            </w:pPr>
            <w:r>
              <w:rPr>
                <w:iCs/>
              </w:rPr>
              <w:t xml:space="preserve">Pēc </w:t>
            </w:r>
            <w:r>
              <w:t>noteikuma projekta apstiprināšanas lūdzam precizēt 63.</w:t>
            </w:r>
            <w:r w:rsidR="0020420D">
              <w:t xml:space="preserve"> un </w:t>
            </w:r>
            <w:r w:rsidR="00D92F02">
              <w:t>64</w:t>
            </w:r>
            <w:r>
              <w:t>.</w:t>
            </w:r>
            <w:r w:rsidR="00D92F02">
              <w:t>punktu</w:t>
            </w:r>
            <w:r>
              <w:t>, tajos norādot noteikuma projekta apstiprināšanas datumu.</w:t>
            </w:r>
          </w:p>
        </w:tc>
      </w:tr>
    </w:tbl>
    <w:p w:rsidR="00606BB1" w:rsidRPr="001C0092" w:rsidRDefault="00606BB1" w:rsidP="00F155F6">
      <w:pPr>
        <w:pStyle w:val="naisf"/>
        <w:spacing w:before="0" w:beforeAutospacing="0" w:after="0" w:afterAutospacing="0"/>
        <w:rPr>
          <w:color w:val="FF0000"/>
          <w:lang w:val="lv-LV"/>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3"/>
      </w:tblGrid>
      <w:tr w:rsidR="00606BB1" w:rsidRPr="00542F93" w:rsidTr="00D13399">
        <w:tc>
          <w:tcPr>
            <w:tcW w:w="9503" w:type="dxa"/>
          </w:tcPr>
          <w:p w:rsidR="00606BB1" w:rsidRPr="001C0092" w:rsidRDefault="00606BB1" w:rsidP="001565BC">
            <w:pPr>
              <w:pStyle w:val="naisf"/>
              <w:spacing w:before="0" w:after="0"/>
              <w:jc w:val="left"/>
              <w:rPr>
                <w:lang w:val="lv-LV"/>
              </w:rPr>
            </w:pPr>
            <w:r w:rsidRPr="001C0092">
              <w:rPr>
                <w:lang w:val="lv-LV"/>
              </w:rPr>
              <w:t>Anotācijas III, V un VI sadaļas – nav attiecināmas.</w:t>
            </w:r>
          </w:p>
        </w:tc>
      </w:tr>
    </w:tbl>
    <w:p w:rsidR="00F155F6" w:rsidRDefault="00F155F6" w:rsidP="001307EA">
      <w:pPr>
        <w:pStyle w:val="BodyTextIndent"/>
        <w:tabs>
          <w:tab w:val="num" w:pos="1090"/>
        </w:tabs>
        <w:rPr>
          <w:sz w:val="24"/>
          <w:szCs w:val="24"/>
        </w:rPr>
      </w:pPr>
    </w:p>
    <w:p w:rsidR="00533334" w:rsidRDefault="00533334" w:rsidP="001307EA">
      <w:pPr>
        <w:pStyle w:val="BodyTextIndent"/>
        <w:tabs>
          <w:tab w:val="num" w:pos="1090"/>
        </w:tabs>
        <w:rPr>
          <w:sz w:val="24"/>
          <w:szCs w:val="24"/>
        </w:rPr>
      </w:pPr>
    </w:p>
    <w:p w:rsidR="001307EA" w:rsidRPr="00D22743" w:rsidRDefault="001307EA" w:rsidP="001307EA">
      <w:pPr>
        <w:pStyle w:val="BodyTextIndent"/>
        <w:tabs>
          <w:tab w:val="num" w:pos="1090"/>
        </w:tabs>
        <w:rPr>
          <w:sz w:val="24"/>
          <w:szCs w:val="24"/>
        </w:rPr>
      </w:pPr>
      <w:r w:rsidRPr="00D22743">
        <w:rPr>
          <w:sz w:val="24"/>
          <w:szCs w:val="24"/>
        </w:rPr>
        <w:t xml:space="preserve">Iesniedzējs: </w:t>
      </w:r>
    </w:p>
    <w:p w:rsidR="00E55D4E" w:rsidRPr="00D22743" w:rsidRDefault="00E55D4E" w:rsidP="00E55D4E">
      <w:pPr>
        <w:spacing w:before="0" w:beforeAutospacing="0" w:after="0" w:afterAutospacing="0"/>
        <w:jc w:val="both"/>
        <w:rPr>
          <w:lang w:bidi="lo-LA"/>
        </w:rPr>
      </w:pPr>
      <w:r w:rsidRPr="00D22743">
        <w:rPr>
          <w:lang w:bidi="lo-LA"/>
        </w:rPr>
        <w:t xml:space="preserve">Vides </w:t>
      </w:r>
      <w:r w:rsidR="0091018E" w:rsidRPr="00D22743">
        <w:rPr>
          <w:lang w:bidi="lo-LA"/>
        </w:rPr>
        <w:t xml:space="preserve">aizsardzības un reģionālās attīstības </w:t>
      </w:r>
      <w:r w:rsidRPr="00D22743">
        <w:rPr>
          <w:lang w:bidi="lo-LA"/>
        </w:rPr>
        <w:t>ministr</w:t>
      </w:r>
      <w:r w:rsidR="000B05A9" w:rsidRPr="00D22743">
        <w:rPr>
          <w:lang w:bidi="lo-LA"/>
        </w:rPr>
        <w:t>s</w:t>
      </w:r>
      <w:r w:rsidRPr="00D22743">
        <w:rPr>
          <w:lang w:bidi="lo-LA"/>
        </w:rPr>
        <w:tab/>
      </w:r>
      <w:r w:rsidRPr="00D22743">
        <w:rPr>
          <w:lang w:bidi="lo-LA"/>
        </w:rPr>
        <w:tab/>
      </w:r>
      <w:r w:rsidRPr="00D22743">
        <w:rPr>
          <w:lang w:bidi="lo-LA"/>
        </w:rPr>
        <w:tab/>
      </w:r>
      <w:r w:rsidR="000B05A9" w:rsidRPr="00D22743">
        <w:rPr>
          <w:lang w:bidi="lo-LA"/>
        </w:rPr>
        <w:tab/>
      </w:r>
      <w:r w:rsidR="00D22743">
        <w:rPr>
          <w:lang w:bidi="lo-LA"/>
        </w:rPr>
        <w:tab/>
      </w:r>
      <w:r w:rsidR="00FF2043">
        <w:rPr>
          <w:lang w:bidi="lo-LA"/>
        </w:rPr>
        <w:t>E.Sprūdžs</w:t>
      </w:r>
    </w:p>
    <w:p w:rsidR="001307EA" w:rsidRPr="00D22743" w:rsidRDefault="001307EA" w:rsidP="001307EA">
      <w:pPr>
        <w:spacing w:before="0" w:beforeAutospacing="0" w:after="0" w:afterAutospacing="0"/>
        <w:jc w:val="both"/>
      </w:pPr>
    </w:p>
    <w:p w:rsidR="001307EA" w:rsidRPr="00D22743" w:rsidRDefault="001307EA" w:rsidP="001307EA">
      <w:pPr>
        <w:spacing w:before="0" w:beforeAutospacing="0" w:after="0" w:afterAutospacing="0"/>
        <w:jc w:val="both"/>
      </w:pPr>
      <w:r w:rsidRPr="00D22743">
        <w:t xml:space="preserve">Vizē: </w:t>
      </w:r>
    </w:p>
    <w:p w:rsidR="001307EA" w:rsidRPr="00D22743" w:rsidRDefault="001307EA" w:rsidP="001307EA">
      <w:pPr>
        <w:spacing w:before="0" w:beforeAutospacing="0" w:after="0" w:afterAutospacing="0"/>
        <w:jc w:val="both"/>
      </w:pPr>
      <w:r w:rsidRPr="00D22743">
        <w:t>Valsts sekretārs</w:t>
      </w:r>
      <w:r w:rsidRPr="00D22743">
        <w:tab/>
      </w:r>
      <w:r w:rsidRPr="00D22743">
        <w:tab/>
      </w:r>
      <w:r w:rsidRPr="00D22743">
        <w:tab/>
      </w:r>
      <w:r w:rsidRPr="00D22743">
        <w:tab/>
      </w:r>
      <w:r w:rsidRPr="00D22743">
        <w:tab/>
      </w:r>
      <w:r w:rsidRPr="00D22743">
        <w:tab/>
      </w:r>
      <w:r w:rsidRPr="00D22743">
        <w:tab/>
      </w:r>
      <w:r w:rsidRPr="00D22743">
        <w:tab/>
      </w:r>
      <w:r w:rsidR="009F40E3" w:rsidRPr="00D22743">
        <w:tab/>
      </w:r>
      <w:r w:rsidRPr="00D22743">
        <w:t>G.Puķītis</w:t>
      </w:r>
    </w:p>
    <w:p w:rsidR="001307EA" w:rsidRDefault="001307EA"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541C2E" w:rsidRDefault="00541C2E" w:rsidP="001307EA">
      <w:pPr>
        <w:spacing w:before="0" w:beforeAutospacing="0" w:after="0" w:afterAutospacing="0"/>
        <w:rPr>
          <w:noProof/>
          <w:sz w:val="20"/>
          <w:szCs w:val="20"/>
        </w:rPr>
      </w:pPr>
    </w:p>
    <w:p w:rsidR="00670FC5" w:rsidRPr="008C0B9E" w:rsidRDefault="00DF6C47" w:rsidP="00670FC5">
      <w:pPr>
        <w:pStyle w:val="naisf"/>
        <w:spacing w:before="0" w:beforeAutospacing="0" w:after="0" w:afterAutospacing="0"/>
        <w:rPr>
          <w:sz w:val="16"/>
          <w:szCs w:val="16"/>
        </w:rPr>
      </w:pPr>
      <w:r w:rsidRPr="008C0B9E">
        <w:rPr>
          <w:sz w:val="16"/>
          <w:szCs w:val="16"/>
        </w:rPr>
        <w:fldChar w:fldCharType="begin"/>
      </w:r>
      <w:r w:rsidR="00670FC5" w:rsidRPr="008C0B9E">
        <w:rPr>
          <w:sz w:val="16"/>
          <w:szCs w:val="16"/>
        </w:rPr>
        <w:instrText xml:space="preserve"> TIME  \@ "dd.MM.yyyy. H:mm" </w:instrText>
      </w:r>
      <w:r w:rsidRPr="008C0B9E">
        <w:rPr>
          <w:sz w:val="16"/>
          <w:szCs w:val="16"/>
        </w:rPr>
        <w:fldChar w:fldCharType="separate"/>
      </w:r>
      <w:r w:rsidR="00E71DF6">
        <w:rPr>
          <w:noProof/>
          <w:sz w:val="16"/>
          <w:szCs w:val="16"/>
        </w:rPr>
        <w:t>06.01.2012. 16:18</w:t>
      </w:r>
      <w:r w:rsidRPr="008C0B9E">
        <w:rPr>
          <w:sz w:val="16"/>
          <w:szCs w:val="16"/>
        </w:rPr>
        <w:fldChar w:fldCharType="end"/>
      </w:r>
    </w:p>
    <w:p w:rsidR="00670FC5" w:rsidRPr="008C0B9E" w:rsidRDefault="00EE7476" w:rsidP="00670FC5">
      <w:pPr>
        <w:pStyle w:val="naisf"/>
        <w:spacing w:before="0" w:beforeAutospacing="0" w:after="0" w:afterAutospacing="0"/>
        <w:rPr>
          <w:sz w:val="16"/>
          <w:szCs w:val="16"/>
        </w:rPr>
      </w:pPr>
      <w:r>
        <w:rPr>
          <w:sz w:val="16"/>
          <w:szCs w:val="16"/>
        </w:rPr>
        <w:t>1</w:t>
      </w:r>
      <w:r w:rsidR="00214F09">
        <w:rPr>
          <w:sz w:val="16"/>
          <w:szCs w:val="16"/>
        </w:rPr>
        <w:t>6</w:t>
      </w:r>
      <w:r w:rsidR="00E71DF6">
        <w:rPr>
          <w:sz w:val="16"/>
          <w:szCs w:val="16"/>
        </w:rPr>
        <w:t>07</w:t>
      </w:r>
    </w:p>
    <w:p w:rsidR="00A15F7B" w:rsidRDefault="00A15F7B" w:rsidP="00670FC5">
      <w:pPr>
        <w:pStyle w:val="naisf"/>
        <w:spacing w:before="0" w:beforeAutospacing="0" w:after="0" w:afterAutospacing="0"/>
        <w:rPr>
          <w:sz w:val="16"/>
          <w:szCs w:val="16"/>
        </w:rPr>
      </w:pPr>
    </w:p>
    <w:p w:rsidR="00670FC5" w:rsidRPr="008C0B9E" w:rsidRDefault="00472FC0" w:rsidP="00670FC5">
      <w:pPr>
        <w:pStyle w:val="naisf"/>
        <w:spacing w:before="0" w:beforeAutospacing="0" w:after="0" w:afterAutospacing="0"/>
        <w:rPr>
          <w:sz w:val="16"/>
          <w:szCs w:val="16"/>
        </w:rPr>
      </w:pPr>
      <w:r>
        <w:rPr>
          <w:sz w:val="16"/>
          <w:szCs w:val="16"/>
        </w:rPr>
        <w:t>R.Timermanis</w:t>
      </w:r>
    </w:p>
    <w:p w:rsidR="00FF5533" w:rsidRDefault="00472FC0" w:rsidP="00670FC5">
      <w:pPr>
        <w:spacing w:before="0" w:beforeAutospacing="0" w:after="0" w:afterAutospacing="0"/>
        <w:rPr>
          <w:sz w:val="16"/>
          <w:szCs w:val="16"/>
        </w:rPr>
      </w:pPr>
      <w:r w:rsidRPr="008C0B9E">
        <w:rPr>
          <w:sz w:val="16"/>
          <w:szCs w:val="16"/>
        </w:rPr>
        <w:t>6777032</w:t>
      </w:r>
      <w:r>
        <w:rPr>
          <w:sz w:val="16"/>
          <w:szCs w:val="16"/>
        </w:rPr>
        <w:t>4</w:t>
      </w:r>
      <w:r w:rsidR="00670FC5" w:rsidRPr="008C0B9E">
        <w:rPr>
          <w:sz w:val="16"/>
          <w:szCs w:val="16"/>
        </w:rPr>
        <w:t xml:space="preserve">, </w:t>
      </w:r>
      <w:hyperlink r:id="rId9" w:history="1">
        <w:r w:rsidR="00A15F7B" w:rsidRPr="00CF4685">
          <w:rPr>
            <w:rStyle w:val="Hyperlink"/>
            <w:sz w:val="16"/>
            <w:szCs w:val="16"/>
          </w:rPr>
          <w:t>Ritvars.Timermanis@varam.gov.lv</w:t>
        </w:r>
      </w:hyperlink>
    </w:p>
    <w:p w:rsidR="00A15F7B" w:rsidRDefault="00A15F7B" w:rsidP="00670FC5">
      <w:pPr>
        <w:spacing w:before="0" w:beforeAutospacing="0" w:after="0" w:afterAutospacing="0"/>
        <w:rPr>
          <w:sz w:val="16"/>
          <w:szCs w:val="16"/>
        </w:rPr>
      </w:pPr>
      <w:r>
        <w:rPr>
          <w:sz w:val="16"/>
          <w:szCs w:val="16"/>
        </w:rPr>
        <w:t>I.Briņķe</w:t>
      </w:r>
    </w:p>
    <w:p w:rsidR="00A15F7B" w:rsidRDefault="00A15F7B" w:rsidP="00670FC5">
      <w:pPr>
        <w:spacing w:before="0" w:beforeAutospacing="0" w:after="0" w:afterAutospacing="0"/>
        <w:rPr>
          <w:sz w:val="16"/>
          <w:szCs w:val="16"/>
        </w:rPr>
      </w:pPr>
      <w:r>
        <w:rPr>
          <w:sz w:val="16"/>
          <w:szCs w:val="16"/>
        </w:rPr>
        <w:t xml:space="preserve">67770326, </w:t>
      </w:r>
      <w:hyperlink r:id="rId10" w:history="1">
        <w:r w:rsidRPr="00CF4685">
          <w:rPr>
            <w:rStyle w:val="Hyperlink"/>
            <w:sz w:val="16"/>
            <w:szCs w:val="16"/>
          </w:rPr>
          <w:t>Ieva.Brinke@varam.gov.lv</w:t>
        </w:r>
      </w:hyperlink>
    </w:p>
    <w:p w:rsidR="00A15F7B" w:rsidRDefault="00A15F7B" w:rsidP="00670FC5">
      <w:pPr>
        <w:spacing w:before="0" w:beforeAutospacing="0" w:after="0" w:afterAutospacing="0"/>
      </w:pPr>
    </w:p>
    <w:sectPr w:rsidR="00A15F7B" w:rsidSect="00D13399">
      <w:headerReference w:type="even" r:id="rId11"/>
      <w:headerReference w:type="default" r:id="rId12"/>
      <w:footerReference w:type="default" r:id="rId13"/>
      <w:footerReference w:type="first" r:id="rId14"/>
      <w:pgSz w:w="11906" w:h="16838"/>
      <w:pgMar w:top="1418" w:right="1134" w:bottom="1134" w:left="1701" w:header="709" w:footer="3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E4" w:rsidRDefault="00972CE4">
      <w:r>
        <w:separator/>
      </w:r>
    </w:p>
  </w:endnote>
  <w:endnote w:type="continuationSeparator" w:id="0">
    <w:p w:rsidR="00972CE4" w:rsidRDefault="0097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B" w:rsidRPr="00D22743" w:rsidRDefault="0031103B" w:rsidP="00D22743">
    <w:pPr>
      <w:spacing w:after="0"/>
      <w:jc w:val="both"/>
      <w:rPr>
        <w:sz w:val="20"/>
        <w:szCs w:val="20"/>
      </w:rPr>
    </w:pPr>
    <w:r w:rsidRPr="00434D60">
      <w:rPr>
        <w:color w:val="000000"/>
        <w:sz w:val="20"/>
        <w:szCs w:val="20"/>
      </w:rPr>
      <w:t>VARAM</w:t>
    </w:r>
    <w:r>
      <w:rPr>
        <w:color w:val="000000"/>
        <w:sz w:val="20"/>
        <w:szCs w:val="20"/>
      </w:rPr>
      <w:t>An</w:t>
    </w:r>
    <w:r w:rsidRPr="00434D60">
      <w:rPr>
        <w:color w:val="000000"/>
        <w:sz w:val="20"/>
        <w:szCs w:val="20"/>
      </w:rPr>
      <w:t>ot_</w:t>
    </w:r>
    <w:r w:rsidR="00541C2E" w:rsidRPr="00541C2E">
      <w:rPr>
        <w:sz w:val="20"/>
        <w:szCs w:val="20"/>
      </w:rPr>
      <w:t>0</w:t>
    </w:r>
    <w:r w:rsidR="00B54DCF">
      <w:rPr>
        <w:sz w:val="20"/>
        <w:szCs w:val="20"/>
      </w:rPr>
      <w:t>6</w:t>
    </w:r>
    <w:r w:rsidR="00541C2E" w:rsidRPr="00541C2E">
      <w:rPr>
        <w:sz w:val="20"/>
        <w:szCs w:val="20"/>
      </w:rPr>
      <w:t>0112</w:t>
    </w:r>
    <w:r w:rsidRPr="00434D60">
      <w:rPr>
        <w:color w:val="000000"/>
        <w:sz w:val="20"/>
        <w:szCs w:val="20"/>
      </w:rPr>
      <w:t xml:space="preserve">_groz766; </w:t>
    </w:r>
    <w:r w:rsidRPr="00434D60">
      <w:rPr>
        <w:sz w:val="20"/>
        <w:szCs w:val="20"/>
      </w:rPr>
      <w:t xml:space="preserve">Ministru kabineta noteikumu projekts </w:t>
    </w:r>
    <w:r w:rsidRPr="00434D60">
      <w:rPr>
        <w:bCs/>
        <w:sz w:val="20"/>
        <w:szCs w:val="20"/>
      </w:rPr>
      <w:t>"Grozījumi Ministru kabineta 2010.gada 10.augusta noteikumos Nr.766 "Noteikumi par darbības programmas "Infrastruktūra un pakalpojumi" papildinājuma 3.2.2.1.1.apakšaktivitātes "Informācijas sistēmu un elektronisko pakalpojumu attīstība" projektu iesniegumu atlases otro kārtu""</w:t>
    </w:r>
    <w:r w:rsidRPr="00434D60">
      <w:rPr>
        <w:sz w:val="20"/>
        <w:szCs w:val="20"/>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B" w:rsidRPr="00D22743" w:rsidRDefault="0031103B" w:rsidP="00D22743">
    <w:pPr>
      <w:spacing w:after="0"/>
      <w:jc w:val="both"/>
      <w:rPr>
        <w:sz w:val="20"/>
        <w:szCs w:val="20"/>
      </w:rPr>
    </w:pPr>
    <w:r w:rsidRPr="00434D60">
      <w:rPr>
        <w:color w:val="000000"/>
        <w:sz w:val="20"/>
        <w:szCs w:val="20"/>
      </w:rPr>
      <w:t>VARAM</w:t>
    </w:r>
    <w:r>
      <w:rPr>
        <w:color w:val="000000"/>
        <w:sz w:val="20"/>
        <w:szCs w:val="20"/>
      </w:rPr>
      <w:t>An</w:t>
    </w:r>
    <w:r w:rsidRPr="00434D60">
      <w:rPr>
        <w:color w:val="000000"/>
        <w:sz w:val="20"/>
        <w:szCs w:val="20"/>
      </w:rPr>
      <w:t>ot_</w:t>
    </w:r>
    <w:r w:rsidR="00541C2E" w:rsidRPr="00541C2E">
      <w:rPr>
        <w:sz w:val="20"/>
        <w:szCs w:val="20"/>
      </w:rPr>
      <w:t>0</w:t>
    </w:r>
    <w:r w:rsidR="00B54DCF">
      <w:rPr>
        <w:sz w:val="20"/>
        <w:szCs w:val="20"/>
      </w:rPr>
      <w:t>6</w:t>
    </w:r>
    <w:r w:rsidR="00541C2E" w:rsidRPr="00541C2E">
      <w:rPr>
        <w:sz w:val="20"/>
        <w:szCs w:val="20"/>
      </w:rPr>
      <w:t>0112</w:t>
    </w:r>
    <w:r w:rsidRPr="00434D60">
      <w:rPr>
        <w:color w:val="000000"/>
        <w:sz w:val="20"/>
        <w:szCs w:val="20"/>
      </w:rPr>
      <w:t xml:space="preserve">_groz766; </w:t>
    </w:r>
    <w:r w:rsidRPr="00434D60">
      <w:rPr>
        <w:sz w:val="20"/>
        <w:szCs w:val="20"/>
      </w:rPr>
      <w:t xml:space="preserve">Ministru kabineta noteikumu projekts </w:t>
    </w:r>
    <w:r w:rsidRPr="00434D60">
      <w:rPr>
        <w:bCs/>
        <w:sz w:val="20"/>
        <w:szCs w:val="20"/>
      </w:rPr>
      <w:t>"Grozījumi Ministru kabineta 2010.gada 10.augusta noteikumos Nr.766 "Noteikumi par darbības programmas "Infrastruktūra un pakalpojumi" papildinājuma 3.2.2.1.1.apakšaktivitātes "Informācijas sistēmu un elektronisko pakalpojumu attīstība" projektu iesniegumu atlases otro kārtu""</w:t>
    </w:r>
    <w:r w:rsidRPr="00434D60">
      <w:rPr>
        <w:sz w:val="20"/>
        <w:szCs w:val="20"/>
      </w:rPr>
      <w: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E4" w:rsidRDefault="00972CE4">
      <w:r>
        <w:separator/>
      </w:r>
    </w:p>
  </w:footnote>
  <w:footnote w:type="continuationSeparator" w:id="0">
    <w:p w:rsidR="00972CE4" w:rsidRDefault="0097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B" w:rsidRDefault="00DF6C47" w:rsidP="004210C4">
    <w:pPr>
      <w:pStyle w:val="Header"/>
      <w:framePr w:wrap="around" w:vAnchor="text" w:hAnchor="margin" w:xAlign="center" w:y="1"/>
      <w:rPr>
        <w:rStyle w:val="PageNumber"/>
      </w:rPr>
    </w:pPr>
    <w:r>
      <w:rPr>
        <w:rStyle w:val="PageNumber"/>
      </w:rPr>
      <w:fldChar w:fldCharType="begin"/>
    </w:r>
    <w:r w:rsidR="0031103B">
      <w:rPr>
        <w:rStyle w:val="PageNumber"/>
      </w:rPr>
      <w:instrText xml:space="preserve">PAGE  </w:instrText>
    </w:r>
    <w:r>
      <w:rPr>
        <w:rStyle w:val="PageNumber"/>
      </w:rPr>
      <w:fldChar w:fldCharType="separate"/>
    </w:r>
    <w:r w:rsidR="0031103B">
      <w:rPr>
        <w:rStyle w:val="PageNumber"/>
        <w:noProof/>
      </w:rPr>
      <w:t>2</w:t>
    </w:r>
    <w:r>
      <w:rPr>
        <w:rStyle w:val="PageNumber"/>
      </w:rPr>
      <w:fldChar w:fldCharType="end"/>
    </w:r>
  </w:p>
  <w:p w:rsidR="0031103B" w:rsidRDefault="003110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03B" w:rsidRDefault="00DF6C47" w:rsidP="004210C4">
    <w:pPr>
      <w:pStyle w:val="Header"/>
      <w:framePr w:wrap="around" w:vAnchor="text" w:hAnchor="margin" w:xAlign="center" w:y="1"/>
      <w:rPr>
        <w:rStyle w:val="PageNumber"/>
      </w:rPr>
    </w:pPr>
    <w:r>
      <w:rPr>
        <w:rStyle w:val="PageNumber"/>
      </w:rPr>
      <w:fldChar w:fldCharType="begin"/>
    </w:r>
    <w:r w:rsidR="0031103B">
      <w:rPr>
        <w:rStyle w:val="PageNumber"/>
      </w:rPr>
      <w:instrText xml:space="preserve">PAGE  </w:instrText>
    </w:r>
    <w:r>
      <w:rPr>
        <w:rStyle w:val="PageNumber"/>
      </w:rPr>
      <w:fldChar w:fldCharType="separate"/>
    </w:r>
    <w:r w:rsidR="00E71DF6">
      <w:rPr>
        <w:rStyle w:val="PageNumber"/>
        <w:noProof/>
      </w:rPr>
      <w:t>7</w:t>
    </w:r>
    <w:r>
      <w:rPr>
        <w:rStyle w:val="PageNumber"/>
      </w:rPr>
      <w:fldChar w:fldCharType="end"/>
    </w:r>
  </w:p>
  <w:p w:rsidR="0031103B" w:rsidRDefault="003110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F9C"/>
    <w:multiLevelType w:val="hybridMultilevel"/>
    <w:tmpl w:val="33F2583C"/>
    <w:lvl w:ilvl="0" w:tplc="55589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705AF6"/>
    <w:multiLevelType w:val="hybridMultilevel"/>
    <w:tmpl w:val="7B0AB6EC"/>
    <w:lvl w:ilvl="0" w:tplc="F4D646A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2">
    <w:nsid w:val="575F1857"/>
    <w:multiLevelType w:val="hybridMultilevel"/>
    <w:tmpl w:val="DC042CF6"/>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nsid w:val="65315E1B"/>
    <w:multiLevelType w:val="hybridMultilevel"/>
    <w:tmpl w:val="DC042CF6"/>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64BA"/>
    <w:rsid w:val="0000045A"/>
    <w:rsid w:val="00005D0E"/>
    <w:rsid w:val="0000637D"/>
    <w:rsid w:val="000154CB"/>
    <w:rsid w:val="00031B23"/>
    <w:rsid w:val="00053967"/>
    <w:rsid w:val="00055411"/>
    <w:rsid w:val="00084D71"/>
    <w:rsid w:val="000905D0"/>
    <w:rsid w:val="000A03AF"/>
    <w:rsid w:val="000A3740"/>
    <w:rsid w:val="000B05A9"/>
    <w:rsid w:val="000B4B94"/>
    <w:rsid w:val="000C3AB2"/>
    <w:rsid w:val="000D2F5E"/>
    <w:rsid w:val="000D4369"/>
    <w:rsid w:val="000D6B90"/>
    <w:rsid w:val="000E5AAF"/>
    <w:rsid w:val="000F3793"/>
    <w:rsid w:val="000F6267"/>
    <w:rsid w:val="00102E9E"/>
    <w:rsid w:val="00127A5D"/>
    <w:rsid w:val="001307EA"/>
    <w:rsid w:val="00130C60"/>
    <w:rsid w:val="0014177E"/>
    <w:rsid w:val="00152DB2"/>
    <w:rsid w:val="001565BC"/>
    <w:rsid w:val="00161F68"/>
    <w:rsid w:val="00175F41"/>
    <w:rsid w:val="00182121"/>
    <w:rsid w:val="001835DF"/>
    <w:rsid w:val="0018485D"/>
    <w:rsid w:val="0019213E"/>
    <w:rsid w:val="001C0092"/>
    <w:rsid w:val="001C32FE"/>
    <w:rsid w:val="001E7278"/>
    <w:rsid w:val="001E7DAA"/>
    <w:rsid w:val="0020420D"/>
    <w:rsid w:val="00214F09"/>
    <w:rsid w:val="002172CC"/>
    <w:rsid w:val="00252472"/>
    <w:rsid w:val="002651C7"/>
    <w:rsid w:val="002701F1"/>
    <w:rsid w:val="002752D3"/>
    <w:rsid w:val="002A2473"/>
    <w:rsid w:val="002B6263"/>
    <w:rsid w:val="002D6E8A"/>
    <w:rsid w:val="002D6FDC"/>
    <w:rsid w:val="002E4556"/>
    <w:rsid w:val="002F1AED"/>
    <w:rsid w:val="00300F76"/>
    <w:rsid w:val="0030188C"/>
    <w:rsid w:val="00302F42"/>
    <w:rsid w:val="0031023E"/>
    <w:rsid w:val="0031103B"/>
    <w:rsid w:val="00315F34"/>
    <w:rsid w:val="00322417"/>
    <w:rsid w:val="003326F2"/>
    <w:rsid w:val="00333FF2"/>
    <w:rsid w:val="003344B3"/>
    <w:rsid w:val="0033733A"/>
    <w:rsid w:val="00355F15"/>
    <w:rsid w:val="003608FD"/>
    <w:rsid w:val="003663FA"/>
    <w:rsid w:val="003929B8"/>
    <w:rsid w:val="00393A82"/>
    <w:rsid w:val="003A28F8"/>
    <w:rsid w:val="003B1797"/>
    <w:rsid w:val="003B4241"/>
    <w:rsid w:val="003B598C"/>
    <w:rsid w:val="003B69EE"/>
    <w:rsid w:val="003C0653"/>
    <w:rsid w:val="003F168C"/>
    <w:rsid w:val="004020E7"/>
    <w:rsid w:val="004210C4"/>
    <w:rsid w:val="00421B90"/>
    <w:rsid w:val="00447AC9"/>
    <w:rsid w:val="004514D5"/>
    <w:rsid w:val="00462C23"/>
    <w:rsid w:val="00472FC0"/>
    <w:rsid w:val="00473298"/>
    <w:rsid w:val="004809E4"/>
    <w:rsid w:val="00483FA1"/>
    <w:rsid w:val="00485099"/>
    <w:rsid w:val="0049083E"/>
    <w:rsid w:val="00492B3F"/>
    <w:rsid w:val="004A42FA"/>
    <w:rsid w:val="004B36D3"/>
    <w:rsid w:val="004C56F3"/>
    <w:rsid w:val="004C77B1"/>
    <w:rsid w:val="004D4859"/>
    <w:rsid w:val="004D600A"/>
    <w:rsid w:val="004E6E28"/>
    <w:rsid w:val="004F2F71"/>
    <w:rsid w:val="00506615"/>
    <w:rsid w:val="005122FF"/>
    <w:rsid w:val="005138A6"/>
    <w:rsid w:val="00516FAD"/>
    <w:rsid w:val="00533334"/>
    <w:rsid w:val="00537D29"/>
    <w:rsid w:val="00541C2E"/>
    <w:rsid w:val="00546397"/>
    <w:rsid w:val="00565FFC"/>
    <w:rsid w:val="00573770"/>
    <w:rsid w:val="00583831"/>
    <w:rsid w:val="0058740D"/>
    <w:rsid w:val="00593B00"/>
    <w:rsid w:val="005A1D8A"/>
    <w:rsid w:val="005A7B26"/>
    <w:rsid w:val="005C6545"/>
    <w:rsid w:val="005E2EEE"/>
    <w:rsid w:val="005E313E"/>
    <w:rsid w:val="005F493A"/>
    <w:rsid w:val="00603A20"/>
    <w:rsid w:val="00604030"/>
    <w:rsid w:val="006064D0"/>
    <w:rsid w:val="00606BB1"/>
    <w:rsid w:val="0061387B"/>
    <w:rsid w:val="00623C81"/>
    <w:rsid w:val="00634DDA"/>
    <w:rsid w:val="00641C5F"/>
    <w:rsid w:val="006424BB"/>
    <w:rsid w:val="00670FC5"/>
    <w:rsid w:val="00677CC2"/>
    <w:rsid w:val="0069028F"/>
    <w:rsid w:val="00691865"/>
    <w:rsid w:val="00693056"/>
    <w:rsid w:val="00693E09"/>
    <w:rsid w:val="006A3D78"/>
    <w:rsid w:val="006D02BA"/>
    <w:rsid w:val="006D2D82"/>
    <w:rsid w:val="006E03EC"/>
    <w:rsid w:val="006F0B27"/>
    <w:rsid w:val="006F25EF"/>
    <w:rsid w:val="006F471C"/>
    <w:rsid w:val="007011B6"/>
    <w:rsid w:val="00716AA6"/>
    <w:rsid w:val="00721BD8"/>
    <w:rsid w:val="00725E87"/>
    <w:rsid w:val="007267C6"/>
    <w:rsid w:val="0072740A"/>
    <w:rsid w:val="0075734F"/>
    <w:rsid w:val="007671BC"/>
    <w:rsid w:val="00774648"/>
    <w:rsid w:val="0078224C"/>
    <w:rsid w:val="007947F7"/>
    <w:rsid w:val="007A1637"/>
    <w:rsid w:val="007A308B"/>
    <w:rsid w:val="007A4E6B"/>
    <w:rsid w:val="007B3198"/>
    <w:rsid w:val="007C00D3"/>
    <w:rsid w:val="007C1A44"/>
    <w:rsid w:val="007C5711"/>
    <w:rsid w:val="007F7FB0"/>
    <w:rsid w:val="00805E92"/>
    <w:rsid w:val="008133A1"/>
    <w:rsid w:val="00817CC5"/>
    <w:rsid w:val="008468B3"/>
    <w:rsid w:val="00850FDF"/>
    <w:rsid w:val="008549A4"/>
    <w:rsid w:val="00855D73"/>
    <w:rsid w:val="008678B8"/>
    <w:rsid w:val="00870A45"/>
    <w:rsid w:val="008743CA"/>
    <w:rsid w:val="00875DE6"/>
    <w:rsid w:val="00883657"/>
    <w:rsid w:val="00883AA0"/>
    <w:rsid w:val="008962A1"/>
    <w:rsid w:val="008A1513"/>
    <w:rsid w:val="008B45BE"/>
    <w:rsid w:val="008B48B4"/>
    <w:rsid w:val="008C6801"/>
    <w:rsid w:val="008D4A5E"/>
    <w:rsid w:val="008F0984"/>
    <w:rsid w:val="00904B54"/>
    <w:rsid w:val="00906071"/>
    <w:rsid w:val="0091018E"/>
    <w:rsid w:val="00913FB8"/>
    <w:rsid w:val="00917A11"/>
    <w:rsid w:val="00917EC3"/>
    <w:rsid w:val="00920063"/>
    <w:rsid w:val="0093267E"/>
    <w:rsid w:val="009332A8"/>
    <w:rsid w:val="00937BE0"/>
    <w:rsid w:val="00950378"/>
    <w:rsid w:val="00953DDC"/>
    <w:rsid w:val="00953F8B"/>
    <w:rsid w:val="00956BC2"/>
    <w:rsid w:val="00963B58"/>
    <w:rsid w:val="00964098"/>
    <w:rsid w:val="0097066E"/>
    <w:rsid w:val="00972CE4"/>
    <w:rsid w:val="009750CB"/>
    <w:rsid w:val="00976096"/>
    <w:rsid w:val="009764BA"/>
    <w:rsid w:val="00980A89"/>
    <w:rsid w:val="00982E50"/>
    <w:rsid w:val="009958CE"/>
    <w:rsid w:val="009A7441"/>
    <w:rsid w:val="009A7F24"/>
    <w:rsid w:val="009B028A"/>
    <w:rsid w:val="009B48F9"/>
    <w:rsid w:val="009B6181"/>
    <w:rsid w:val="009C4A25"/>
    <w:rsid w:val="009C6970"/>
    <w:rsid w:val="009D625D"/>
    <w:rsid w:val="009E0C73"/>
    <w:rsid w:val="009E3641"/>
    <w:rsid w:val="009F3E14"/>
    <w:rsid w:val="009F40E3"/>
    <w:rsid w:val="009F7D4D"/>
    <w:rsid w:val="00A05AC4"/>
    <w:rsid w:val="00A14C8C"/>
    <w:rsid w:val="00A15F7B"/>
    <w:rsid w:val="00A16C3D"/>
    <w:rsid w:val="00A21B13"/>
    <w:rsid w:val="00A425CF"/>
    <w:rsid w:val="00A511ED"/>
    <w:rsid w:val="00A52CC8"/>
    <w:rsid w:val="00A62D63"/>
    <w:rsid w:val="00A7172E"/>
    <w:rsid w:val="00A82340"/>
    <w:rsid w:val="00A87F8B"/>
    <w:rsid w:val="00A936A1"/>
    <w:rsid w:val="00AD5C58"/>
    <w:rsid w:val="00B03E2E"/>
    <w:rsid w:val="00B05C5B"/>
    <w:rsid w:val="00B10E23"/>
    <w:rsid w:val="00B13D11"/>
    <w:rsid w:val="00B15AC2"/>
    <w:rsid w:val="00B17161"/>
    <w:rsid w:val="00B179C7"/>
    <w:rsid w:val="00B418AB"/>
    <w:rsid w:val="00B50A47"/>
    <w:rsid w:val="00B50B54"/>
    <w:rsid w:val="00B54DCF"/>
    <w:rsid w:val="00B60CA1"/>
    <w:rsid w:val="00B636B6"/>
    <w:rsid w:val="00B64B68"/>
    <w:rsid w:val="00B65DF2"/>
    <w:rsid w:val="00B751DE"/>
    <w:rsid w:val="00B8774D"/>
    <w:rsid w:val="00BA4C39"/>
    <w:rsid w:val="00BC04C1"/>
    <w:rsid w:val="00BC5E31"/>
    <w:rsid w:val="00BC6C7B"/>
    <w:rsid w:val="00BF12E9"/>
    <w:rsid w:val="00C05CD7"/>
    <w:rsid w:val="00C1625E"/>
    <w:rsid w:val="00C25C29"/>
    <w:rsid w:val="00C27809"/>
    <w:rsid w:val="00C33AEA"/>
    <w:rsid w:val="00C50AED"/>
    <w:rsid w:val="00C51B20"/>
    <w:rsid w:val="00C52287"/>
    <w:rsid w:val="00C61B7D"/>
    <w:rsid w:val="00C77847"/>
    <w:rsid w:val="00C91013"/>
    <w:rsid w:val="00C93458"/>
    <w:rsid w:val="00C95DC5"/>
    <w:rsid w:val="00CA258F"/>
    <w:rsid w:val="00CA397E"/>
    <w:rsid w:val="00CC3EB1"/>
    <w:rsid w:val="00CD3430"/>
    <w:rsid w:val="00CD373B"/>
    <w:rsid w:val="00CE433D"/>
    <w:rsid w:val="00CE4BBD"/>
    <w:rsid w:val="00CE4F45"/>
    <w:rsid w:val="00CF12C7"/>
    <w:rsid w:val="00CF53CC"/>
    <w:rsid w:val="00CF6435"/>
    <w:rsid w:val="00D13399"/>
    <w:rsid w:val="00D16022"/>
    <w:rsid w:val="00D165EF"/>
    <w:rsid w:val="00D17769"/>
    <w:rsid w:val="00D22743"/>
    <w:rsid w:val="00D36B03"/>
    <w:rsid w:val="00D40339"/>
    <w:rsid w:val="00D403FA"/>
    <w:rsid w:val="00D405A2"/>
    <w:rsid w:val="00D40E88"/>
    <w:rsid w:val="00D60900"/>
    <w:rsid w:val="00D622CB"/>
    <w:rsid w:val="00D6572D"/>
    <w:rsid w:val="00D65F29"/>
    <w:rsid w:val="00D7048D"/>
    <w:rsid w:val="00D92F02"/>
    <w:rsid w:val="00D96068"/>
    <w:rsid w:val="00DA4F70"/>
    <w:rsid w:val="00DB547A"/>
    <w:rsid w:val="00DC5E0A"/>
    <w:rsid w:val="00DC7B83"/>
    <w:rsid w:val="00DD0EE4"/>
    <w:rsid w:val="00DE49DB"/>
    <w:rsid w:val="00DE6B8D"/>
    <w:rsid w:val="00DF3054"/>
    <w:rsid w:val="00DF5D11"/>
    <w:rsid w:val="00DF6C47"/>
    <w:rsid w:val="00DF7BC6"/>
    <w:rsid w:val="00E00297"/>
    <w:rsid w:val="00E01453"/>
    <w:rsid w:val="00E16703"/>
    <w:rsid w:val="00E23390"/>
    <w:rsid w:val="00E236C6"/>
    <w:rsid w:val="00E25341"/>
    <w:rsid w:val="00E276F0"/>
    <w:rsid w:val="00E510EC"/>
    <w:rsid w:val="00E54D60"/>
    <w:rsid w:val="00E55D4E"/>
    <w:rsid w:val="00E71DF6"/>
    <w:rsid w:val="00E7586E"/>
    <w:rsid w:val="00E823DF"/>
    <w:rsid w:val="00E877D5"/>
    <w:rsid w:val="00E907ED"/>
    <w:rsid w:val="00E979DB"/>
    <w:rsid w:val="00ED4C32"/>
    <w:rsid w:val="00EE232F"/>
    <w:rsid w:val="00EE2C4C"/>
    <w:rsid w:val="00EE6E3F"/>
    <w:rsid w:val="00EE7476"/>
    <w:rsid w:val="00EF2F8B"/>
    <w:rsid w:val="00EF50FB"/>
    <w:rsid w:val="00F120E2"/>
    <w:rsid w:val="00F155DF"/>
    <w:rsid w:val="00F155F6"/>
    <w:rsid w:val="00F3538B"/>
    <w:rsid w:val="00F5166F"/>
    <w:rsid w:val="00F54711"/>
    <w:rsid w:val="00F55006"/>
    <w:rsid w:val="00F600DF"/>
    <w:rsid w:val="00F84818"/>
    <w:rsid w:val="00F8655F"/>
    <w:rsid w:val="00F87564"/>
    <w:rsid w:val="00F93213"/>
    <w:rsid w:val="00F9635C"/>
    <w:rsid w:val="00F96F5A"/>
    <w:rsid w:val="00FB13E7"/>
    <w:rsid w:val="00FC3715"/>
    <w:rsid w:val="00FF2043"/>
    <w:rsid w:val="00FF3588"/>
    <w:rsid w:val="00FF5533"/>
    <w:rsid w:val="00FF5C7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4BA"/>
    <w:pPr>
      <w:spacing w:before="100" w:beforeAutospacing="1" w:after="100" w:afterAutospacing="1"/>
    </w:pPr>
    <w:rPr>
      <w:sz w:val="24"/>
      <w:szCs w:val="24"/>
    </w:rPr>
  </w:style>
  <w:style w:type="paragraph" w:styleId="Heading3">
    <w:name w:val="heading 3"/>
    <w:basedOn w:val="Normal"/>
    <w:next w:val="Normal"/>
    <w:link w:val="Heading3Char"/>
    <w:unhideWhenUsed/>
    <w:qFormat/>
    <w:rsid w:val="00175F41"/>
    <w:pPr>
      <w:keepNext/>
      <w:spacing w:before="240" w:after="60"/>
      <w:outlineLvl w:val="2"/>
    </w:pPr>
    <w:rPr>
      <w:rFonts w:ascii="Cambria" w:hAnsi="Cambria"/>
      <w:b/>
      <w:bCs/>
      <w:sz w:val="26"/>
      <w:szCs w:val="26"/>
    </w:rPr>
  </w:style>
  <w:style w:type="paragraph" w:styleId="Heading4">
    <w:name w:val="heading 4"/>
    <w:basedOn w:val="Normal"/>
    <w:qFormat/>
    <w:rsid w:val="009764BA"/>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64BA"/>
    <w:pPr>
      <w:jc w:val="both"/>
    </w:pPr>
    <w:rPr>
      <w:color w:val="000000"/>
      <w:sz w:val="20"/>
      <w:szCs w:val="20"/>
    </w:rPr>
  </w:style>
  <w:style w:type="paragraph" w:styleId="BodyTextIndent">
    <w:name w:val="Body Text Indent"/>
    <w:basedOn w:val="Normal"/>
    <w:rsid w:val="001307EA"/>
    <w:pPr>
      <w:spacing w:before="0" w:beforeAutospacing="0" w:after="0" w:afterAutospacing="0"/>
      <w:jc w:val="both"/>
    </w:pPr>
    <w:rPr>
      <w:sz w:val="28"/>
      <w:szCs w:val="20"/>
      <w:lang w:eastAsia="en-US"/>
    </w:rPr>
  </w:style>
  <w:style w:type="character" w:styleId="Hyperlink">
    <w:name w:val="Hyperlink"/>
    <w:basedOn w:val="DefaultParagraphFont"/>
    <w:rsid w:val="001307EA"/>
    <w:rPr>
      <w:rFonts w:cs="Times New Roman"/>
      <w:color w:val="0000FF"/>
      <w:u w:val="single"/>
    </w:rPr>
  </w:style>
  <w:style w:type="paragraph" w:styleId="Header">
    <w:name w:val="header"/>
    <w:basedOn w:val="Normal"/>
    <w:rsid w:val="006D02BA"/>
    <w:pPr>
      <w:tabs>
        <w:tab w:val="center" w:pos="4153"/>
        <w:tab w:val="right" w:pos="8306"/>
      </w:tabs>
    </w:pPr>
  </w:style>
  <w:style w:type="paragraph" w:styleId="Footer">
    <w:name w:val="footer"/>
    <w:basedOn w:val="Normal"/>
    <w:rsid w:val="006D02BA"/>
    <w:pPr>
      <w:tabs>
        <w:tab w:val="center" w:pos="4153"/>
        <w:tab w:val="right" w:pos="8306"/>
      </w:tabs>
    </w:pPr>
  </w:style>
  <w:style w:type="character" w:styleId="PageNumber">
    <w:name w:val="page number"/>
    <w:basedOn w:val="DefaultParagraphFont"/>
    <w:rsid w:val="006D02BA"/>
  </w:style>
  <w:style w:type="paragraph" w:customStyle="1" w:styleId="naisc">
    <w:name w:val="naisc"/>
    <w:basedOn w:val="Normal"/>
    <w:rsid w:val="002A2473"/>
    <w:pPr>
      <w:spacing w:before="75" w:beforeAutospacing="0" w:after="75" w:afterAutospacing="0"/>
      <w:jc w:val="center"/>
    </w:pPr>
  </w:style>
  <w:style w:type="paragraph" w:customStyle="1" w:styleId="naisf">
    <w:name w:val="naisf"/>
    <w:basedOn w:val="Normal"/>
    <w:uiPriority w:val="99"/>
    <w:rsid w:val="0033733A"/>
    <w:pPr>
      <w:jc w:val="both"/>
    </w:pPr>
    <w:rPr>
      <w:lang w:val="en-GB" w:eastAsia="en-US"/>
    </w:rPr>
  </w:style>
  <w:style w:type="paragraph" w:customStyle="1" w:styleId="naiskr">
    <w:name w:val="naiskr"/>
    <w:basedOn w:val="Normal"/>
    <w:uiPriority w:val="99"/>
    <w:rsid w:val="0033733A"/>
    <w:pPr>
      <w:spacing w:before="75" w:beforeAutospacing="0" w:after="75" w:afterAutospacing="0"/>
    </w:pPr>
  </w:style>
  <w:style w:type="character" w:customStyle="1" w:styleId="Heading3Char">
    <w:name w:val="Heading 3 Char"/>
    <w:basedOn w:val="DefaultParagraphFont"/>
    <w:link w:val="Heading3"/>
    <w:rsid w:val="00175F41"/>
    <w:rPr>
      <w:rFonts w:ascii="Cambria" w:eastAsia="Times New Roman" w:hAnsi="Cambria" w:cs="Times New Roman"/>
      <w:b/>
      <w:bCs/>
      <w:sz w:val="26"/>
      <w:szCs w:val="26"/>
    </w:rPr>
  </w:style>
  <w:style w:type="character" w:styleId="Strong">
    <w:name w:val="Strong"/>
    <w:basedOn w:val="DefaultParagraphFont"/>
    <w:uiPriority w:val="22"/>
    <w:qFormat/>
    <w:rsid w:val="008B48B4"/>
    <w:rPr>
      <w:b/>
      <w:bCs/>
    </w:rPr>
  </w:style>
  <w:style w:type="paragraph" w:customStyle="1" w:styleId="naisnod">
    <w:name w:val="naisnod"/>
    <w:basedOn w:val="Normal"/>
    <w:rsid w:val="00BC04C1"/>
    <w:pPr>
      <w:spacing w:before="150" w:beforeAutospacing="0" w:after="150" w:afterAutospacing="0"/>
      <w:jc w:val="center"/>
    </w:pPr>
    <w:rPr>
      <w:b/>
      <w:bCs/>
    </w:rPr>
  </w:style>
  <w:style w:type="paragraph" w:styleId="BalloonText">
    <w:name w:val="Balloon Text"/>
    <w:basedOn w:val="Normal"/>
    <w:link w:val="BalloonTextChar"/>
    <w:uiPriority w:val="99"/>
    <w:unhideWhenUsed/>
    <w:rsid w:val="003929B8"/>
    <w:pPr>
      <w:spacing w:before="0" w:beforeAutospacing="0" w:after="0" w:afterAutospacing="0"/>
    </w:pPr>
    <w:rPr>
      <w:rFonts w:ascii="Tahoma" w:hAnsi="Tahoma"/>
      <w:sz w:val="16"/>
      <w:szCs w:val="16"/>
      <w:lang w:eastAsia="en-US"/>
    </w:rPr>
  </w:style>
  <w:style w:type="character" w:customStyle="1" w:styleId="BalloonTextChar">
    <w:name w:val="Balloon Text Char"/>
    <w:basedOn w:val="DefaultParagraphFont"/>
    <w:link w:val="BalloonText"/>
    <w:uiPriority w:val="99"/>
    <w:rsid w:val="003929B8"/>
    <w:rPr>
      <w:rFonts w:ascii="Tahoma" w:hAnsi="Tahoma"/>
      <w:sz w:val="16"/>
      <w:szCs w:val="16"/>
      <w:lang w:eastAsia="en-US"/>
    </w:rPr>
  </w:style>
  <w:style w:type="character" w:styleId="CommentReference">
    <w:name w:val="annotation reference"/>
    <w:basedOn w:val="DefaultParagraphFont"/>
    <w:rsid w:val="008962A1"/>
    <w:rPr>
      <w:sz w:val="16"/>
      <w:szCs w:val="16"/>
    </w:rPr>
  </w:style>
  <w:style w:type="paragraph" w:styleId="CommentText">
    <w:name w:val="annotation text"/>
    <w:basedOn w:val="Normal"/>
    <w:link w:val="CommentTextChar"/>
    <w:rsid w:val="008962A1"/>
    <w:rPr>
      <w:sz w:val="20"/>
      <w:szCs w:val="20"/>
    </w:rPr>
  </w:style>
  <w:style w:type="character" w:customStyle="1" w:styleId="CommentTextChar">
    <w:name w:val="Comment Text Char"/>
    <w:basedOn w:val="DefaultParagraphFont"/>
    <w:link w:val="CommentText"/>
    <w:rsid w:val="008962A1"/>
  </w:style>
  <w:style w:type="paragraph" w:styleId="CommentSubject">
    <w:name w:val="annotation subject"/>
    <w:basedOn w:val="CommentText"/>
    <w:next w:val="CommentText"/>
    <w:link w:val="CommentSubjectChar"/>
    <w:rsid w:val="008962A1"/>
    <w:rPr>
      <w:b/>
      <w:bCs/>
    </w:rPr>
  </w:style>
  <w:style w:type="character" w:customStyle="1" w:styleId="CommentSubjectChar">
    <w:name w:val="Comment Subject Char"/>
    <w:basedOn w:val="CommentTextChar"/>
    <w:link w:val="CommentSubject"/>
    <w:rsid w:val="008962A1"/>
    <w:rPr>
      <w:b/>
      <w:bCs/>
    </w:rPr>
  </w:style>
  <w:style w:type="paragraph" w:styleId="ListParagraph">
    <w:name w:val="List Paragraph"/>
    <w:basedOn w:val="Normal"/>
    <w:qFormat/>
    <w:rsid w:val="00D165EF"/>
    <w:pPr>
      <w:spacing w:before="0" w:beforeAutospacing="0" w:after="200" w:afterAutospacing="0" w:line="276" w:lineRule="auto"/>
      <w:ind w:left="720"/>
      <w:contextualSpacing/>
    </w:pPr>
    <w:rPr>
      <w:rFonts w:ascii="Calibri" w:hAnsi="Calibri"/>
      <w:sz w:val="22"/>
      <w:szCs w:val="22"/>
      <w:lang w:eastAsia="en-US"/>
    </w:rPr>
  </w:style>
  <w:style w:type="character" w:customStyle="1" w:styleId="spelle">
    <w:name w:val="spelle"/>
    <w:basedOn w:val="DefaultParagraphFont"/>
    <w:rsid w:val="00E01453"/>
  </w:style>
</w:styles>
</file>

<file path=word/webSettings.xml><?xml version="1.0" encoding="utf-8"?>
<w:webSettings xmlns:r="http://schemas.openxmlformats.org/officeDocument/2006/relationships" xmlns:w="http://schemas.openxmlformats.org/wordprocessingml/2006/main">
  <w:divs>
    <w:div w:id="1771077133">
      <w:bodyDiv w:val="1"/>
      <w:marLeft w:val="45"/>
      <w:marRight w:val="45"/>
      <w:marTop w:val="90"/>
      <w:marBottom w:val="90"/>
      <w:divBdr>
        <w:top w:val="none" w:sz="0" w:space="0" w:color="auto"/>
        <w:left w:val="none" w:sz="0" w:space="0" w:color="auto"/>
        <w:bottom w:val="none" w:sz="0" w:space="0" w:color="auto"/>
        <w:right w:val="none" w:sz="0" w:space="0" w:color="auto"/>
      </w:divBdr>
      <w:divsChild>
        <w:div w:id="173515998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1999:161:0001:001:LV: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CONSLEG:2006R1083:20070101:LV: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eva.Brinke@varam.gov.lv" TargetMode="External"/><Relationship Id="rId4" Type="http://schemas.openxmlformats.org/officeDocument/2006/relationships/webSettings" Target="webSettings.xml"/><Relationship Id="rId9" Type="http://schemas.openxmlformats.org/officeDocument/2006/relationships/hyperlink" Target="mailto:Ritvars.Timermanis@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9067</Words>
  <Characters>5169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28.jūlija noteikumos Nr.606 „Noteikumi par darbības programmas „Infrastruktūra un pakalpojumi” papildinājuma 3.4.1.1.aktivitāti „Ūdenssaimniecības infrastruktūras attīstība apdzīv</vt:lpstr>
    </vt:vector>
  </TitlesOfParts>
  <Company>VARAM</Company>
  <LinksUpToDate>false</LinksUpToDate>
  <CharactersWithSpaces>14208</CharactersWithSpaces>
  <SharedDoc>false</SharedDoc>
  <HLinks>
    <vt:vector size="24" baseType="variant">
      <vt:variant>
        <vt:i4>4063233</vt:i4>
      </vt:variant>
      <vt:variant>
        <vt:i4>12</vt:i4>
      </vt:variant>
      <vt:variant>
        <vt:i4>0</vt:i4>
      </vt:variant>
      <vt:variant>
        <vt:i4>5</vt:i4>
      </vt:variant>
      <vt:variant>
        <vt:lpwstr>mailto:Ieva.Brinke@varam.gov.lv</vt:lpwstr>
      </vt:variant>
      <vt:variant>
        <vt:lpwstr/>
      </vt:variant>
      <vt:variant>
        <vt:i4>4980833</vt:i4>
      </vt:variant>
      <vt:variant>
        <vt:i4>9</vt:i4>
      </vt:variant>
      <vt:variant>
        <vt:i4>0</vt:i4>
      </vt:variant>
      <vt:variant>
        <vt:i4>5</vt:i4>
      </vt:variant>
      <vt:variant>
        <vt:lpwstr>mailto:Ritvars.Timermanis@varam.gov.lv</vt:lpwstr>
      </vt:variant>
      <vt:variant>
        <vt:lpwstr/>
      </vt:variant>
      <vt:variant>
        <vt:i4>5505111</vt:i4>
      </vt:variant>
      <vt:variant>
        <vt:i4>3</vt:i4>
      </vt:variant>
      <vt:variant>
        <vt:i4>0</vt:i4>
      </vt:variant>
      <vt:variant>
        <vt:i4>5</vt:i4>
      </vt:variant>
      <vt:variant>
        <vt:lpwstr>http://eur-lex.europa.eu/LexUriServ/LexUriServ.do?uri=OJ:L:1999:161:0001:001:LV:HTML</vt:lpwstr>
      </vt:variant>
      <vt:variant>
        <vt:lpwstr/>
      </vt:variant>
      <vt:variant>
        <vt:i4>1900613</vt:i4>
      </vt:variant>
      <vt:variant>
        <vt:i4>0</vt:i4>
      </vt:variant>
      <vt:variant>
        <vt:i4>0</vt:i4>
      </vt:variant>
      <vt:variant>
        <vt:i4>5</vt:i4>
      </vt:variant>
      <vt:variant>
        <vt:lpwstr>http://eur-lex.europa.eu/LexUriServ/LexUriServ.do?uri=CONSLEG:2006R1083:20070101:LV:HTML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28.jūlija noteikumos Nr.606 „Noteikumi par darbības programmas „Infrastruktūra un pakalpojumi” papildinājuma 3.4.1.1.aktivitāti „Ūdenssaimniecības infrastruktūras attīstība apdzīv</dc:title>
  <dc:subject>sākotnējās ietekmes novērtējuma ziņojums (anotācija)</dc:subject>
  <dc:creator>Kristīne Šeļmanova</dc:creator>
  <cp:lastModifiedBy>IevaBrinke</cp:lastModifiedBy>
  <cp:revision>3</cp:revision>
  <cp:lastPrinted>2011-12-13T17:39:00Z</cp:lastPrinted>
  <dcterms:created xsi:type="dcterms:W3CDTF">2012-01-06T14:04:00Z</dcterms:created>
  <dcterms:modified xsi:type="dcterms:W3CDTF">2012-01-06T14:19:00Z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50123911</vt:i4>
  </property>
</Properties>
</file>