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E5" w:rsidRPr="00016BED" w:rsidRDefault="000D60E5" w:rsidP="00CE26C3">
      <w:pPr>
        <w:pStyle w:val="BodyText"/>
        <w:spacing w:after="0"/>
        <w:jc w:val="center"/>
        <w:rPr>
          <w:b/>
          <w:bCs/>
          <w:lang w:val="lv-LV"/>
        </w:rPr>
      </w:pPr>
      <w:bookmarkStart w:id="0" w:name="OLE_LINK24"/>
      <w:bookmarkStart w:id="1" w:name="OLE_LINK25"/>
      <w:bookmarkStart w:id="2" w:name="OLE_LINK22"/>
      <w:bookmarkStart w:id="3" w:name="OLE_LINK23"/>
      <w:bookmarkStart w:id="4" w:name="OLE_LINK16"/>
      <w:bookmarkStart w:id="5" w:name="OLE_LINK17"/>
      <w:bookmarkStart w:id="6" w:name="OLE_LINK1"/>
      <w:bookmarkStart w:id="7" w:name="OLE_LINK2"/>
      <w:bookmarkStart w:id="8" w:name="OLE_LINK3"/>
      <w:r w:rsidRPr="00016BED">
        <w:rPr>
          <w:b/>
          <w:bCs/>
          <w:lang w:val="lv-LV"/>
        </w:rPr>
        <w:t>Ministru kabineta rīkojuma projekta</w:t>
      </w:r>
      <w:bookmarkEnd w:id="0"/>
      <w:bookmarkEnd w:id="1"/>
      <w:r w:rsidRPr="00016BED">
        <w:rPr>
          <w:b/>
          <w:bCs/>
          <w:lang w:val="lv-LV"/>
        </w:rPr>
        <w:t xml:space="preserve"> </w:t>
      </w:r>
      <w:bookmarkStart w:id="9" w:name="OLE_LINK4"/>
      <w:bookmarkStart w:id="10" w:name="OLE_LINK5"/>
      <w:r w:rsidR="00CE26C3" w:rsidRPr="00016BED">
        <w:rPr>
          <w:b/>
          <w:bCs/>
          <w:lang w:val="lv-LV"/>
        </w:rPr>
        <w:t>„</w:t>
      </w:r>
      <w:bookmarkStart w:id="11" w:name="OLE_LINK6"/>
      <w:r w:rsidR="00CE26C3" w:rsidRPr="00016BED">
        <w:rPr>
          <w:b/>
          <w:bCs/>
          <w:lang w:val="lv-LV"/>
        </w:rPr>
        <w:t xml:space="preserve">Par finansējuma piešķiršanu Vides aizsardzības un reģionālās attīstības ministrijai nekustamā īpašuma Kronvalda bulvārī 6, Rīgā, nomas maksas, aprīkojuma </w:t>
      </w:r>
      <w:r w:rsidR="007713B7" w:rsidRPr="00016BED">
        <w:rPr>
          <w:b/>
          <w:bCs/>
          <w:lang w:val="lv-LV"/>
        </w:rPr>
        <w:t xml:space="preserve">un mēbeļu </w:t>
      </w:r>
      <w:r w:rsidR="00CE26C3" w:rsidRPr="00016BED">
        <w:rPr>
          <w:b/>
          <w:bCs/>
          <w:lang w:val="lv-LV"/>
        </w:rPr>
        <w:t xml:space="preserve">iegādes, pārcelšanās un </w:t>
      </w:r>
      <w:r w:rsidR="007713B7" w:rsidRPr="00016BED">
        <w:rPr>
          <w:b/>
          <w:bCs/>
          <w:lang w:val="lv-LV"/>
        </w:rPr>
        <w:t>citu saistīto</w:t>
      </w:r>
      <w:r w:rsidR="00CE26C3" w:rsidRPr="00016BED">
        <w:rPr>
          <w:b/>
          <w:bCs/>
          <w:lang w:val="lv-LV"/>
        </w:rPr>
        <w:t xml:space="preserve"> izdevumu segšanai</w:t>
      </w:r>
      <w:bookmarkEnd w:id="11"/>
      <w:r w:rsidR="004F2C32" w:rsidRPr="00016BED">
        <w:rPr>
          <w:b/>
          <w:bCs/>
          <w:lang w:val="lv-LV"/>
        </w:rPr>
        <w:t>”</w:t>
      </w:r>
      <w:r w:rsidR="00B971A2" w:rsidRPr="00016BED">
        <w:rPr>
          <w:b/>
          <w:bCs/>
          <w:lang w:val="lv-LV"/>
        </w:rPr>
        <w:t xml:space="preserve"> </w:t>
      </w:r>
      <w:r w:rsidRPr="00016BED">
        <w:rPr>
          <w:b/>
          <w:bCs/>
          <w:lang w:val="lv-LV"/>
        </w:rPr>
        <w:t xml:space="preserve">sākotnējās ietekmes novērtējuma </w:t>
      </w:r>
      <w:smartTag w:uri="schemas-tilde-lv/tildestengine" w:element="veidnes">
        <w:smartTagPr>
          <w:attr w:name="text" w:val="ziņojums"/>
          <w:attr w:name="baseform" w:val="ziņojums"/>
          <w:attr w:name="id" w:val="-1"/>
        </w:smartTagPr>
        <w:r w:rsidRPr="00016BED">
          <w:rPr>
            <w:b/>
            <w:bCs/>
            <w:lang w:val="lv-LV"/>
          </w:rPr>
          <w:t>ziņojums</w:t>
        </w:r>
      </w:smartTag>
      <w:r w:rsidRPr="00016BED">
        <w:rPr>
          <w:b/>
          <w:bCs/>
          <w:lang w:val="lv-LV"/>
        </w:rPr>
        <w:t xml:space="preserve"> (anotācija)</w:t>
      </w:r>
      <w:bookmarkEnd w:id="2"/>
      <w:bookmarkEnd w:id="3"/>
    </w:p>
    <w:p w:rsidR="004235A6" w:rsidRPr="00016BED" w:rsidRDefault="004235A6" w:rsidP="00F229F9">
      <w:pPr>
        <w:pStyle w:val="BodyText"/>
        <w:spacing w:after="80"/>
        <w:jc w:val="center"/>
        <w:rPr>
          <w:b/>
          <w:bCs/>
          <w:lang w:val="lv-LV"/>
        </w:rPr>
      </w:pPr>
    </w:p>
    <w:bookmarkEnd w:id="4"/>
    <w:bookmarkEnd w:id="5"/>
    <w:bookmarkEnd w:id="6"/>
    <w:bookmarkEnd w:id="7"/>
    <w:bookmarkEnd w:id="8"/>
    <w:bookmarkEnd w:id="9"/>
    <w:bookmarkEnd w:id="10"/>
    <w:tbl>
      <w:tblPr>
        <w:tblW w:w="5419" w:type="pct"/>
        <w:tblInd w:w="-510" w:type="dxa"/>
        <w:tblBorders>
          <w:top w:val="dotted" w:sz="4" w:space="0" w:color="auto"/>
          <w:left w:val="dotted" w:sz="4" w:space="0" w:color="auto"/>
          <w:bottom w:val="dotted" w:sz="4" w:space="0" w:color="auto"/>
          <w:right w:val="dotted" w:sz="4" w:space="0" w:color="auto"/>
          <w:insideH w:val="dotted" w:sz="4" w:space="0" w:color="auto"/>
          <w:insideV w:val="outset" w:sz="6" w:space="0" w:color="000000"/>
        </w:tblBorders>
        <w:tblLayout w:type="fixed"/>
        <w:tblCellMar>
          <w:top w:w="30" w:type="dxa"/>
          <w:left w:w="30" w:type="dxa"/>
          <w:bottom w:w="30" w:type="dxa"/>
          <w:right w:w="30" w:type="dxa"/>
        </w:tblCellMar>
        <w:tblLook w:val="00A0"/>
      </w:tblPr>
      <w:tblGrid>
        <w:gridCol w:w="692"/>
        <w:gridCol w:w="2116"/>
        <w:gridCol w:w="148"/>
        <w:gridCol w:w="1283"/>
        <w:gridCol w:w="849"/>
        <w:gridCol w:w="709"/>
        <w:gridCol w:w="1700"/>
        <w:gridCol w:w="1415"/>
        <w:gridCol w:w="984"/>
      </w:tblGrid>
      <w:tr w:rsidR="00F93CBD" w:rsidRPr="00016BED" w:rsidTr="0085774C">
        <w:tc>
          <w:tcPr>
            <w:tcW w:w="350" w:type="pct"/>
            <w:tcBorders>
              <w:right w:val="dotted" w:sz="4" w:space="0" w:color="auto"/>
            </w:tcBorders>
          </w:tcPr>
          <w:p w:rsidR="00F93CBD" w:rsidRPr="00016BED" w:rsidRDefault="00F93CBD" w:rsidP="00F229F9">
            <w:pPr>
              <w:pStyle w:val="NormalWeb"/>
              <w:spacing w:before="0" w:beforeAutospacing="0" w:after="80" w:afterAutospacing="0"/>
              <w:jc w:val="center"/>
              <w:rPr>
                <w:b/>
                <w:bCs/>
              </w:rPr>
            </w:pPr>
          </w:p>
        </w:tc>
        <w:tc>
          <w:tcPr>
            <w:tcW w:w="4650" w:type="pct"/>
            <w:gridSpan w:val="8"/>
            <w:tcBorders>
              <w:left w:val="dotted" w:sz="4" w:space="0" w:color="auto"/>
            </w:tcBorders>
            <w:vAlign w:val="center"/>
          </w:tcPr>
          <w:p w:rsidR="00F93CBD" w:rsidRPr="00016BED" w:rsidRDefault="00F93CBD" w:rsidP="00F229F9">
            <w:pPr>
              <w:pStyle w:val="NormalWeb"/>
              <w:spacing w:before="0" w:beforeAutospacing="0" w:after="80" w:afterAutospacing="0"/>
              <w:jc w:val="center"/>
              <w:rPr>
                <w:b/>
                <w:bCs/>
              </w:rPr>
            </w:pPr>
            <w:r w:rsidRPr="00016BED">
              <w:rPr>
                <w:b/>
                <w:bCs/>
              </w:rPr>
              <w:t>I. Tiesību akta projekta izstrādes nepieciešamība</w:t>
            </w:r>
          </w:p>
        </w:tc>
      </w:tr>
      <w:tr w:rsidR="000D29C1" w:rsidRPr="00016BED" w:rsidTr="00F229F9">
        <w:trPr>
          <w:trHeight w:val="385"/>
        </w:trPr>
        <w:tc>
          <w:tcPr>
            <w:tcW w:w="350" w:type="pct"/>
            <w:tcBorders>
              <w:right w:val="dotted" w:sz="4" w:space="0" w:color="auto"/>
            </w:tcBorders>
          </w:tcPr>
          <w:p w:rsidR="000D29C1" w:rsidRPr="00016BED" w:rsidRDefault="000D29C1" w:rsidP="00F229F9">
            <w:pPr>
              <w:pStyle w:val="NormalWeb"/>
              <w:spacing w:before="0" w:beforeAutospacing="0" w:after="80" w:afterAutospacing="0"/>
              <w:jc w:val="center"/>
            </w:pPr>
            <w:r w:rsidRPr="00016BED">
              <w:t>1.</w:t>
            </w:r>
          </w:p>
        </w:tc>
        <w:tc>
          <w:tcPr>
            <w:tcW w:w="1069" w:type="pct"/>
            <w:tcBorders>
              <w:left w:val="dotted" w:sz="4" w:space="0" w:color="auto"/>
              <w:right w:val="dotted" w:sz="4" w:space="0" w:color="auto"/>
            </w:tcBorders>
          </w:tcPr>
          <w:p w:rsidR="000D29C1" w:rsidRPr="00016BED" w:rsidRDefault="000D29C1" w:rsidP="00F229F9">
            <w:pPr>
              <w:pStyle w:val="NormalWeb"/>
              <w:spacing w:before="0" w:beforeAutospacing="0" w:after="80" w:afterAutospacing="0"/>
            </w:pPr>
            <w:r w:rsidRPr="00016BED">
              <w:t>Pamatojums</w:t>
            </w:r>
          </w:p>
        </w:tc>
        <w:tc>
          <w:tcPr>
            <w:tcW w:w="3581" w:type="pct"/>
            <w:gridSpan w:val="7"/>
            <w:tcBorders>
              <w:left w:val="dotted" w:sz="4" w:space="0" w:color="auto"/>
            </w:tcBorders>
          </w:tcPr>
          <w:p w:rsidR="004235A6" w:rsidRPr="00016BED" w:rsidRDefault="004235A6" w:rsidP="00F229F9">
            <w:pPr>
              <w:pStyle w:val="NormalWeb"/>
              <w:spacing w:before="0" w:beforeAutospacing="0" w:after="80" w:afterAutospacing="0"/>
              <w:ind w:left="105" w:right="123"/>
              <w:jc w:val="both"/>
              <w:rPr>
                <w:bCs/>
              </w:rPr>
            </w:pPr>
            <w:r w:rsidRPr="00016BED">
              <w:rPr>
                <w:bCs/>
              </w:rPr>
              <w:t>Ministru kabineta 2012.gada 16.augusta ārkārtas sēdes protokollēmuma (prot. Nr.46 11.§) „Par valsts budžeta prioritārajiem pasākumiem 2013. – 2015.gadam” (turpmāk – Ministru kabineta protokollēmums Nr.46) 28.punkts.</w:t>
            </w:r>
          </w:p>
          <w:p w:rsidR="004235A6" w:rsidRPr="00016BED" w:rsidRDefault="004235A6" w:rsidP="00F229F9">
            <w:pPr>
              <w:pStyle w:val="NormalWeb"/>
              <w:spacing w:before="0" w:beforeAutospacing="0" w:after="80" w:afterAutospacing="0"/>
              <w:ind w:left="105" w:right="123"/>
              <w:jc w:val="both"/>
              <w:rPr>
                <w:bCs/>
              </w:rPr>
            </w:pPr>
            <w:r w:rsidRPr="00016BED">
              <w:rPr>
                <w:bCs/>
              </w:rPr>
              <w:t>Ministru kabineta 2013.gada 28.maija sēdes protokollēmuma (prot. Nr.32 67.§) „Rīkojuma projekts „Par finansējuma piešķiršanu Vides aizsardzības un reģionālās attīstības ministrijas centrālā aparāta ēkas Kronvalda bulvārī 6, Rīgā telpu nomas maksas, aprīkojuma iegādes, pārcelšanās un uzturēšanas izdevumu segšanai” 2.punkts.</w:t>
            </w:r>
          </w:p>
          <w:p w:rsidR="00012C78" w:rsidRPr="00016BED" w:rsidRDefault="00012C78" w:rsidP="00F229F9">
            <w:pPr>
              <w:pStyle w:val="NormalWeb"/>
              <w:spacing w:before="0" w:beforeAutospacing="0" w:after="80" w:afterAutospacing="0"/>
              <w:ind w:left="105" w:right="123"/>
              <w:jc w:val="both"/>
              <w:rPr>
                <w:bCs/>
              </w:rPr>
            </w:pPr>
            <w:r w:rsidRPr="00016BED">
              <w:rPr>
                <w:bCs/>
              </w:rPr>
              <w:t xml:space="preserve">Ministru kabineta </w:t>
            </w:r>
            <w:r w:rsidR="00FD6122" w:rsidRPr="00016BED">
              <w:t>2013. gada 29. oktobra</w:t>
            </w:r>
            <w:r w:rsidR="00FD6122" w:rsidRPr="00016BED">
              <w:rPr>
                <w:bCs/>
              </w:rPr>
              <w:t xml:space="preserve"> </w:t>
            </w:r>
            <w:r w:rsidRPr="00016BED">
              <w:rPr>
                <w:bCs/>
              </w:rPr>
              <w:t>sēdes protokollēmuma (prot. Nr.56 </w:t>
            </w:r>
            <w:bookmarkStart w:id="12" w:name="46"/>
            <w:r w:rsidR="0048553D" w:rsidRPr="00016BED">
              <w:rPr>
                <w:bCs/>
              </w:rPr>
              <w:t>46.</w:t>
            </w:r>
            <w:bookmarkEnd w:id="12"/>
            <w:r w:rsidRPr="00016BED">
              <w:rPr>
                <w:bCs/>
              </w:rPr>
              <w:t>§) „Par priekšlikumiem likumprojekta „Par valsts budžetu 2014.gadam” un likumprojekta „Par vidēja termiņa budžeta ietvaru 2014., 2015. un 2016.gadam” izskatīšanai Saeimā otrajā lasījumā”:</w:t>
            </w:r>
          </w:p>
          <w:p w:rsidR="008854D0" w:rsidRPr="00016BED" w:rsidRDefault="008854D0" w:rsidP="008854D0">
            <w:pPr>
              <w:pStyle w:val="NormalWeb"/>
              <w:numPr>
                <w:ilvl w:val="0"/>
                <w:numId w:val="10"/>
              </w:numPr>
              <w:spacing w:before="0" w:beforeAutospacing="0" w:after="80" w:afterAutospacing="0"/>
              <w:ind w:left="254" w:right="123" w:hanging="149"/>
              <w:jc w:val="both"/>
              <w:rPr>
                <w:bCs/>
              </w:rPr>
            </w:pPr>
            <w:r w:rsidRPr="00016BED">
              <w:rPr>
                <w:bCs/>
              </w:rPr>
              <w:t>1.punkts – ar ko atbalstīts priekšlikums likumprojekta „Par valsts budžetu 2014.gadam” un likumprojekta „Par vidēja termiņa budžeta ietvaru 2014., 2015. un 2016.gadam” izskatīšanai Saeimā otrajā lasījumā likumprojektā „Par valsts budžetu 2014.gadam” paredzēt jaunu pantu šādā redakcijā (11.punkta teksta daļa):</w:t>
            </w:r>
          </w:p>
          <w:p w:rsidR="008854D0" w:rsidRPr="00016BED" w:rsidRDefault="008854D0" w:rsidP="008854D0">
            <w:pPr>
              <w:pStyle w:val="NormalWeb"/>
              <w:spacing w:before="0" w:beforeAutospacing="0" w:after="80" w:afterAutospacing="0"/>
              <w:ind w:left="537" w:right="123"/>
              <w:jc w:val="both"/>
              <w:rPr>
                <w:bCs/>
                <w:i/>
              </w:rPr>
            </w:pPr>
            <w:r w:rsidRPr="00016BED">
              <w:rPr>
                <w:bCs/>
                <w:i/>
              </w:rPr>
              <w:t>„55.pants. Atļaut valsts akciju sabiedrībai „Valsts nekustamie īpašumi” veikt nekustamā īpašuma (kadastra numurs 0100 010 0099) Kronvalda bulvārī 6, Rīgā, rekonstrukcijas projektēšanas un būvniecības darbus, lai nodrošinātu Vides aizsardzības un reģionālās attīstības ministrijas centrālā aparāta izvietošanu vienotā administratīvā ēkā.”</w:t>
            </w:r>
          </w:p>
          <w:p w:rsidR="0048553D" w:rsidRPr="00016BED" w:rsidRDefault="0048553D" w:rsidP="00F229F9">
            <w:pPr>
              <w:pStyle w:val="NormalWeb"/>
              <w:numPr>
                <w:ilvl w:val="0"/>
                <w:numId w:val="10"/>
              </w:numPr>
              <w:spacing w:before="0" w:beforeAutospacing="0" w:after="80" w:afterAutospacing="0"/>
              <w:ind w:left="254" w:right="123" w:hanging="149"/>
              <w:jc w:val="both"/>
              <w:rPr>
                <w:bCs/>
              </w:rPr>
            </w:pPr>
            <w:r w:rsidRPr="00016BED">
              <w:rPr>
                <w:bCs/>
              </w:rPr>
              <w:t>43.punkt</w:t>
            </w:r>
            <w:r w:rsidR="008854D0" w:rsidRPr="00016BED">
              <w:rPr>
                <w:bCs/>
              </w:rPr>
              <w:t xml:space="preserve">s – kurā </w:t>
            </w:r>
            <w:r w:rsidRPr="00016BED">
              <w:rPr>
                <w:bCs/>
              </w:rPr>
              <w:t>dot</w:t>
            </w:r>
            <w:r w:rsidR="008854D0" w:rsidRPr="00016BED">
              <w:rPr>
                <w:bCs/>
              </w:rPr>
              <w:t>s</w:t>
            </w:r>
            <w:r w:rsidRPr="00016BED">
              <w:rPr>
                <w:bCs/>
              </w:rPr>
              <w:t xml:space="preserve"> uzdevum</w:t>
            </w:r>
            <w:r w:rsidR="008854D0" w:rsidRPr="00016BED">
              <w:rPr>
                <w:bCs/>
              </w:rPr>
              <w:t>s</w:t>
            </w:r>
            <w:r w:rsidRPr="00016BED">
              <w:rPr>
                <w:bCs/>
              </w:rPr>
              <w:t xml:space="preserve"> Vides aizsardzības un reģionālās attīstības ministrijai (turpmāk – VARAM) sadarbībā ar Finanšu ministriju divu nedēļu laikā normatīvajos aktos noteiktajā kārtībā iesniegt Ministru kabinetā rīkojuma projektu, paredzot VARAM ilgtermiņa saistības 2017.gadā un turpmākajos gados nekustamā īpašuma (nekustamā īpašumu kadastra Nr.0100 010 0099) Kronvalda bulvārī 6, Rīgā nomas maksas segšanai valsts akciju sabiedrībai „Valsts nekustamie īpašumi” </w:t>
            </w:r>
            <w:r w:rsidRPr="00016BED">
              <w:rPr>
                <w:rStyle w:val="spelle"/>
              </w:rPr>
              <w:t xml:space="preserve">(turpmāk – </w:t>
            </w:r>
            <w:r w:rsidRPr="00016BED">
              <w:rPr>
                <w:bCs/>
              </w:rPr>
              <w:t>VNĪ</w:t>
            </w:r>
            <w:r w:rsidRPr="00016BED">
              <w:rPr>
                <w:rStyle w:val="spelle"/>
              </w:rPr>
              <w:t>)</w:t>
            </w:r>
            <w:r w:rsidRPr="00016BED">
              <w:rPr>
                <w:bCs/>
              </w:rPr>
              <w:t>, kā arī aprīkojuma un mēbeļu iegādes, pārcelšanās un citu saistīto izdevumu apmēra iekļaušanu valsts pamatbudžeta bāzes izdevumos 2017.gadam, vienlaikus norādot būvniecības (rekonstrukcijas) darbu plānotos pabeigšanas un nomas līgumsaistību sākuma termiņus.</w:t>
            </w:r>
          </w:p>
          <w:p w:rsidR="000A14A1" w:rsidRPr="00016BED" w:rsidRDefault="004235A6" w:rsidP="00F229F9">
            <w:pPr>
              <w:pStyle w:val="NormalWeb"/>
              <w:spacing w:before="0" w:beforeAutospacing="0" w:after="80" w:afterAutospacing="0"/>
              <w:ind w:left="105" w:right="123"/>
              <w:jc w:val="both"/>
              <w:rPr>
                <w:color w:val="FF0000"/>
              </w:rPr>
            </w:pPr>
            <w:r w:rsidRPr="00016BED">
              <w:rPr>
                <w:bCs/>
              </w:rPr>
              <w:t>Ministru kabineta rīkojuma projekts sagatavots, lai nodrošinātu VARAM struktūrvienību optimālu izvietošanu darbam piemērotās telpās vienā administratīvā ēkā</w:t>
            </w:r>
            <w:r w:rsidR="00012C78" w:rsidRPr="00016BED">
              <w:rPr>
                <w:bCs/>
              </w:rPr>
              <w:t xml:space="preserve"> un ar to saistīto izdevumu paredzēšanu valsts budžetā</w:t>
            </w:r>
            <w:r w:rsidRPr="00016BED">
              <w:rPr>
                <w:bCs/>
              </w:rPr>
              <w:t xml:space="preserve">. Saskaņā ar Ministru kabineta protokollēmums Nr.46 26., 27. un 28.punktā noteikto VARAM struktūrvienības ir plānots izvietot nekustamajā īpašumā (nekustamā īpašumu kadastra </w:t>
            </w:r>
            <w:r w:rsidRPr="00016BED">
              <w:rPr>
                <w:bCs/>
              </w:rPr>
              <w:lastRenderedPageBreak/>
              <w:t>Nr. 0100 010 0099) Kronvalda bulvārī 6, Rīgā.</w:t>
            </w:r>
          </w:p>
        </w:tc>
      </w:tr>
      <w:tr w:rsidR="000D29C1" w:rsidRPr="00016BED" w:rsidTr="0085774C">
        <w:trPr>
          <w:trHeight w:val="3221"/>
        </w:trPr>
        <w:tc>
          <w:tcPr>
            <w:tcW w:w="350" w:type="pct"/>
            <w:tcBorders>
              <w:right w:val="dotted" w:sz="4" w:space="0" w:color="auto"/>
            </w:tcBorders>
          </w:tcPr>
          <w:p w:rsidR="000D29C1" w:rsidRPr="00016BED" w:rsidRDefault="000D29C1" w:rsidP="00F229F9">
            <w:pPr>
              <w:pStyle w:val="NormalWeb"/>
              <w:spacing w:before="0" w:beforeAutospacing="0" w:after="80" w:afterAutospacing="0"/>
              <w:jc w:val="center"/>
            </w:pPr>
            <w:r w:rsidRPr="00016BED">
              <w:lastRenderedPageBreak/>
              <w:t>2.</w:t>
            </w:r>
          </w:p>
        </w:tc>
        <w:tc>
          <w:tcPr>
            <w:tcW w:w="1069" w:type="pct"/>
            <w:tcBorders>
              <w:left w:val="dotted" w:sz="4" w:space="0" w:color="auto"/>
              <w:right w:val="dotted" w:sz="4" w:space="0" w:color="auto"/>
            </w:tcBorders>
          </w:tcPr>
          <w:p w:rsidR="000D29C1" w:rsidRPr="00016BED" w:rsidRDefault="000D29C1" w:rsidP="00F229F9">
            <w:pPr>
              <w:pStyle w:val="NormalWeb"/>
              <w:spacing w:before="0" w:beforeAutospacing="0" w:after="80" w:afterAutospacing="0"/>
            </w:pPr>
            <w:r w:rsidRPr="00016BED">
              <w:t>Pašreizējā situācija un problēmas</w:t>
            </w:r>
          </w:p>
        </w:tc>
        <w:tc>
          <w:tcPr>
            <w:tcW w:w="3581" w:type="pct"/>
            <w:gridSpan w:val="7"/>
            <w:tcBorders>
              <w:left w:val="dotted" w:sz="4" w:space="0" w:color="auto"/>
            </w:tcBorders>
          </w:tcPr>
          <w:p w:rsidR="00B93C85" w:rsidRPr="00016BED" w:rsidRDefault="00B93C85" w:rsidP="00F229F9">
            <w:pPr>
              <w:pStyle w:val="naiskr"/>
              <w:tabs>
                <w:tab w:val="left" w:pos="366"/>
              </w:tabs>
              <w:spacing w:before="0" w:beforeAutospacing="0" w:after="80" w:afterAutospacing="0"/>
              <w:ind w:left="121" w:right="158"/>
              <w:jc w:val="both"/>
              <w:rPr>
                <w:bCs/>
              </w:rPr>
            </w:pPr>
            <w:r w:rsidRPr="00016BED">
              <w:rPr>
                <w:bCs/>
              </w:rPr>
              <w:t>Šobrīd</w:t>
            </w:r>
            <w:r w:rsidR="00D2182C" w:rsidRPr="00016BED">
              <w:rPr>
                <w:bCs/>
              </w:rPr>
              <w:t xml:space="preserve"> VARAM </w:t>
            </w:r>
            <w:r w:rsidRPr="00016BED">
              <w:rPr>
                <w:bCs/>
              </w:rPr>
              <w:t xml:space="preserve">struktūrvienības </w:t>
            </w:r>
            <w:r w:rsidR="00D2182C" w:rsidRPr="00016BED">
              <w:rPr>
                <w:bCs/>
              </w:rPr>
              <w:t>ir izvietota</w:t>
            </w:r>
            <w:r w:rsidRPr="00016BED">
              <w:rPr>
                <w:bCs/>
              </w:rPr>
              <w:t>s</w:t>
            </w:r>
            <w:r w:rsidR="00D2182C" w:rsidRPr="00016BED">
              <w:rPr>
                <w:bCs/>
              </w:rPr>
              <w:t xml:space="preserve"> </w:t>
            </w:r>
            <w:r w:rsidRPr="00016BED">
              <w:rPr>
                <w:bCs/>
              </w:rPr>
              <w:t>četros</w:t>
            </w:r>
            <w:r w:rsidR="00D2182C" w:rsidRPr="00016BED">
              <w:rPr>
                <w:bCs/>
              </w:rPr>
              <w:t xml:space="preserve"> dažād</w:t>
            </w:r>
            <w:r w:rsidRPr="00016BED">
              <w:rPr>
                <w:bCs/>
              </w:rPr>
              <w:t>os nekustamajos īpašumos, t.i.</w:t>
            </w:r>
            <w:r w:rsidR="00D2182C" w:rsidRPr="00016BED">
              <w:rPr>
                <w:bCs/>
              </w:rPr>
              <w:t>:</w:t>
            </w:r>
          </w:p>
          <w:p w:rsidR="00B93C85" w:rsidRPr="00016BED" w:rsidRDefault="009114D7" w:rsidP="00F229F9">
            <w:pPr>
              <w:pStyle w:val="naiskr"/>
              <w:numPr>
                <w:ilvl w:val="0"/>
                <w:numId w:val="4"/>
              </w:numPr>
              <w:tabs>
                <w:tab w:val="left" w:pos="406"/>
              </w:tabs>
              <w:spacing w:before="0" w:beforeAutospacing="0" w:after="80" w:afterAutospacing="0"/>
              <w:ind w:left="406" w:right="158" w:hanging="285"/>
              <w:jc w:val="both"/>
            </w:pPr>
            <w:r w:rsidRPr="00016BED">
              <w:rPr>
                <w:bCs/>
              </w:rPr>
              <w:t xml:space="preserve">nekustamajā īpašumā (nekustamā īpašuma kadastra Nr.0100 001 0127) </w:t>
            </w:r>
            <w:r w:rsidR="00D2182C" w:rsidRPr="00016BED">
              <w:rPr>
                <w:bCs/>
              </w:rPr>
              <w:t>Peldu ielā 25,</w:t>
            </w:r>
            <w:r w:rsidR="00B93C85" w:rsidRPr="00016BED">
              <w:rPr>
                <w:bCs/>
              </w:rPr>
              <w:t xml:space="preserve"> Rīgā;</w:t>
            </w:r>
          </w:p>
          <w:p w:rsidR="00B93C85" w:rsidRPr="00016BED" w:rsidRDefault="009114D7" w:rsidP="00F229F9">
            <w:pPr>
              <w:pStyle w:val="naiskr"/>
              <w:numPr>
                <w:ilvl w:val="0"/>
                <w:numId w:val="4"/>
              </w:numPr>
              <w:tabs>
                <w:tab w:val="left" w:pos="406"/>
              </w:tabs>
              <w:spacing w:before="0" w:beforeAutospacing="0" w:after="80" w:afterAutospacing="0"/>
              <w:ind w:left="406" w:right="158" w:hanging="285"/>
              <w:jc w:val="both"/>
            </w:pPr>
            <w:r w:rsidRPr="00016BED">
              <w:rPr>
                <w:bCs/>
              </w:rPr>
              <w:t xml:space="preserve">nekustamajā īpašumā (nekustamā īpašuma kadastra Nr.0100 008 0027) </w:t>
            </w:r>
            <w:r w:rsidR="00D2182C" w:rsidRPr="00016BED">
              <w:rPr>
                <w:bCs/>
              </w:rPr>
              <w:t xml:space="preserve">Pils ielā 17, </w:t>
            </w:r>
            <w:r w:rsidRPr="00016BED">
              <w:rPr>
                <w:bCs/>
              </w:rPr>
              <w:t>Rīgā</w:t>
            </w:r>
            <w:r w:rsidR="00B93C85" w:rsidRPr="00016BED">
              <w:rPr>
                <w:bCs/>
              </w:rPr>
              <w:t>;</w:t>
            </w:r>
          </w:p>
          <w:p w:rsidR="00B93C85" w:rsidRPr="00016BED" w:rsidRDefault="009114D7" w:rsidP="00F229F9">
            <w:pPr>
              <w:pStyle w:val="naiskr"/>
              <w:numPr>
                <w:ilvl w:val="0"/>
                <w:numId w:val="4"/>
              </w:numPr>
              <w:tabs>
                <w:tab w:val="left" w:pos="406"/>
              </w:tabs>
              <w:spacing w:before="0" w:beforeAutospacing="0" w:after="80" w:afterAutospacing="0"/>
              <w:ind w:left="406" w:right="158" w:hanging="285"/>
              <w:jc w:val="both"/>
            </w:pPr>
            <w:r w:rsidRPr="00016BED">
              <w:rPr>
                <w:bCs/>
              </w:rPr>
              <w:t xml:space="preserve">nekustamajā īpašumā (nekustamā īpašuma kadastra Nr.0100 003 0023) </w:t>
            </w:r>
            <w:r w:rsidR="00D2182C" w:rsidRPr="00016BED">
              <w:rPr>
                <w:bCs/>
              </w:rPr>
              <w:t>Peldu iel</w:t>
            </w:r>
            <w:r w:rsidR="00B93C85" w:rsidRPr="00016BED">
              <w:rPr>
                <w:bCs/>
              </w:rPr>
              <w:t xml:space="preserve">ā 26/28, Rīgā </w:t>
            </w:r>
            <w:r w:rsidR="00B93C85" w:rsidRPr="00016BED">
              <w:rPr>
                <w:bCs/>
                <w:i/>
              </w:rPr>
              <w:t>(telpas tiek nomātas)</w:t>
            </w:r>
            <w:r w:rsidR="00B93C85" w:rsidRPr="00016BED">
              <w:rPr>
                <w:bCs/>
              </w:rPr>
              <w:t>;</w:t>
            </w:r>
          </w:p>
          <w:p w:rsidR="00B93C85" w:rsidRPr="00016BED" w:rsidRDefault="009114D7" w:rsidP="00F229F9">
            <w:pPr>
              <w:pStyle w:val="naiskr"/>
              <w:numPr>
                <w:ilvl w:val="0"/>
                <w:numId w:val="4"/>
              </w:numPr>
              <w:tabs>
                <w:tab w:val="left" w:pos="0"/>
                <w:tab w:val="left" w:pos="406"/>
              </w:tabs>
              <w:spacing w:before="0" w:beforeAutospacing="0" w:after="80" w:afterAutospacing="0"/>
              <w:ind w:left="406" w:right="158" w:hanging="285"/>
              <w:jc w:val="both"/>
            </w:pPr>
            <w:r w:rsidRPr="00016BED">
              <w:rPr>
                <w:bCs/>
              </w:rPr>
              <w:t xml:space="preserve">nekustamajā īpašumā (nekustamā īpašuma kadastra Nr.0100 005 0075) </w:t>
            </w:r>
            <w:r w:rsidR="007221D7" w:rsidRPr="00016BED">
              <w:rPr>
                <w:bCs/>
              </w:rPr>
              <w:t>Vaļņu</w:t>
            </w:r>
            <w:r w:rsidR="00D2182C" w:rsidRPr="00016BED">
              <w:rPr>
                <w:bCs/>
              </w:rPr>
              <w:t xml:space="preserve"> ielā </w:t>
            </w:r>
            <w:r w:rsidR="007221D7" w:rsidRPr="00016BED">
              <w:rPr>
                <w:bCs/>
              </w:rPr>
              <w:t>30</w:t>
            </w:r>
            <w:r w:rsidR="00B93C85" w:rsidRPr="00016BED">
              <w:rPr>
                <w:bCs/>
              </w:rPr>
              <w:t>, Rīgā</w:t>
            </w:r>
            <w:r w:rsidR="00173902" w:rsidRPr="00016BED">
              <w:rPr>
                <w:bCs/>
              </w:rPr>
              <w:t xml:space="preserve"> </w:t>
            </w:r>
            <w:r w:rsidR="00173902" w:rsidRPr="00016BED">
              <w:rPr>
                <w:bCs/>
                <w:i/>
              </w:rPr>
              <w:t>(telpas tiek nomātas)</w:t>
            </w:r>
            <w:r w:rsidR="00B93C85" w:rsidRPr="00016BED">
              <w:rPr>
                <w:bCs/>
              </w:rPr>
              <w:t>.</w:t>
            </w:r>
          </w:p>
          <w:p w:rsidR="001E3DA8" w:rsidRPr="00016BED" w:rsidRDefault="00B93C85" w:rsidP="00F229F9">
            <w:pPr>
              <w:pStyle w:val="naiskr"/>
              <w:tabs>
                <w:tab w:val="left" w:pos="366"/>
              </w:tabs>
              <w:spacing w:before="0" w:beforeAutospacing="0" w:after="80" w:afterAutospacing="0"/>
              <w:ind w:left="121" w:right="158"/>
              <w:jc w:val="both"/>
              <w:rPr>
                <w:bCs/>
              </w:rPr>
            </w:pPr>
            <w:r w:rsidRPr="00016BED">
              <w:rPr>
                <w:bCs/>
              </w:rPr>
              <w:t xml:space="preserve">Minētais apstāklis </w:t>
            </w:r>
            <w:r w:rsidRPr="00016BED">
              <w:rPr>
                <w:bCs/>
                <w:u w:val="single"/>
              </w:rPr>
              <w:t xml:space="preserve">būtiski </w:t>
            </w:r>
            <w:r w:rsidR="00D2182C" w:rsidRPr="00016BED">
              <w:rPr>
                <w:bCs/>
                <w:u w:val="single"/>
              </w:rPr>
              <w:t>apgrūtina ikdienas darb</w:t>
            </w:r>
            <w:r w:rsidRPr="00016BED">
              <w:rPr>
                <w:bCs/>
                <w:u w:val="single"/>
              </w:rPr>
              <w:t>a</w:t>
            </w:r>
            <w:r w:rsidR="00D2182C" w:rsidRPr="00016BED">
              <w:rPr>
                <w:bCs/>
                <w:u w:val="single"/>
              </w:rPr>
              <w:t xml:space="preserve"> </w:t>
            </w:r>
            <w:r w:rsidRPr="00016BED">
              <w:rPr>
                <w:bCs/>
                <w:u w:val="single"/>
              </w:rPr>
              <w:t xml:space="preserve">procesu </w:t>
            </w:r>
            <w:r w:rsidR="00D2182C" w:rsidRPr="00016BED">
              <w:rPr>
                <w:bCs/>
                <w:u w:val="single"/>
              </w:rPr>
              <w:t>un palielina</w:t>
            </w:r>
            <w:r w:rsidRPr="00016BED">
              <w:rPr>
                <w:bCs/>
                <w:u w:val="single"/>
              </w:rPr>
              <w:t xml:space="preserve"> administratīvos izdevumus</w:t>
            </w:r>
            <w:r w:rsidRPr="00016BED">
              <w:rPr>
                <w:bCs/>
              </w:rPr>
              <w:t xml:space="preserve">, tostarp </w:t>
            </w:r>
            <w:r w:rsidR="001E3DA8" w:rsidRPr="00016BED">
              <w:rPr>
                <w:bCs/>
              </w:rPr>
              <w:t>VARAM funkciju izpildei nepieciešamo</w:t>
            </w:r>
            <w:r w:rsidRPr="00016BED">
              <w:rPr>
                <w:bCs/>
              </w:rPr>
              <w:t xml:space="preserve"> īpašumu </w:t>
            </w:r>
            <w:r w:rsidR="00D2182C" w:rsidRPr="00016BED">
              <w:rPr>
                <w:bCs/>
              </w:rPr>
              <w:t>uzturēšan</w:t>
            </w:r>
            <w:r w:rsidRPr="00016BED">
              <w:rPr>
                <w:bCs/>
              </w:rPr>
              <w:t>as</w:t>
            </w:r>
            <w:r w:rsidR="001E3DA8" w:rsidRPr="00016BED">
              <w:rPr>
                <w:bCs/>
              </w:rPr>
              <w:t>, kā arī</w:t>
            </w:r>
            <w:r w:rsidR="00D2182C" w:rsidRPr="00016BED">
              <w:rPr>
                <w:bCs/>
              </w:rPr>
              <w:t xml:space="preserve"> </w:t>
            </w:r>
            <w:r w:rsidRPr="00016BED">
              <w:rPr>
                <w:bCs/>
              </w:rPr>
              <w:t xml:space="preserve">ar </w:t>
            </w:r>
            <w:r w:rsidR="00D2182C" w:rsidRPr="00016BED">
              <w:rPr>
                <w:bCs/>
              </w:rPr>
              <w:t>transport</w:t>
            </w:r>
            <w:r w:rsidRPr="00016BED">
              <w:rPr>
                <w:bCs/>
              </w:rPr>
              <w:t>u</w:t>
            </w:r>
            <w:r w:rsidR="00DB01B4" w:rsidRPr="00016BED">
              <w:rPr>
                <w:bCs/>
              </w:rPr>
              <w:t xml:space="preserve"> saistītos izdevumus.</w:t>
            </w:r>
          </w:p>
          <w:p w:rsidR="001E3DA8" w:rsidRPr="00016BED" w:rsidRDefault="00D2182C" w:rsidP="00F229F9">
            <w:pPr>
              <w:pStyle w:val="naiskr"/>
              <w:tabs>
                <w:tab w:val="left" w:pos="366"/>
              </w:tabs>
              <w:spacing w:before="0" w:beforeAutospacing="0" w:after="80" w:afterAutospacing="0"/>
              <w:ind w:left="121" w:right="158"/>
              <w:jc w:val="both"/>
              <w:rPr>
                <w:bCs/>
              </w:rPr>
            </w:pPr>
            <w:r w:rsidRPr="00016BED">
              <w:rPr>
                <w:bCs/>
              </w:rPr>
              <w:t xml:space="preserve">Tāpēc </w:t>
            </w:r>
            <w:r w:rsidR="00B93C85" w:rsidRPr="00016BED">
              <w:rPr>
                <w:bCs/>
              </w:rPr>
              <w:t>Ministru kabineta 2012.gada 16.augusta ārkārtas sēdē (Ministru kabineta protokollēmum</w:t>
            </w:r>
            <w:r w:rsidR="00EC0F82" w:rsidRPr="00016BED">
              <w:rPr>
                <w:bCs/>
              </w:rPr>
              <w:t>a</w:t>
            </w:r>
            <w:r w:rsidR="00B93C85" w:rsidRPr="00016BED">
              <w:rPr>
                <w:bCs/>
              </w:rPr>
              <w:t xml:space="preserve"> Nr.46</w:t>
            </w:r>
            <w:r w:rsidR="007157B0" w:rsidRPr="00016BED">
              <w:rPr>
                <w:bCs/>
              </w:rPr>
              <w:t xml:space="preserve"> 26., 27. un 28.punkts</w:t>
            </w:r>
            <w:r w:rsidR="00B93C85" w:rsidRPr="00016BED">
              <w:rPr>
                <w:bCs/>
              </w:rPr>
              <w:t xml:space="preserve">) tika izskatīts </w:t>
            </w:r>
            <w:r w:rsidR="00DB01B4" w:rsidRPr="00016BED">
              <w:rPr>
                <w:bCs/>
              </w:rPr>
              <w:t xml:space="preserve">un atbalstīts </w:t>
            </w:r>
            <w:r w:rsidR="00B93C85" w:rsidRPr="00016BED">
              <w:rPr>
                <w:bCs/>
              </w:rPr>
              <w:t>jautājums par VARAM struktūrvienīb</w:t>
            </w:r>
            <w:r w:rsidR="00A14C75" w:rsidRPr="00016BED">
              <w:rPr>
                <w:bCs/>
              </w:rPr>
              <w:t xml:space="preserve">u </w:t>
            </w:r>
            <w:r w:rsidR="00B93C85" w:rsidRPr="00016BED">
              <w:rPr>
                <w:bCs/>
              </w:rPr>
              <w:t>izviet</w:t>
            </w:r>
            <w:r w:rsidR="00A14C75" w:rsidRPr="00016BED">
              <w:rPr>
                <w:bCs/>
              </w:rPr>
              <w:t>ošanu</w:t>
            </w:r>
            <w:r w:rsidR="00B93C85" w:rsidRPr="00016BED">
              <w:rPr>
                <w:bCs/>
              </w:rPr>
              <w:t xml:space="preserve"> nekustamajā īpašumā (nekustamā īpašumu kadastra Nr. 0100 010 0099) Kronvalda bulvārī 6, Rīgā</w:t>
            </w:r>
            <w:r w:rsidR="00DB01B4" w:rsidRPr="00016BED">
              <w:rPr>
                <w:bCs/>
              </w:rPr>
              <w:t>.</w:t>
            </w:r>
          </w:p>
          <w:p w:rsidR="003022CB" w:rsidRPr="00016BED" w:rsidRDefault="003022CB" w:rsidP="00F229F9">
            <w:pPr>
              <w:pStyle w:val="naiskr"/>
              <w:tabs>
                <w:tab w:val="left" w:pos="366"/>
              </w:tabs>
              <w:spacing w:before="0" w:beforeAutospacing="0" w:after="80" w:afterAutospacing="0"/>
              <w:ind w:left="121" w:right="158"/>
              <w:jc w:val="both"/>
            </w:pPr>
          </w:p>
          <w:p w:rsidR="00282316" w:rsidRPr="00016BED" w:rsidRDefault="00282316" w:rsidP="00F229F9">
            <w:pPr>
              <w:pStyle w:val="naiskr"/>
              <w:tabs>
                <w:tab w:val="left" w:pos="366"/>
              </w:tabs>
              <w:spacing w:before="0" w:beforeAutospacing="0" w:after="80" w:afterAutospacing="0"/>
              <w:ind w:left="121" w:right="158"/>
              <w:jc w:val="both"/>
            </w:pPr>
            <w:r w:rsidRPr="00016BED">
              <w:t xml:space="preserve">Pamatojoties uz </w:t>
            </w:r>
            <w:r w:rsidRPr="00016BED">
              <w:rPr>
                <w:bCs/>
              </w:rPr>
              <w:t>Ministru kabineta protokollēmuma Nr.46 </w:t>
            </w:r>
            <w:r w:rsidRPr="00016BED">
              <w:t xml:space="preserve">26.punktā doto uzdevumu likumā „Grozījumi likumā „Par valsts budžetu 2012.gadam”” tika piešķirts papildu finansējums Finanšu ministrijai 300 000 latu (426 862 euro) apmērā būvniecības pirmsprojekta izpētes un tehniskā projekta izstrādes izdevumu segšanai </w:t>
            </w:r>
            <w:r w:rsidRPr="00016BED">
              <w:rPr>
                <w:bCs/>
              </w:rPr>
              <w:t>VNĪ</w:t>
            </w:r>
            <w:r w:rsidRPr="00016BED">
              <w:t>. Vienlaicīgi ar Ministru kabineta protokollēmuma Nr.46 27.punktu tika noteikts uzdevumu Finanšu ministrijai (VNĪ) būvniecības pirmsprojekta izpētes un tehniskā projekta izstrādes darbus pabeigt līdz 2013.gada 15.decembrim.</w:t>
            </w:r>
          </w:p>
          <w:p w:rsidR="00282316" w:rsidRPr="00016BED" w:rsidRDefault="00282316" w:rsidP="00F229F9">
            <w:pPr>
              <w:pStyle w:val="naiskr"/>
              <w:tabs>
                <w:tab w:val="left" w:pos="366"/>
              </w:tabs>
              <w:spacing w:before="0" w:beforeAutospacing="0" w:after="80" w:afterAutospacing="0"/>
              <w:ind w:left="121" w:right="158"/>
              <w:jc w:val="both"/>
            </w:pPr>
            <w:r w:rsidRPr="00016BED">
              <w:t xml:space="preserve">Nodrošinot dotā uzdevuma izpildi, VNĪ 2013.gada 31.janvārī pabeidza būvniecības projekta pirmsprojekta izpētes darbus, ir saņemts plānošanas un arhitektūras uzdevums un Valsts kultūras pieminekļu aizsardzības īpašie nosacījumi. Finansējums apgūts 3 610,40 latu (5 137,14 euro) apmērā. </w:t>
            </w:r>
            <w:r w:rsidR="00B905C3" w:rsidRPr="00016BED">
              <w:t>A</w:t>
            </w:r>
            <w:r w:rsidRPr="00016BED">
              <w:t>notācijas pielikuma 6.tabulā norādītie rekonstrukcijai nepieciešamie provizoriskie kapitālieguldījumi aprēķināti, balstoties uz 2012.gada 11.decembrī SIA „Zenico projekts” izstrādāto ēkas Kronvalda bulvāris 6, Rīgā, pārbūves projekta koncepciju.</w:t>
            </w:r>
          </w:p>
          <w:p w:rsidR="00282316" w:rsidRPr="00016BED" w:rsidRDefault="00282316" w:rsidP="00F229F9">
            <w:pPr>
              <w:pStyle w:val="naiskr"/>
              <w:tabs>
                <w:tab w:val="left" w:pos="366"/>
              </w:tabs>
              <w:spacing w:before="0" w:beforeAutospacing="0" w:after="80" w:afterAutospacing="0"/>
              <w:ind w:left="121" w:right="158"/>
              <w:jc w:val="both"/>
            </w:pPr>
            <w:r w:rsidRPr="00016BED">
              <w:t>Ministru kabineta protokollēmum</w:t>
            </w:r>
            <w:r w:rsidR="00EC0F82" w:rsidRPr="00016BED">
              <w:t>a</w:t>
            </w:r>
            <w:r w:rsidRPr="00016BED">
              <w:t xml:space="preserve"> Nr.46 27.punktā dotais uzdevums attiecībā uz VARAM administratīvās ēkas Kronvalda bulvārī 6, Rīgā, būvniecības tehniskā projekta izstrādi līdz 2013.gada 15.decembrim, pamatoti netik</w:t>
            </w:r>
            <w:r w:rsidR="00B905C3" w:rsidRPr="00016BED">
              <w:t>s</w:t>
            </w:r>
            <w:r w:rsidRPr="00016BED">
              <w:t xml:space="preserve"> izpildīts tālāk norādīto apsvērumu dēļ. Pie apstākļiem, kad nav zināms risinājums par visa attīstības projekta finansējuma nodrošinājumu, lai nelietderīgi neizlietotu valsts budžeta līdzekļus, VARAM nesniedza VNĪ projektēšanas programmu (tehnisko uzdevumu), kas nepieciešama VARAM administratīvās ēkas Kronvalda bulvārī 6, Rīgā, tehniskā projekta izstrādei</w:t>
            </w:r>
            <w:r w:rsidR="00EC0F82" w:rsidRPr="00016BED">
              <w:t>,</w:t>
            </w:r>
            <w:r w:rsidRPr="00016BED">
              <w:t xml:space="preserve"> un attiecīgi VNĪ neveica projektēšanas darbus.</w:t>
            </w:r>
          </w:p>
          <w:p w:rsidR="00282316" w:rsidRPr="00016BED" w:rsidRDefault="00282316" w:rsidP="00F229F9">
            <w:pPr>
              <w:pStyle w:val="naiskr"/>
              <w:tabs>
                <w:tab w:val="left" w:pos="366"/>
              </w:tabs>
              <w:spacing w:before="0" w:beforeAutospacing="0" w:after="80" w:afterAutospacing="0"/>
              <w:ind w:left="121" w:right="158"/>
              <w:jc w:val="both"/>
            </w:pPr>
            <w:r w:rsidRPr="00016BED">
              <w:t>Ministru kabineta protokollēmuma Nr.46 28.punkts paredzēja VARAM sadarbībā ar Finanšu ministriju (VNĪ) normatīvajos aktos noteiktajā kārtībā līdz 2013.gada 1.februārim iesniegt Ministru kabinetā rīkojuma projektu ar priekšlikumiem par nekustamā īpašuma Kronvalda bulvārī 6, Rīgā, provizoriskā finansējuma būvniecības kapitālieguldījumiem iekļaušanu likumprojekta „Par valsts budžetu 2014.gadam” ilgtermiņa saistībās, kā arī nomas maksas izdevumu apmēru, kas sedzami VNĪ, pārcelšanās un aprīkojumu iegādes izdevumu apmēru, norādot būvniecības plānotos pabeigšanas un nomas līgumsaistību sākuma termiņus. Jautājums skatāms Ministru kabinetā Vidēja termiņa budžeta ietvara likuma 2014. – 2016.gadam projekta un likumprojekta „Par valsts budžetu 2014.gadam” sagatavošanas procesā kopā ar visu ministriju papildu finanšu resursu pieprasījumiem.</w:t>
            </w:r>
          </w:p>
          <w:p w:rsidR="00282316" w:rsidRPr="00016BED" w:rsidRDefault="00282316" w:rsidP="00F229F9">
            <w:pPr>
              <w:pStyle w:val="naiskr"/>
              <w:tabs>
                <w:tab w:val="left" w:pos="366"/>
              </w:tabs>
              <w:spacing w:before="0" w:beforeAutospacing="0" w:after="80" w:afterAutospacing="0"/>
              <w:ind w:left="121" w:right="158"/>
              <w:jc w:val="both"/>
            </w:pPr>
            <w:r w:rsidRPr="00016BED">
              <w:t>Ministru kabineta 2013.gada 28.maija sēdē (Ministru kabineta sēdes protokollēmums (prot. Nr.32 67.§) „Rīkojuma projekts „Par finansējuma piešķiršanu Vides aizsardzības un reģionālās attīstības ministrijas centrālā aparāta ēkas Kronvalda bulvārī 6, Rīgā telpu nomas maksas, aprīkojuma iegādes, pārcelšanās un uzturēšanas izdevumu segšanai”) VARAM iesniegtais rīkojuma projekts netika pieņemts un tika noteikts jautājumu par finansējuma piešķiršanu VARAM centrālā aparāta ēkas Kronvalda bulvārī 6, Rīgā telpu nomas maksas, aprīkojuma iegādes, pārcelšanās un uzturēšanas izdevumu segšanai skatīt Ministru kabinetā kopā ar visu ministriju un centrālo valsts iestāžu jauno politikas iniciatīvu pieteikumiem likumprojekta „Par vidēja termiņa budžeta ietvaru 2014., 2015. un 2016.gadam” un likumprojekta „Par valsts budžetu 2014.gadam” sagata</w:t>
            </w:r>
            <w:r w:rsidR="00B905C3" w:rsidRPr="00016BED">
              <w:t>vošanas un izskatīšanas procesā</w:t>
            </w:r>
            <w:r w:rsidRPr="00016BED">
              <w:t>.</w:t>
            </w:r>
          </w:p>
          <w:p w:rsidR="00282316" w:rsidRPr="00016BED" w:rsidRDefault="00282316" w:rsidP="00F229F9">
            <w:pPr>
              <w:pStyle w:val="naiskr"/>
              <w:tabs>
                <w:tab w:val="left" w:pos="366"/>
              </w:tabs>
              <w:spacing w:before="0" w:beforeAutospacing="0" w:after="80" w:afterAutospacing="0"/>
              <w:ind w:left="121" w:right="158"/>
              <w:jc w:val="both"/>
            </w:pPr>
            <w:r w:rsidRPr="00016BED">
              <w:t>VARAM, izpildot dotos uzdevumus, iesniedza Finanšu ministrijai un Pārresoru koordinācijas centram kā jauno politikas iniciatīvu administratīvās kapacitātes stiprināšanas pasākumam „Vides aizsardzības un reģionālās attīstības ministrijas jaunās telpas, Kronvalda bulvārī 6, Rīgā” (kods 21_01_A),</w:t>
            </w:r>
            <w:r w:rsidR="00F63BD3" w:rsidRPr="00016BED">
              <w:t xml:space="preserve"> kas netika atbalstīts Ministru kabinetā, izskatot 2014.- 2016.gada jaunās politikas iniciatīvas</w:t>
            </w:r>
            <w:r w:rsidRPr="00016BED">
              <w:t>.</w:t>
            </w:r>
          </w:p>
          <w:p w:rsidR="00282316" w:rsidRPr="00016BED" w:rsidRDefault="00282316" w:rsidP="00F229F9">
            <w:pPr>
              <w:pStyle w:val="naiskr"/>
              <w:tabs>
                <w:tab w:val="left" w:pos="366"/>
              </w:tabs>
              <w:spacing w:before="0" w:beforeAutospacing="0" w:after="80" w:afterAutospacing="0"/>
              <w:ind w:left="121" w:right="158"/>
              <w:jc w:val="both"/>
            </w:pPr>
            <w:r w:rsidRPr="00016BED">
              <w:t>Līdz ar to likumā „Grozījumi likumā „Par valsts budžetu 2012.gadam”” paredzētais papildu finansējums Finanšu ministrijai būvniecības pirmsprojekta izpētes un tehniskā projekta izstrādes izdevumu segšanai 296 389,60 latu (421 724,41 euro) apmērā līdz 2013.gada 15.decembrim netiks apgūts un attiecīgi saskaņā Finanšu ministrijas un VNĪ 2012.gada 28.novembrī noslēgtās Vienošanās par finansējuma piešķiršanu un izlietošanu ēkas Kronvalda bulvārī 6, Rīgā, (kadastra Nr.0100 010 0099) būvniecības pirmsprojekta izpētei un tehniskā projekta izstrādei nosacījumiem tiks atskaitīt</w:t>
            </w:r>
            <w:r w:rsidR="00F63BD3" w:rsidRPr="00016BED">
              <w:t>i</w:t>
            </w:r>
            <w:r w:rsidRPr="00016BED">
              <w:t xml:space="preserve"> </w:t>
            </w:r>
            <w:r w:rsidR="00F63BD3" w:rsidRPr="00016BED">
              <w:t>valsts budžetā</w:t>
            </w:r>
            <w:r w:rsidRPr="00016BED">
              <w:t>.</w:t>
            </w:r>
          </w:p>
          <w:p w:rsidR="005005CC" w:rsidRPr="00016BED" w:rsidRDefault="000A573C" w:rsidP="00F229F9">
            <w:pPr>
              <w:pStyle w:val="naiskr"/>
              <w:tabs>
                <w:tab w:val="left" w:pos="366"/>
              </w:tabs>
              <w:spacing w:before="0" w:beforeAutospacing="0" w:after="80" w:afterAutospacing="0"/>
              <w:ind w:left="121" w:right="158"/>
              <w:jc w:val="both"/>
              <w:rPr>
                <w:color w:val="FF0000"/>
                <w:u w:val="single"/>
              </w:rPr>
            </w:pPr>
            <w:r w:rsidRPr="00016BED">
              <w:t>Ņemot vērā augstāk minēto,</w:t>
            </w:r>
            <w:r w:rsidRPr="00016BED">
              <w:rPr>
                <w:bCs/>
              </w:rPr>
              <w:t xml:space="preserve"> </w:t>
            </w:r>
            <w:r w:rsidR="00282316" w:rsidRPr="00016BED">
              <w:rPr>
                <w:bCs/>
              </w:rPr>
              <w:t xml:space="preserve">un to, ka </w:t>
            </w:r>
            <w:r w:rsidR="00282316" w:rsidRPr="00016BED">
              <w:rPr>
                <w:rStyle w:val="spelle"/>
              </w:rPr>
              <w:t>VARAM administratīvās ēkas Kronvalda bulvārī 6, Rīgā</w:t>
            </w:r>
            <w:r w:rsidR="00282316" w:rsidRPr="00016BED">
              <w:rPr>
                <w:bCs/>
              </w:rPr>
              <w:t xml:space="preserve"> rekonstrukcijas tehniskā projekta izstrāde</w:t>
            </w:r>
            <w:r w:rsidR="0085774C" w:rsidRPr="00016BED">
              <w:rPr>
                <w:bCs/>
              </w:rPr>
              <w:t>s jautājums</w:t>
            </w:r>
            <w:r w:rsidR="00282316" w:rsidRPr="00016BED">
              <w:rPr>
                <w:bCs/>
              </w:rPr>
              <w:t xml:space="preserve"> </w:t>
            </w:r>
            <w:r w:rsidR="0085774C" w:rsidRPr="00016BED">
              <w:rPr>
                <w:bCs/>
              </w:rPr>
              <w:t xml:space="preserve">ir risināms kopā ar jautājumu par objekta būvniecības (rekonstrukcijas) darbiem, tas ir šī Ministru kabineta rīkojuma ietvaros, </w:t>
            </w:r>
            <w:r w:rsidRPr="00016BED">
              <w:rPr>
                <w:bCs/>
              </w:rPr>
              <w:t>Ministru kabineta protokollēmum</w:t>
            </w:r>
            <w:r w:rsidR="007A0005" w:rsidRPr="00016BED">
              <w:rPr>
                <w:bCs/>
              </w:rPr>
              <w:t>a</w:t>
            </w:r>
            <w:r w:rsidRPr="00016BED">
              <w:rPr>
                <w:bCs/>
              </w:rPr>
              <w:t xml:space="preserve"> Nr.46 </w:t>
            </w:r>
            <w:r w:rsidRPr="00016BED">
              <w:t xml:space="preserve"> </w:t>
            </w:r>
            <w:r w:rsidR="007A0005" w:rsidRPr="00016BED">
              <w:t>27.punktā</w:t>
            </w:r>
            <w:r w:rsidR="007A0005" w:rsidRPr="00016BED">
              <w:rPr>
                <w:rStyle w:val="spelle"/>
              </w:rPr>
              <w:t xml:space="preserve"> doto</w:t>
            </w:r>
            <w:r w:rsidRPr="00016BED">
              <w:rPr>
                <w:rStyle w:val="spelle"/>
              </w:rPr>
              <w:t xml:space="preserve"> uzdevumu</w:t>
            </w:r>
            <w:r w:rsidR="007A0005" w:rsidRPr="00016BED">
              <w:rPr>
                <w:rStyle w:val="spelle"/>
              </w:rPr>
              <w:t xml:space="preserve"> </w:t>
            </w:r>
            <w:r w:rsidR="00DB01B4" w:rsidRPr="00016BED">
              <w:rPr>
                <w:rStyle w:val="spelle"/>
              </w:rPr>
              <w:t>–</w:t>
            </w:r>
            <w:r w:rsidR="007A0005" w:rsidRPr="00016BED">
              <w:rPr>
                <w:rStyle w:val="spelle"/>
              </w:rPr>
              <w:t xml:space="preserve"> </w:t>
            </w:r>
            <w:r w:rsidRPr="00016BED">
              <w:t>Finanšu ministrijai (</w:t>
            </w:r>
            <w:r w:rsidRPr="00016BED">
              <w:rPr>
                <w:rStyle w:val="spelle"/>
              </w:rPr>
              <w:t xml:space="preserve">VNĪ) </w:t>
            </w:r>
            <w:r w:rsidR="007A0005" w:rsidRPr="00016BED">
              <w:rPr>
                <w:rStyle w:val="spelle"/>
              </w:rPr>
              <w:t xml:space="preserve">nodrošināt VARAM centrālā aparāta vienotās administratīvās ēkas Kronvalda bulvārī 6, Rīgā, būvniecības pirmsprojekta izpētes un tehniskā projekta izstrādes darbu pabeigšanu līdz </w:t>
            </w:r>
            <w:r w:rsidRPr="00016BED">
              <w:t>2013.gada 15.decembrim</w:t>
            </w:r>
            <w:r w:rsidR="007A0005" w:rsidRPr="00016BED">
              <w:t xml:space="preserve"> – </w:t>
            </w:r>
            <w:r w:rsidR="007A0005" w:rsidRPr="00016BED">
              <w:rPr>
                <w:u w:val="single"/>
              </w:rPr>
              <w:t>nepieciešams atzīt par aktualitāti zaudējušu</w:t>
            </w:r>
            <w:r w:rsidRPr="00016BED">
              <w:t>.</w:t>
            </w:r>
          </w:p>
          <w:p w:rsidR="00F229F9" w:rsidRPr="00016BED" w:rsidRDefault="00F229F9" w:rsidP="00F229F9">
            <w:pPr>
              <w:pStyle w:val="NormalWeb"/>
              <w:spacing w:before="0" w:beforeAutospacing="0" w:after="80" w:afterAutospacing="0"/>
              <w:ind w:left="121" w:right="254"/>
              <w:jc w:val="both"/>
            </w:pPr>
          </w:p>
          <w:p w:rsidR="00F169A1" w:rsidRPr="00016BED" w:rsidRDefault="00051767" w:rsidP="00F229F9">
            <w:pPr>
              <w:pStyle w:val="NormalWeb"/>
              <w:spacing w:before="0" w:beforeAutospacing="0" w:after="80" w:afterAutospacing="0"/>
              <w:ind w:left="121" w:right="254"/>
              <w:jc w:val="both"/>
            </w:pPr>
            <w:r w:rsidRPr="00016BED">
              <w:t>Savukārt, lai</w:t>
            </w:r>
            <w:r w:rsidR="00A74F84" w:rsidRPr="00016BED">
              <w:t xml:space="preserve"> izvērtētu </w:t>
            </w:r>
            <w:r w:rsidR="00E23122" w:rsidRPr="00016BED">
              <w:t xml:space="preserve">optimālāko būvniecības darbu finansēšanas modeli, </w:t>
            </w:r>
            <w:r w:rsidR="00B971A2" w:rsidRPr="00016BED">
              <w:t>VNĪ</w:t>
            </w:r>
            <w:r w:rsidR="00F73163" w:rsidRPr="00016BED">
              <w:t xml:space="preserve"> </w:t>
            </w:r>
            <w:r w:rsidRPr="00016BED">
              <w:t>veica</w:t>
            </w:r>
            <w:r w:rsidR="00B10380" w:rsidRPr="00016BED">
              <w:t xml:space="preserve"> būvniecības projekta</w:t>
            </w:r>
            <w:r w:rsidR="00A74F84" w:rsidRPr="00016BED">
              <w:t xml:space="preserve"> īstenošanas ilgtermiņa ietekmes novērtējum</w:t>
            </w:r>
            <w:r w:rsidR="00E23122" w:rsidRPr="00016BED">
              <w:t>u</w:t>
            </w:r>
            <w:r w:rsidR="00A74F84" w:rsidRPr="00016BED">
              <w:t xml:space="preserve"> uz vispārējās valdības budžeta bilanci atbilstoši EKS’95 metodoloģijai</w:t>
            </w:r>
            <w:r w:rsidR="00E23122" w:rsidRPr="00016BED">
              <w:t xml:space="preserve"> </w:t>
            </w:r>
            <w:r w:rsidR="00961083" w:rsidRPr="00016BED">
              <w:t xml:space="preserve">un </w:t>
            </w:r>
            <w:r w:rsidR="00E42C15" w:rsidRPr="00016BED">
              <w:t xml:space="preserve">saskaņā ar </w:t>
            </w:r>
            <w:r w:rsidR="00961083" w:rsidRPr="00016BED">
              <w:t>Finanšu ministrijas sagatavotā un Valsts sekretāru 2013.gada 25.jūlija sanāksmē (prot. Nr.29 12.§, VSS-1432) izsludinātā informatīvā ziņojuma „Par priekšlikumiem turpmākai Valsts nekustamā īpašuma vienotas pārvaldīšanas un apsaimniekošanas koncepcijas īstenošanai” 4.4.sadaļā „Valsts nekustamo īpašumu attīstības projektu finansēšanas varianta izvēle” noteiktajiem principiem</w:t>
            </w:r>
            <w:r w:rsidR="00E42C15" w:rsidRPr="00016BED">
              <w:t>, izvērtēja iespējamos divus finansēšanas modeļus, t.i.</w:t>
            </w:r>
            <w:r w:rsidR="00F169A1" w:rsidRPr="00016BED">
              <w:t>:</w:t>
            </w:r>
          </w:p>
          <w:p w:rsidR="00F169A1" w:rsidRPr="00016BED" w:rsidRDefault="00F169A1" w:rsidP="00F229F9">
            <w:pPr>
              <w:pStyle w:val="ListParagraph"/>
              <w:numPr>
                <w:ilvl w:val="0"/>
                <w:numId w:val="2"/>
              </w:numPr>
              <w:tabs>
                <w:tab w:val="left" w:pos="426"/>
              </w:tabs>
              <w:spacing w:after="80"/>
              <w:ind w:right="254"/>
              <w:jc w:val="both"/>
              <w:rPr>
                <w:kern w:val="0"/>
                <w:lang w:eastAsia="lv-LV"/>
              </w:rPr>
            </w:pPr>
            <w:r w:rsidRPr="00016BED">
              <w:rPr>
                <w:kern w:val="0"/>
                <w:lang w:eastAsia="lv-LV"/>
              </w:rPr>
              <w:t xml:space="preserve">I </w:t>
            </w:r>
            <w:r w:rsidR="003819B7" w:rsidRPr="00016BED">
              <w:rPr>
                <w:kern w:val="0"/>
                <w:lang w:eastAsia="lv-LV"/>
              </w:rPr>
              <w:t>f</w:t>
            </w:r>
            <w:r w:rsidRPr="00016BED">
              <w:rPr>
                <w:kern w:val="0"/>
                <w:lang w:eastAsia="lv-LV"/>
              </w:rPr>
              <w:t xml:space="preserve">inansēšanas modelis – kapitālieguldījumi tiek finansēti no VNĪ </w:t>
            </w:r>
            <w:r w:rsidR="00C562FD" w:rsidRPr="00016BED">
              <w:rPr>
                <w:kern w:val="0"/>
                <w:lang w:eastAsia="lv-LV"/>
              </w:rPr>
              <w:t>finanšu resursiem</w:t>
            </w:r>
            <w:r w:rsidR="00A34D72" w:rsidRPr="00016BED">
              <w:rPr>
                <w:kern w:val="0"/>
                <w:lang w:eastAsia="lv-LV"/>
              </w:rPr>
              <w:t xml:space="preserve"> </w:t>
            </w:r>
            <w:r w:rsidR="00A34D72" w:rsidRPr="00016BED">
              <w:rPr>
                <w:bCs/>
              </w:rPr>
              <w:t>(</w:t>
            </w:r>
            <w:r w:rsidR="00A34D72" w:rsidRPr="00016BED">
              <w:t xml:space="preserve">ar </w:t>
            </w:r>
            <w:r w:rsidR="00B10380" w:rsidRPr="00016BED">
              <w:t>tiem</w:t>
            </w:r>
            <w:r w:rsidR="00A34D72" w:rsidRPr="00016BED">
              <w:t xml:space="preserve"> saprotot finanšu līdzekļus no saimnieciskās darbības gūtajiem ieņēmumiem un no brīvā tirgus finanšu instrumentiem)</w:t>
            </w:r>
            <w:r w:rsidR="00613583" w:rsidRPr="00016BED">
              <w:t xml:space="preserve"> </w:t>
            </w:r>
            <w:r w:rsidRPr="00016BED">
              <w:rPr>
                <w:kern w:val="0"/>
                <w:lang w:eastAsia="lv-LV"/>
              </w:rPr>
              <w:t>un iekļauti nomas maksā;</w:t>
            </w:r>
          </w:p>
          <w:p w:rsidR="00F169A1" w:rsidRPr="00016BED" w:rsidRDefault="00F169A1" w:rsidP="00F229F9">
            <w:pPr>
              <w:pStyle w:val="ListParagraph"/>
              <w:numPr>
                <w:ilvl w:val="0"/>
                <w:numId w:val="2"/>
              </w:numPr>
              <w:tabs>
                <w:tab w:val="left" w:pos="426"/>
              </w:tabs>
              <w:spacing w:after="80"/>
              <w:ind w:right="254"/>
              <w:jc w:val="both"/>
              <w:rPr>
                <w:kern w:val="0"/>
                <w:lang w:eastAsia="lv-LV"/>
              </w:rPr>
            </w:pPr>
            <w:r w:rsidRPr="00016BED">
              <w:rPr>
                <w:kern w:val="0"/>
                <w:lang w:eastAsia="lv-LV"/>
              </w:rPr>
              <w:t xml:space="preserve">II </w:t>
            </w:r>
            <w:r w:rsidR="003819B7" w:rsidRPr="00016BED">
              <w:rPr>
                <w:kern w:val="0"/>
                <w:lang w:eastAsia="lv-LV"/>
              </w:rPr>
              <w:t>f</w:t>
            </w:r>
            <w:r w:rsidRPr="00016BED">
              <w:rPr>
                <w:kern w:val="0"/>
                <w:lang w:eastAsia="lv-LV"/>
              </w:rPr>
              <w:t>inansēšanas modelis – kapitālieguldījumi tiek finansēti no valsts budžeta dotācijas</w:t>
            </w:r>
            <w:r w:rsidR="00B10380" w:rsidRPr="00016BED">
              <w:rPr>
                <w:kern w:val="0"/>
                <w:lang w:eastAsia="lv-LV"/>
              </w:rPr>
              <w:t>,</w:t>
            </w:r>
            <w:r w:rsidRPr="00016BED">
              <w:rPr>
                <w:kern w:val="0"/>
                <w:lang w:eastAsia="lv-LV"/>
              </w:rPr>
              <w:t xml:space="preserve"> palielinot VNĪ pamatkapitālu.</w:t>
            </w:r>
          </w:p>
          <w:p w:rsidR="005726CA" w:rsidRPr="00016BED" w:rsidRDefault="00487991" w:rsidP="00EC0F82">
            <w:pPr>
              <w:pStyle w:val="NormalWeb"/>
              <w:spacing w:before="0" w:beforeAutospacing="0" w:after="80" w:afterAutospacing="0"/>
              <w:ind w:left="121" w:right="254"/>
              <w:jc w:val="both"/>
            </w:pPr>
            <w:r w:rsidRPr="00016BED">
              <w:t>Ņemot vērā būvniecības projekta īstenošanas ilgtermiņa ietekmes novērtējuma uz vispārējās valdības budžeta bilanci atbilstoši EKS’95 metodoloģijai secinājumus (skat. anotācijas pielikumā):</w:t>
            </w:r>
          </w:p>
          <w:p w:rsidR="005726CA" w:rsidRPr="00016BED" w:rsidRDefault="005726CA" w:rsidP="00F229F9">
            <w:pPr>
              <w:pStyle w:val="NormalWeb"/>
              <w:numPr>
                <w:ilvl w:val="0"/>
                <w:numId w:val="3"/>
              </w:numPr>
              <w:spacing w:before="0" w:beforeAutospacing="0" w:after="80" w:afterAutospacing="0"/>
              <w:ind w:right="254"/>
              <w:jc w:val="both"/>
            </w:pPr>
            <w:r w:rsidRPr="00016BED">
              <w:t xml:space="preserve">abi </w:t>
            </w:r>
            <w:r w:rsidR="003819B7" w:rsidRPr="00016BED">
              <w:t xml:space="preserve">finansēšanas modeļi rada negatīvu ietekmi uz vispārējās valdības budžeta bilanci – galvenokārt kapitālieguldījumu veikšanas fāzē, t.i. 2014. </w:t>
            </w:r>
            <w:r w:rsidR="00B10380" w:rsidRPr="00016BED">
              <w:t>-</w:t>
            </w:r>
            <w:r w:rsidR="003819B7" w:rsidRPr="00016BED">
              <w:t xml:space="preserve"> 201</w:t>
            </w:r>
            <w:r w:rsidR="00B10380" w:rsidRPr="00016BED">
              <w:t>7</w:t>
            </w:r>
            <w:r w:rsidR="003819B7" w:rsidRPr="00016BED">
              <w:t>.gad</w:t>
            </w:r>
            <w:r w:rsidR="00B10380" w:rsidRPr="00016BED">
              <w:t>am</w:t>
            </w:r>
            <w:r w:rsidR="000C2DC7" w:rsidRPr="00016BED">
              <w:t>, bet VNĪ kopējo kapitālieguldījumu apjoma prognoze, kas tika ņemta vērā, izstrādājot vidējā termiņa budžeta ietvara likumu 2014.-2016.gadam, netiek pārsniegta</w:t>
            </w:r>
            <w:r w:rsidR="00056A62" w:rsidRPr="00016BED">
              <w:t>,</w:t>
            </w:r>
          </w:p>
          <w:p w:rsidR="005726CA" w:rsidRPr="00016BED" w:rsidRDefault="005726CA" w:rsidP="00F229F9">
            <w:pPr>
              <w:pStyle w:val="NormalWeb"/>
              <w:numPr>
                <w:ilvl w:val="0"/>
                <w:numId w:val="3"/>
              </w:numPr>
              <w:spacing w:before="0" w:beforeAutospacing="0" w:after="80" w:afterAutospacing="0"/>
              <w:ind w:right="254"/>
              <w:jc w:val="both"/>
              <w:rPr>
                <w:bCs/>
                <w:color w:val="FF0000"/>
              </w:rPr>
            </w:pPr>
            <w:r w:rsidRPr="00016BED">
              <w:t xml:space="preserve">būvniecības projekta īstenošana, </w:t>
            </w:r>
            <w:r w:rsidR="00157159" w:rsidRPr="00016BED">
              <w:t xml:space="preserve">izmantojot II finansēšanas modeli, rada īpaši negatīvu ietekmi uz VNĪ saimnieciskās darbības rādītājiem, 30 gadu laikā veidojot zaudējumus </w:t>
            </w:r>
            <w:r w:rsidR="001A571F" w:rsidRPr="00016BED">
              <w:t>7 057 847 </w:t>
            </w:r>
            <w:r w:rsidR="00157159" w:rsidRPr="00016BED">
              <w:t xml:space="preserve"> </w:t>
            </w:r>
            <w:r w:rsidR="00DA5991" w:rsidRPr="00016BED">
              <w:t>latu</w:t>
            </w:r>
            <w:r w:rsidR="00D545D8" w:rsidRPr="00016BED">
              <w:t xml:space="preserve"> (</w:t>
            </w:r>
            <w:r w:rsidR="001A571F" w:rsidRPr="00016BED">
              <w:t>10 042 412</w:t>
            </w:r>
            <w:r w:rsidR="001A571F" w:rsidRPr="00016BED">
              <w:rPr>
                <w:i/>
              </w:rPr>
              <w:t xml:space="preserve"> </w:t>
            </w:r>
            <w:r w:rsidR="0023414D" w:rsidRPr="00016BED">
              <w:rPr>
                <w:i/>
              </w:rPr>
              <w:t>e</w:t>
            </w:r>
            <w:r w:rsidR="00D545D8" w:rsidRPr="00016BED">
              <w:rPr>
                <w:i/>
              </w:rPr>
              <w:t>uro</w:t>
            </w:r>
            <w:r w:rsidR="00D545D8" w:rsidRPr="00016BED">
              <w:t xml:space="preserve">) </w:t>
            </w:r>
            <w:r w:rsidR="00157159" w:rsidRPr="00016BED">
              <w:t>apmērā</w:t>
            </w:r>
            <w:r w:rsidR="003819B7" w:rsidRPr="00016BED">
              <w:t>,</w:t>
            </w:r>
          </w:p>
          <w:p w:rsidR="005726CA" w:rsidRPr="00016BED" w:rsidRDefault="003819B7" w:rsidP="00F229F9">
            <w:pPr>
              <w:pStyle w:val="NormalWeb"/>
              <w:numPr>
                <w:ilvl w:val="0"/>
                <w:numId w:val="3"/>
              </w:numPr>
              <w:spacing w:before="0" w:beforeAutospacing="0" w:after="80" w:afterAutospacing="0"/>
              <w:ind w:right="254"/>
              <w:jc w:val="both"/>
              <w:rPr>
                <w:bCs/>
              </w:rPr>
            </w:pPr>
            <w:r w:rsidRPr="00016BED">
              <w:t>fiskālas ietekmes viedokļa izšķiroši nozīmīgas atšķirības abiem finansēšana</w:t>
            </w:r>
            <w:r w:rsidR="00781C70" w:rsidRPr="00016BED">
              <w:t>s modeļiem nav konstatējamas,</w:t>
            </w:r>
          </w:p>
          <w:p w:rsidR="003829AF" w:rsidRPr="00016BED" w:rsidRDefault="00577592" w:rsidP="00F229F9">
            <w:pPr>
              <w:pStyle w:val="NormalWeb"/>
              <w:spacing w:before="0" w:beforeAutospacing="0" w:after="80" w:afterAutospacing="0"/>
              <w:ind w:left="181" w:right="254"/>
              <w:jc w:val="both"/>
            </w:pPr>
            <w:r w:rsidRPr="00016BED">
              <w:t xml:space="preserve">un to, ka nekustamais īpašums Kronvalda bulvārī 6, Rīgā, ir ieguldīts VNĪ pamatkapitālā, </w:t>
            </w:r>
            <w:r w:rsidR="006856AF" w:rsidRPr="00016BED">
              <w:t xml:space="preserve">būvniecības projekta finansēšanu nepieciešams īstenot VNĪ resursu ietvaros un </w:t>
            </w:r>
            <w:r w:rsidRPr="00016BED">
              <w:t xml:space="preserve">nomas </w:t>
            </w:r>
            <w:r w:rsidR="006856AF" w:rsidRPr="00016BED">
              <w:t>maksas apmērā ietverot kapitālieguldījumus, kas tiek segti nomas perioda laikā (20 gados).</w:t>
            </w:r>
          </w:p>
          <w:p w:rsidR="00D91570" w:rsidRPr="00016BED" w:rsidRDefault="00D91570" w:rsidP="00EC0F82">
            <w:pPr>
              <w:pStyle w:val="NormalWeb"/>
              <w:spacing w:before="0" w:beforeAutospacing="0" w:after="80" w:afterAutospacing="0"/>
              <w:ind w:left="181" w:right="254"/>
              <w:jc w:val="both"/>
              <w:rPr>
                <w:bCs/>
              </w:rPr>
            </w:pPr>
            <w:r w:rsidRPr="00016BED">
              <w:t xml:space="preserve">Līdz ar to, lai </w:t>
            </w:r>
            <w:r w:rsidR="003829AF" w:rsidRPr="00016BED">
              <w:t xml:space="preserve">VNĪ </w:t>
            </w:r>
            <w:r w:rsidRPr="00016BED">
              <w:t>nodrošinātu būvniecības projekta</w:t>
            </w:r>
            <w:r w:rsidR="00577592" w:rsidRPr="00016BED">
              <w:t xml:space="preserve"> turpmāku </w:t>
            </w:r>
            <w:r w:rsidRPr="00016BED">
              <w:t>īstenošanu</w:t>
            </w:r>
            <w:r w:rsidR="003829AF" w:rsidRPr="00016BED">
              <w:t xml:space="preserve"> atbilstoši I finansēšanas modeļa nosacījumiem, </w:t>
            </w:r>
            <w:r w:rsidR="00577592" w:rsidRPr="00016BED">
              <w:t xml:space="preserve">ir nepieciešams piešķirt papildu finansējumu </w:t>
            </w:r>
            <w:r w:rsidR="003829AF" w:rsidRPr="00016BED">
              <w:t xml:space="preserve">VARAM </w:t>
            </w:r>
            <w:r w:rsidR="00577592" w:rsidRPr="00016BED">
              <w:t xml:space="preserve">no </w:t>
            </w:r>
            <w:r w:rsidRPr="00016BED">
              <w:t>201</w:t>
            </w:r>
            <w:r w:rsidR="00B10380" w:rsidRPr="00016BED">
              <w:t>7</w:t>
            </w:r>
            <w:r w:rsidRPr="00016BED">
              <w:t>.gada nomas maksas izdevumu segšanai VNĪ</w:t>
            </w:r>
            <w:r w:rsidR="003829AF" w:rsidRPr="00016BED">
              <w:t xml:space="preserve">, bet </w:t>
            </w:r>
            <w:r w:rsidRPr="00016BED">
              <w:t>nav nepieciešam</w:t>
            </w:r>
            <w:r w:rsidR="003829AF" w:rsidRPr="00016BED">
              <w:t xml:space="preserve">s piešķirt papildu </w:t>
            </w:r>
            <w:r w:rsidRPr="00016BED">
              <w:t>valsts budžeta finansējumu</w:t>
            </w:r>
            <w:r w:rsidR="00A54C26" w:rsidRPr="00016BED">
              <w:t xml:space="preserve"> Finanšu ministrijai </w:t>
            </w:r>
            <w:r w:rsidRPr="00016BED">
              <w:t xml:space="preserve">2014. </w:t>
            </w:r>
            <w:r w:rsidR="00333BD4" w:rsidRPr="00016BED">
              <w:t>–</w:t>
            </w:r>
            <w:r w:rsidRPr="00016BED">
              <w:t xml:space="preserve"> 201</w:t>
            </w:r>
            <w:r w:rsidR="008831FC" w:rsidRPr="00016BED">
              <w:t>7</w:t>
            </w:r>
            <w:r w:rsidRPr="00016BED">
              <w:t>.gadā, būvniecības projekta kapitālieguldījumu finansēšanai,</w:t>
            </w:r>
            <w:r w:rsidR="00781C70" w:rsidRPr="00016BED">
              <w:t xml:space="preserve"> ieguldot to VNĪ pamatkapitālā.</w:t>
            </w:r>
          </w:p>
          <w:p w:rsidR="00BD364C" w:rsidRPr="00016BED" w:rsidRDefault="007B6232" w:rsidP="00EC0F82">
            <w:pPr>
              <w:pStyle w:val="NormalWeb"/>
              <w:spacing w:before="0" w:beforeAutospacing="0" w:after="80" w:afterAutospacing="0"/>
              <w:ind w:left="181" w:right="254"/>
              <w:jc w:val="both"/>
            </w:pPr>
            <w:r w:rsidRPr="00016BED">
              <w:t>Papildus tam jāatzīmē,</w:t>
            </w:r>
            <w:r w:rsidR="00781C70" w:rsidRPr="00016BED">
              <w:t xml:space="preserve"> ka vienlaikus tiks atbrīvotas </w:t>
            </w:r>
            <w:r w:rsidRPr="00016BED">
              <w:t xml:space="preserve">divas administratīvās ēkas Vecrīgā </w:t>
            </w:r>
            <w:r w:rsidR="007C7510" w:rsidRPr="00016BED">
              <w:t>(Peldu ielā 25, Pils ielā 17)</w:t>
            </w:r>
            <w:r w:rsidR="00A54C26" w:rsidRPr="00016BED">
              <w:t>, kas ir</w:t>
            </w:r>
            <w:r w:rsidR="007C7510" w:rsidRPr="00016BED">
              <w:t xml:space="preserve"> </w:t>
            </w:r>
            <w:r w:rsidRPr="00016BED">
              <w:t>labā tehniskā stāvoklī</w:t>
            </w:r>
            <w:r w:rsidR="00BD364C" w:rsidRPr="00016BED">
              <w:t xml:space="preserve"> un ir pielāgojamas citām valsts iestāžu vajadzībām vai, ja tas nav nepieciešams, iznomājamas privātpersonām atbilstoši nekustamo īpašumu tirgus nosacījumiem</w:t>
            </w:r>
            <w:r w:rsidR="002B0929" w:rsidRPr="00016BED">
              <w:t xml:space="preserve"> </w:t>
            </w:r>
            <w:r w:rsidR="00BD364C" w:rsidRPr="00016BED">
              <w:t xml:space="preserve">vai atsavināmas, kas šajā situācijā </w:t>
            </w:r>
            <w:r w:rsidR="002B0929" w:rsidRPr="00016BED">
              <w:t>do</w:t>
            </w:r>
            <w:r w:rsidR="00BD364C" w:rsidRPr="00016BED">
              <w:t>tu</w:t>
            </w:r>
            <w:r w:rsidR="002B0929" w:rsidRPr="00016BED">
              <w:t xml:space="preserve"> iespēju nākotnē </w:t>
            </w:r>
            <w:r w:rsidR="00A54C26" w:rsidRPr="00016BED">
              <w:t xml:space="preserve">plānot </w:t>
            </w:r>
            <w:r w:rsidR="002B0929" w:rsidRPr="00016BED">
              <w:t xml:space="preserve">papildus </w:t>
            </w:r>
            <w:r w:rsidR="00A54C26" w:rsidRPr="00016BED">
              <w:t>finanšu līdzekļu</w:t>
            </w:r>
            <w:r w:rsidRPr="00016BED">
              <w:t xml:space="preserve"> </w:t>
            </w:r>
            <w:r w:rsidR="002B0929" w:rsidRPr="00016BED">
              <w:t>ieņēmumus</w:t>
            </w:r>
            <w:r w:rsidRPr="00016BED">
              <w:t xml:space="preserve">, </w:t>
            </w:r>
            <w:r w:rsidR="002B0929" w:rsidRPr="00016BED">
              <w:t>tādējādi radot pozitīvu ietekmi uz vispārējās valdības budžeta bilanci atbilstoši EKS’95 metodoloģijai.</w:t>
            </w:r>
          </w:p>
          <w:p w:rsidR="00781C70" w:rsidRPr="00016BED" w:rsidRDefault="00DE233E" w:rsidP="00EC0F82">
            <w:pPr>
              <w:pStyle w:val="NormalWeb"/>
              <w:spacing w:before="0" w:beforeAutospacing="0" w:after="80" w:afterAutospacing="0"/>
              <w:ind w:left="181" w:right="254"/>
              <w:jc w:val="both"/>
              <w:rPr>
                <w:bCs/>
              </w:rPr>
            </w:pPr>
            <w:r w:rsidRPr="00016BED">
              <w:rPr>
                <w:rStyle w:val="spelle"/>
              </w:rPr>
              <w:t>Ņemot vērā iepriekš minēto, un to, ka b</w:t>
            </w:r>
            <w:r w:rsidR="007B6232" w:rsidRPr="00016BED">
              <w:rPr>
                <w:rStyle w:val="spelle"/>
              </w:rPr>
              <w:t xml:space="preserve">ūvniecības projekta īstenošanu </w:t>
            </w:r>
            <w:r w:rsidR="00C341A1" w:rsidRPr="00016BED">
              <w:rPr>
                <w:rStyle w:val="spelle"/>
              </w:rPr>
              <w:t xml:space="preserve">ir </w:t>
            </w:r>
            <w:r w:rsidR="002835F5" w:rsidRPr="00016BED">
              <w:t xml:space="preserve">nepieciešams </w:t>
            </w:r>
            <w:r w:rsidRPr="00016BED">
              <w:t>turpināt</w:t>
            </w:r>
            <w:r w:rsidR="002835F5" w:rsidRPr="00016BED">
              <w:t xml:space="preserve"> secīgi un atbilstoši sagatavotaj</w:t>
            </w:r>
            <w:r w:rsidR="007B6232" w:rsidRPr="00016BED">
              <w:t>am</w:t>
            </w:r>
            <w:r w:rsidR="002835F5" w:rsidRPr="00016BED">
              <w:t xml:space="preserve"> būvniecības plānot</w:t>
            </w:r>
            <w:r w:rsidR="007B6232" w:rsidRPr="00016BED">
              <w:t>ajam</w:t>
            </w:r>
            <w:r w:rsidR="002835F5" w:rsidRPr="00016BED">
              <w:t xml:space="preserve"> aktivitāšu laika grafik</w:t>
            </w:r>
            <w:r w:rsidR="00C341A1" w:rsidRPr="00016BED">
              <w:t>am</w:t>
            </w:r>
            <w:r w:rsidRPr="00016BED">
              <w:t>,</w:t>
            </w:r>
            <w:r w:rsidR="00D91570" w:rsidRPr="00016BED">
              <w:t xml:space="preserve"> ir </w:t>
            </w:r>
            <w:r w:rsidR="00EE3733" w:rsidRPr="00016BED">
              <w:t xml:space="preserve">nepieciešams pieņemt Ministru kabineta lēmumu par </w:t>
            </w:r>
            <w:r w:rsidR="00A6224D" w:rsidRPr="00016BED">
              <w:t xml:space="preserve">papildu valsts </w:t>
            </w:r>
            <w:r w:rsidR="00EE3733" w:rsidRPr="00016BED">
              <w:t xml:space="preserve">budžeta finansējuma piešķiršanu </w:t>
            </w:r>
            <w:r w:rsidR="007B0E5E" w:rsidRPr="00016BED">
              <w:t xml:space="preserve">VARAM </w:t>
            </w:r>
            <w:r w:rsidR="00EE3733" w:rsidRPr="00016BED">
              <w:t xml:space="preserve">nomas maksas izdevumu segšanai </w:t>
            </w:r>
            <w:r w:rsidR="007C6276" w:rsidRPr="00016BED">
              <w:t xml:space="preserve">VNĪ un </w:t>
            </w:r>
            <w:r w:rsidR="00781C70" w:rsidRPr="00016BED">
              <w:t>pārcelšanās, ar informācijas tehnoloģijām saistīto un</w:t>
            </w:r>
            <w:r w:rsidR="007C6276" w:rsidRPr="00016BED">
              <w:t xml:space="preserve"> </w:t>
            </w:r>
            <w:r w:rsidR="00781C70" w:rsidRPr="00016BED">
              <w:t xml:space="preserve">aprīkojuma un mēbeļu iegādes izdevumu segšanai, kā arī </w:t>
            </w:r>
            <w:r w:rsidR="00333BD4" w:rsidRPr="00016BED">
              <w:t xml:space="preserve">par </w:t>
            </w:r>
            <w:r w:rsidR="00BD364C" w:rsidRPr="00016BED">
              <w:t xml:space="preserve">komunālajiem </w:t>
            </w:r>
            <w:r w:rsidR="00333BD4" w:rsidRPr="00016BED">
              <w:t>pakalpojumu izdevumiem, kas saistīti</w:t>
            </w:r>
            <w:r w:rsidR="00EE4DC8" w:rsidRPr="00016BED">
              <w:t xml:space="preserve"> ar</w:t>
            </w:r>
            <w:r w:rsidR="00333BD4" w:rsidRPr="00016BED">
              <w:t xml:space="preserve"> minētā īpašuma lieto</w:t>
            </w:r>
            <w:r w:rsidR="002B0929" w:rsidRPr="00016BED">
              <w:t>šanu</w:t>
            </w:r>
            <w:r w:rsidR="00333BD4" w:rsidRPr="00016BED">
              <w:t>.</w:t>
            </w:r>
          </w:p>
        </w:tc>
      </w:tr>
      <w:tr w:rsidR="000D29C1" w:rsidRPr="00016BED" w:rsidTr="0085774C">
        <w:trPr>
          <w:trHeight w:val="40"/>
        </w:trPr>
        <w:tc>
          <w:tcPr>
            <w:tcW w:w="350" w:type="pct"/>
            <w:tcBorders>
              <w:right w:val="dotted" w:sz="4" w:space="0" w:color="auto"/>
            </w:tcBorders>
          </w:tcPr>
          <w:p w:rsidR="000D29C1" w:rsidRPr="00016BED" w:rsidRDefault="000D29C1" w:rsidP="00F229F9">
            <w:pPr>
              <w:pStyle w:val="NormalWeb"/>
              <w:spacing w:before="0" w:beforeAutospacing="0" w:after="80" w:afterAutospacing="0"/>
            </w:pPr>
            <w:r w:rsidRPr="00016BED">
              <w:t>3.</w:t>
            </w:r>
          </w:p>
        </w:tc>
        <w:tc>
          <w:tcPr>
            <w:tcW w:w="1069" w:type="pct"/>
            <w:tcBorders>
              <w:left w:val="dotted" w:sz="4" w:space="0" w:color="auto"/>
              <w:right w:val="dotted" w:sz="4" w:space="0" w:color="auto"/>
            </w:tcBorders>
          </w:tcPr>
          <w:p w:rsidR="000D29C1" w:rsidRPr="00016BED" w:rsidRDefault="000D29C1" w:rsidP="00F229F9">
            <w:pPr>
              <w:pStyle w:val="NormalWeb"/>
              <w:spacing w:before="0" w:beforeAutospacing="0" w:after="80" w:afterAutospacing="0"/>
            </w:pPr>
            <w:r w:rsidRPr="00016BED">
              <w:t>Saistītie politikas ietekmes novērtējumi un pētījumi</w:t>
            </w:r>
          </w:p>
        </w:tc>
        <w:tc>
          <w:tcPr>
            <w:tcW w:w="3581" w:type="pct"/>
            <w:gridSpan w:val="7"/>
            <w:tcBorders>
              <w:left w:val="dotted" w:sz="4" w:space="0" w:color="auto"/>
            </w:tcBorders>
          </w:tcPr>
          <w:p w:rsidR="000D29C1" w:rsidRPr="00016BED" w:rsidRDefault="000D29C1" w:rsidP="00EC0F82">
            <w:pPr>
              <w:pStyle w:val="NormalWeb"/>
              <w:spacing w:before="0" w:beforeAutospacing="0" w:after="80" w:afterAutospacing="0"/>
              <w:ind w:left="181" w:right="254"/>
              <w:jc w:val="both"/>
              <w:rPr>
                <w:bCs/>
              </w:rPr>
            </w:pPr>
            <w:r w:rsidRPr="00016BED">
              <w:rPr>
                <w:rStyle w:val="spelle"/>
              </w:rPr>
              <w:t>Ministru kabineta rīkojuma projekts šo jomu neskar.</w:t>
            </w:r>
          </w:p>
        </w:tc>
      </w:tr>
      <w:tr w:rsidR="000D29C1" w:rsidRPr="00016BED" w:rsidTr="0085774C">
        <w:tc>
          <w:tcPr>
            <w:tcW w:w="350" w:type="pct"/>
            <w:tcBorders>
              <w:right w:val="dotted" w:sz="4" w:space="0" w:color="auto"/>
            </w:tcBorders>
          </w:tcPr>
          <w:p w:rsidR="000D29C1" w:rsidRPr="00016BED" w:rsidRDefault="000D29C1" w:rsidP="00F229F9">
            <w:pPr>
              <w:pStyle w:val="NormalWeb"/>
              <w:spacing w:before="0" w:beforeAutospacing="0" w:after="80" w:afterAutospacing="0"/>
            </w:pPr>
            <w:r w:rsidRPr="00016BED">
              <w:t>4.</w:t>
            </w:r>
          </w:p>
        </w:tc>
        <w:tc>
          <w:tcPr>
            <w:tcW w:w="1069" w:type="pct"/>
            <w:tcBorders>
              <w:left w:val="dotted" w:sz="4" w:space="0" w:color="auto"/>
              <w:right w:val="dotted" w:sz="4" w:space="0" w:color="auto"/>
            </w:tcBorders>
          </w:tcPr>
          <w:p w:rsidR="000D29C1" w:rsidRPr="00016BED" w:rsidRDefault="000D29C1" w:rsidP="00F229F9">
            <w:pPr>
              <w:pStyle w:val="NormalWeb"/>
              <w:spacing w:before="0" w:beforeAutospacing="0" w:after="80" w:afterAutospacing="0"/>
            </w:pPr>
            <w:r w:rsidRPr="00016BED">
              <w:t>Tiesiskā regulējuma mērķis un būtība</w:t>
            </w:r>
          </w:p>
        </w:tc>
        <w:tc>
          <w:tcPr>
            <w:tcW w:w="3581" w:type="pct"/>
            <w:gridSpan w:val="7"/>
            <w:tcBorders>
              <w:left w:val="dotted" w:sz="4" w:space="0" w:color="auto"/>
            </w:tcBorders>
          </w:tcPr>
          <w:p w:rsidR="00254188" w:rsidRPr="00016BED" w:rsidRDefault="000D29C1" w:rsidP="00EC0F82">
            <w:pPr>
              <w:pStyle w:val="naiskr"/>
              <w:tabs>
                <w:tab w:val="left" w:pos="366"/>
              </w:tabs>
              <w:spacing w:before="0" w:beforeAutospacing="0" w:after="80" w:afterAutospacing="0"/>
              <w:ind w:left="112" w:right="158"/>
              <w:jc w:val="both"/>
              <w:rPr>
                <w:bCs/>
              </w:rPr>
            </w:pPr>
            <w:r w:rsidRPr="00016BED">
              <w:rPr>
                <w:bCs/>
              </w:rPr>
              <w:t xml:space="preserve">Ministru kabineta rīkojuma projekta tiesiskā regulējuma mērķis ir nodrošināt finansējuma piešķiršanu </w:t>
            </w:r>
            <w:r w:rsidR="000C3A24" w:rsidRPr="00016BED">
              <w:rPr>
                <w:bCs/>
              </w:rPr>
              <w:t>VARAM</w:t>
            </w:r>
            <w:r w:rsidR="00D91570" w:rsidRPr="00016BED">
              <w:rPr>
                <w:bCs/>
              </w:rPr>
              <w:t xml:space="preserve"> </w:t>
            </w:r>
            <w:r w:rsidR="008831FC" w:rsidRPr="00016BED">
              <w:rPr>
                <w:bCs/>
              </w:rPr>
              <w:t>nekustamā īpašuma</w:t>
            </w:r>
            <w:r w:rsidR="00D91570" w:rsidRPr="00016BED">
              <w:rPr>
                <w:bCs/>
              </w:rPr>
              <w:t xml:space="preserve"> Kronvalda bulvārī 6, Rīgā, </w:t>
            </w:r>
            <w:r w:rsidR="00333BD4" w:rsidRPr="00016BED">
              <w:t>nomas maksas izdevumu segšanai VNĪ un pārcelšanās, ar informācijas tehnoloģijām saistīto un aprīkojuma un mēbeļu iegādes izdevumu segšanai, kā arī par pakalpojumu izdevumiem, kas saistīti minētā īpašuma lietošanu (komunālajiem maksājumiem), ja tas būs nepieciešams</w:t>
            </w:r>
            <w:r w:rsidR="004D5427" w:rsidRPr="00016BED">
              <w:rPr>
                <w:bCs/>
              </w:rPr>
              <w:t xml:space="preserve">, kā arī noteikt uzdevumus un </w:t>
            </w:r>
            <w:r w:rsidR="00F6248B" w:rsidRPr="00016BED">
              <w:rPr>
                <w:bCs/>
              </w:rPr>
              <w:t xml:space="preserve">to izpildes </w:t>
            </w:r>
            <w:r w:rsidR="004D5427" w:rsidRPr="00016BED">
              <w:rPr>
                <w:bCs/>
              </w:rPr>
              <w:t>termiņus minētās ēkas rekonstrukcijas darbu veikša</w:t>
            </w:r>
            <w:r w:rsidR="00F6248B" w:rsidRPr="00016BED">
              <w:rPr>
                <w:bCs/>
              </w:rPr>
              <w:t>nai</w:t>
            </w:r>
            <w:r w:rsidR="004D5427" w:rsidRPr="00016BED">
              <w:rPr>
                <w:bCs/>
              </w:rPr>
              <w:t>.</w:t>
            </w:r>
          </w:p>
          <w:p w:rsidR="004367DF" w:rsidRPr="00016BED" w:rsidRDefault="000D29C1" w:rsidP="00EC0F82">
            <w:pPr>
              <w:pStyle w:val="naiskr"/>
              <w:tabs>
                <w:tab w:val="left" w:pos="366"/>
              </w:tabs>
              <w:spacing w:before="0" w:beforeAutospacing="0" w:after="80" w:afterAutospacing="0"/>
              <w:ind w:left="112" w:right="159"/>
              <w:jc w:val="both"/>
              <w:rPr>
                <w:bCs/>
              </w:rPr>
            </w:pPr>
            <w:r w:rsidRPr="00016BED">
              <w:rPr>
                <w:bCs/>
              </w:rPr>
              <w:t>Tā ietvaros</w:t>
            </w:r>
            <w:r w:rsidR="00333BD4" w:rsidRPr="00016BED">
              <w:rPr>
                <w:bCs/>
              </w:rPr>
              <w:t xml:space="preserve"> Ministru kabineta rīkojuma projekta</w:t>
            </w:r>
            <w:r w:rsidR="004367DF" w:rsidRPr="00016BED">
              <w:rPr>
                <w:bCs/>
              </w:rPr>
              <w:t>:</w:t>
            </w:r>
          </w:p>
          <w:p w:rsidR="00993A86" w:rsidRPr="00016BED" w:rsidRDefault="00B06704" w:rsidP="003022CB">
            <w:pPr>
              <w:pStyle w:val="naisf"/>
              <w:numPr>
                <w:ilvl w:val="0"/>
                <w:numId w:val="6"/>
              </w:numPr>
              <w:spacing w:before="0" w:beforeAutospacing="0" w:after="80" w:afterAutospacing="0"/>
              <w:ind w:left="396" w:hanging="302"/>
              <w:jc w:val="both"/>
              <w:rPr>
                <w:bCs/>
              </w:rPr>
            </w:pPr>
            <w:r w:rsidRPr="00016BED">
              <w:rPr>
                <w:b/>
                <w:bCs/>
              </w:rPr>
              <w:t xml:space="preserve">punktā </w:t>
            </w:r>
            <w:r w:rsidRPr="00016BED">
              <w:rPr>
                <w:bCs/>
              </w:rPr>
              <w:t>ir noteikt</w:t>
            </w:r>
            <w:r w:rsidR="00993A86" w:rsidRPr="00016BED">
              <w:rPr>
                <w:bCs/>
              </w:rPr>
              <w:t>s</w:t>
            </w:r>
            <w:r w:rsidRPr="00016BED">
              <w:rPr>
                <w:bCs/>
              </w:rPr>
              <w:t xml:space="preserve"> </w:t>
            </w:r>
            <w:r w:rsidR="00993A86" w:rsidRPr="00016BED">
              <w:rPr>
                <w:bCs/>
              </w:rPr>
              <w:t xml:space="preserve">uzdevums VARAM, </w:t>
            </w:r>
            <w:r w:rsidR="00993A86" w:rsidRPr="00016BED">
              <w:t xml:space="preserve">sagatavojot un iesniedzot Finanšu ministrijai priekšlikumus </w:t>
            </w:r>
            <w:r w:rsidR="00993A86" w:rsidRPr="00016BED">
              <w:rPr>
                <w:bCs/>
              </w:rPr>
              <w:t>likumprojektam „Par vidēja termiņa budžeta ietvaru 2015., 2016. un 2017.gadam” un likumprojektam „Par valsts budžetu 2015.gadam”, paredzēt:</w:t>
            </w:r>
          </w:p>
          <w:p w:rsidR="00993A86" w:rsidRPr="00016BED" w:rsidRDefault="00993A86" w:rsidP="003022CB">
            <w:pPr>
              <w:pStyle w:val="naisf"/>
              <w:numPr>
                <w:ilvl w:val="0"/>
                <w:numId w:val="7"/>
              </w:numPr>
              <w:spacing w:before="0" w:beforeAutospacing="0" w:after="80" w:afterAutospacing="0"/>
              <w:ind w:left="537" w:hanging="141"/>
              <w:jc w:val="both"/>
            </w:pPr>
            <w:r w:rsidRPr="00016BED">
              <w:t>ilgtermiņa saistības nekustamā īpašuma Kronvalda bulvārī 6, Rīgā, nomas maksas izdevumu segšanai VNĪ 2017.gadā un turpmākos 20 gadus;</w:t>
            </w:r>
          </w:p>
          <w:p w:rsidR="00993A86" w:rsidRPr="00016BED" w:rsidRDefault="00C7051F" w:rsidP="003022CB">
            <w:pPr>
              <w:pStyle w:val="naisf"/>
              <w:numPr>
                <w:ilvl w:val="0"/>
                <w:numId w:val="7"/>
              </w:numPr>
              <w:spacing w:before="0" w:beforeAutospacing="0" w:after="80" w:afterAutospacing="0"/>
              <w:ind w:left="537" w:hanging="141"/>
              <w:jc w:val="both"/>
            </w:pPr>
            <w:r w:rsidRPr="00016BED">
              <w:t xml:space="preserve">valsts pamatbudžeta bāzes izdevumus 2017.gadam, t.sk. izdevumus vienreizēju izdevumu segšanai (t.i. </w:t>
            </w:r>
            <w:r w:rsidR="00993A86" w:rsidRPr="00016BED">
              <w:t>pārcelšanās, ar informācijas tehnoloģijām saistīto</w:t>
            </w:r>
            <w:r w:rsidRPr="00016BED">
              <w:t xml:space="preserve"> un</w:t>
            </w:r>
            <w:r w:rsidR="00993A86" w:rsidRPr="00016BED">
              <w:t xml:space="preserve"> aprīkojuma un mēbeļu iegādes izdevum</w:t>
            </w:r>
            <w:r w:rsidRPr="00016BED">
              <w:t xml:space="preserve">i) un </w:t>
            </w:r>
            <w:r w:rsidR="005262F2" w:rsidRPr="00016BED">
              <w:t xml:space="preserve">komunālo </w:t>
            </w:r>
            <w:r w:rsidRPr="00016BED">
              <w:t>pakalpojumu izdevumu segšanai, kas saistīti ar minētā īpašuma lietošanu, ņemot vērā jau pašlaik šim mērķim plānoto finansējumu</w:t>
            </w:r>
            <w:r w:rsidR="00333BD4" w:rsidRPr="00016BED">
              <w:t>.</w:t>
            </w:r>
          </w:p>
          <w:p w:rsidR="00B06704" w:rsidRPr="00016BED" w:rsidRDefault="00993A86" w:rsidP="003022CB">
            <w:pPr>
              <w:pStyle w:val="naisf"/>
              <w:numPr>
                <w:ilvl w:val="0"/>
                <w:numId w:val="6"/>
              </w:numPr>
              <w:spacing w:before="0" w:beforeAutospacing="0" w:after="80" w:afterAutospacing="0"/>
              <w:ind w:left="396" w:hanging="302"/>
              <w:jc w:val="both"/>
              <w:rPr>
                <w:b/>
                <w:bCs/>
              </w:rPr>
            </w:pPr>
            <w:r w:rsidRPr="00016BED">
              <w:rPr>
                <w:b/>
                <w:bCs/>
              </w:rPr>
              <w:t xml:space="preserve">punktā </w:t>
            </w:r>
            <w:r w:rsidRPr="00016BED">
              <w:rPr>
                <w:bCs/>
              </w:rPr>
              <w:t xml:space="preserve">ir noteikti </w:t>
            </w:r>
            <w:r w:rsidR="00B06704" w:rsidRPr="00016BED">
              <w:rPr>
                <w:bCs/>
              </w:rPr>
              <w:t>uzdevumi Finanšu ministrijai (</w:t>
            </w:r>
            <w:r w:rsidR="00F83A7E" w:rsidRPr="00016BED">
              <w:rPr>
                <w:bCs/>
              </w:rPr>
              <w:t>VNĪ</w:t>
            </w:r>
            <w:r w:rsidR="00B06704" w:rsidRPr="00016BED">
              <w:rPr>
                <w:bCs/>
              </w:rPr>
              <w:t>):</w:t>
            </w:r>
          </w:p>
          <w:p w:rsidR="00B06704" w:rsidRPr="00016BED" w:rsidRDefault="00993A86" w:rsidP="003022CB">
            <w:pPr>
              <w:pStyle w:val="naisf"/>
              <w:numPr>
                <w:ilvl w:val="0"/>
                <w:numId w:val="7"/>
              </w:numPr>
              <w:spacing w:before="0" w:beforeAutospacing="0" w:after="80" w:afterAutospacing="0"/>
              <w:ind w:left="537" w:hanging="141"/>
              <w:jc w:val="both"/>
            </w:pPr>
            <w:r w:rsidRPr="00016BED">
              <w:t xml:space="preserve">rekonstrukcijas izdevumus VARAM administratīvās </w:t>
            </w:r>
            <w:r w:rsidR="00B06704" w:rsidRPr="00016BED">
              <w:t xml:space="preserve">ēkas </w:t>
            </w:r>
            <w:r w:rsidRPr="00016BED">
              <w:t>izveidei</w:t>
            </w:r>
            <w:r w:rsidR="000F07C9" w:rsidRPr="00016BED">
              <w:t xml:space="preserve"> nekustamajā īpašumā Kronvalda bulvārī 6, Rīgā, </w:t>
            </w:r>
            <w:r w:rsidR="00B06704" w:rsidRPr="00016BED">
              <w:t xml:space="preserve">segt no </w:t>
            </w:r>
            <w:r w:rsidR="00C7051F" w:rsidRPr="00016BED">
              <w:t xml:space="preserve">VNĪ </w:t>
            </w:r>
            <w:r w:rsidR="00B06704" w:rsidRPr="00016BED">
              <w:t>piesaistītajiem finanšu resursiem un pēc objekta nodošanas ekspluatācijā iekļaut nomas maksā 20 gadu periodā</w:t>
            </w:r>
            <w:r w:rsidR="00200B20" w:rsidRPr="00016BED">
              <w:t>;</w:t>
            </w:r>
          </w:p>
          <w:p w:rsidR="000F07C9" w:rsidRPr="00016BED" w:rsidRDefault="000F07C9" w:rsidP="003022CB">
            <w:pPr>
              <w:pStyle w:val="naisf"/>
              <w:numPr>
                <w:ilvl w:val="0"/>
                <w:numId w:val="7"/>
              </w:numPr>
              <w:spacing w:before="0" w:beforeAutospacing="0" w:after="80" w:afterAutospacing="0"/>
              <w:ind w:left="537" w:hanging="141"/>
              <w:jc w:val="both"/>
            </w:pPr>
            <w:r w:rsidRPr="00016BED">
              <w:t>nekustamā īpašuma Kronvalda bulvārī 6, Rīgā, rekonstrukcijas darbus pabeigt līdz 2017.gada 31.oktobrim, nosakot, ka plānotais nomas līguma sākuma termiņš ir 2017.gada 1.novembris;</w:t>
            </w:r>
          </w:p>
          <w:p w:rsidR="00B06704" w:rsidRPr="00016BED" w:rsidRDefault="00B06704" w:rsidP="003022CB">
            <w:pPr>
              <w:pStyle w:val="naisf"/>
              <w:numPr>
                <w:ilvl w:val="0"/>
                <w:numId w:val="7"/>
              </w:numPr>
              <w:spacing w:before="0" w:beforeAutospacing="0" w:after="80" w:afterAutospacing="0"/>
              <w:ind w:left="537" w:hanging="141"/>
              <w:jc w:val="both"/>
            </w:pPr>
            <w:r w:rsidRPr="00016BED">
              <w:t>ja pēc tehniskā projekta izstrādes, pēc būvniecības līgum</w:t>
            </w:r>
            <w:r w:rsidR="000F07C9" w:rsidRPr="00016BED">
              <w:t>a</w:t>
            </w:r>
            <w:r w:rsidRPr="00016BED">
              <w:t xml:space="preserve"> noslēgšanas vai būvniecības darbu laikā, </w:t>
            </w:r>
            <w:r w:rsidR="00852FFB" w:rsidRPr="00016BED">
              <w:t xml:space="preserve">būvniecības un </w:t>
            </w:r>
            <w:r w:rsidR="00BC75E3" w:rsidRPr="00016BED">
              <w:t>citu pārvaldīšanas provizorisko izdevumu apmērs mainās</w:t>
            </w:r>
            <w:r w:rsidRPr="00016BED">
              <w:t xml:space="preserve">, iesniegt </w:t>
            </w:r>
            <w:r w:rsidR="004137B5" w:rsidRPr="00016BED">
              <w:t xml:space="preserve">VARAM informāciju par </w:t>
            </w:r>
            <w:r w:rsidR="00852FFB" w:rsidRPr="00016BED">
              <w:t xml:space="preserve">šā Ministru kabineta rīkojuma projekta </w:t>
            </w:r>
            <w:r w:rsidRPr="00016BED">
              <w:t>1.</w:t>
            </w:r>
            <w:r w:rsidR="00852FFB" w:rsidRPr="00016BED">
              <w:t>1.apakš</w:t>
            </w:r>
            <w:r w:rsidRPr="00016BED">
              <w:t xml:space="preserve">punktā minēto </w:t>
            </w:r>
            <w:r w:rsidR="004137B5" w:rsidRPr="00016BED">
              <w:t>ilgtermiņa saistību</w:t>
            </w:r>
            <w:r w:rsidR="00601694" w:rsidRPr="00016BED">
              <w:t xml:space="preserve"> </w:t>
            </w:r>
            <w:r w:rsidRPr="00016BED">
              <w:t>precizēšanu;</w:t>
            </w:r>
          </w:p>
          <w:p w:rsidR="00B06704" w:rsidRPr="00016BED" w:rsidRDefault="00B06704" w:rsidP="003022CB">
            <w:pPr>
              <w:pStyle w:val="naisf"/>
              <w:numPr>
                <w:ilvl w:val="0"/>
                <w:numId w:val="7"/>
              </w:numPr>
              <w:spacing w:before="0" w:beforeAutospacing="0" w:after="80" w:afterAutospacing="0"/>
              <w:ind w:left="537" w:hanging="141"/>
              <w:jc w:val="both"/>
            </w:pPr>
            <w:r w:rsidRPr="00016BED">
              <w:t xml:space="preserve">četru mēnešu laikā pēc </w:t>
            </w:r>
            <w:r w:rsidR="000F07C9" w:rsidRPr="00016BED">
              <w:t>rekonstrukcijas darbu pabeigšanas</w:t>
            </w:r>
            <w:r w:rsidRPr="00016BED">
              <w:t xml:space="preserve"> iesniegt </w:t>
            </w:r>
            <w:r w:rsidR="00F83A7E" w:rsidRPr="00016BED">
              <w:t>VARAM</w:t>
            </w:r>
            <w:r w:rsidRPr="00016BED">
              <w:t xml:space="preserve"> informāciju par </w:t>
            </w:r>
            <w:r w:rsidR="00200B20" w:rsidRPr="00016BED">
              <w:t>1.punktā minēto ilgtermiņa saistību nekustamā īpašuma Kronvalda bulvārī 6, Rīgā, nomas maksas izdevumu segšanai</w:t>
            </w:r>
            <w:r w:rsidR="00601694" w:rsidRPr="00016BED">
              <w:t xml:space="preserve"> VNĪ</w:t>
            </w:r>
            <w:r w:rsidR="00200B20" w:rsidRPr="00016BED">
              <w:t xml:space="preserve"> precizēšanu </w:t>
            </w:r>
            <w:r w:rsidRPr="00016BED">
              <w:t xml:space="preserve">atbilstoši </w:t>
            </w:r>
            <w:r w:rsidR="00BC75E3" w:rsidRPr="00016BED">
              <w:t>faktiskajiem būvniecības un citiem pārvaldīšanas izdevumiem</w:t>
            </w:r>
            <w:r w:rsidR="00200B20" w:rsidRPr="00016BED">
              <w:t>.</w:t>
            </w:r>
          </w:p>
          <w:p w:rsidR="00601694" w:rsidRPr="00016BED" w:rsidRDefault="00B06704" w:rsidP="003022CB">
            <w:pPr>
              <w:pStyle w:val="naisf"/>
              <w:numPr>
                <w:ilvl w:val="0"/>
                <w:numId w:val="6"/>
              </w:numPr>
              <w:spacing w:before="0" w:beforeAutospacing="0" w:after="80" w:afterAutospacing="0"/>
              <w:ind w:left="396" w:hanging="302"/>
              <w:jc w:val="both"/>
              <w:rPr>
                <w:bCs/>
              </w:rPr>
            </w:pPr>
            <w:r w:rsidRPr="00016BED">
              <w:rPr>
                <w:b/>
                <w:bCs/>
              </w:rPr>
              <w:t>punktā</w:t>
            </w:r>
            <w:r w:rsidRPr="00016BED">
              <w:rPr>
                <w:bCs/>
              </w:rPr>
              <w:t xml:space="preserve"> ir noteikts uzdevums </w:t>
            </w:r>
            <w:r w:rsidR="00F83A7E" w:rsidRPr="00016BED">
              <w:rPr>
                <w:bCs/>
              </w:rPr>
              <w:t>VARAM</w:t>
            </w:r>
            <w:r w:rsidRPr="00016BED">
              <w:rPr>
                <w:bCs/>
              </w:rPr>
              <w:t xml:space="preserve"> iesniegt Ministru kabinetā rīkojuma projektu</w:t>
            </w:r>
            <w:r w:rsidR="00852FFB" w:rsidRPr="00016BED">
              <w:rPr>
                <w:bCs/>
              </w:rPr>
              <w:t xml:space="preserve"> </w:t>
            </w:r>
            <w:r w:rsidR="000A14A1" w:rsidRPr="00016BED">
              <w:t>par 1.punktā minētā finansējuma precizēšanu.</w:t>
            </w:r>
          </w:p>
          <w:p w:rsidR="003F667A" w:rsidRPr="00016BED" w:rsidRDefault="003F667A" w:rsidP="00EC0F82">
            <w:pPr>
              <w:pStyle w:val="naiskr"/>
              <w:tabs>
                <w:tab w:val="left" w:pos="366"/>
              </w:tabs>
              <w:spacing w:before="0" w:beforeAutospacing="0" w:after="80" w:afterAutospacing="0"/>
              <w:ind w:left="61" w:right="158"/>
              <w:jc w:val="both"/>
              <w:rPr>
                <w:bCs/>
                <w:color w:val="FF0000"/>
              </w:rPr>
            </w:pPr>
            <w:r w:rsidRPr="00016BED">
              <w:rPr>
                <w:bCs/>
              </w:rPr>
              <w:t>Vēršam uzmanību, ka Ministru kabineta rīkojuma projekta 1.1.apakšpunktā noteiktās nomas maksas aprēķini ir provizoriski un sagatavoti atbilstoši Ministru kabineta 2010.gada 8.jūnija noteikumu Nr.515 „Noteikumi par valsts un pašvaldību mantas iznomāšanas kārtību, nomas maksas noteikšanas metodiku un nomas līguma tipveida nosacījumiem” III nodaļā noteiktajiem principiem un aprēķināšanas metodikai un pēc objekta nodošanas ekspluatācijā ir precizējam</w:t>
            </w:r>
            <w:r w:rsidR="00EC0F82" w:rsidRPr="00016BED">
              <w:rPr>
                <w:bCs/>
              </w:rPr>
              <w:t>i</w:t>
            </w:r>
            <w:r w:rsidRPr="00016BED">
              <w:rPr>
                <w:bCs/>
              </w:rPr>
              <w:t xml:space="preserve"> atbilstoši VNĪ faktiskajiem pārvaldīšanas izdevumiem (Ministru kabineta 2011.gada 06.decembtra noteikumu Nr.934 „Noteikumi par valsts nekustamā īpašuma pārvaldīšanas principiem un kārtību” 4.punktā ir noteiktas nekustamā īpašuma pārvaldīšanas darbības).</w:t>
            </w:r>
          </w:p>
        </w:tc>
      </w:tr>
      <w:tr w:rsidR="000D29C1" w:rsidRPr="00016BED" w:rsidTr="0085774C">
        <w:tc>
          <w:tcPr>
            <w:tcW w:w="350" w:type="pct"/>
            <w:tcBorders>
              <w:right w:val="dotted" w:sz="4" w:space="0" w:color="auto"/>
            </w:tcBorders>
          </w:tcPr>
          <w:p w:rsidR="000D29C1" w:rsidRPr="00016BED" w:rsidRDefault="000D29C1" w:rsidP="00F229F9">
            <w:pPr>
              <w:pStyle w:val="NormalWeb"/>
              <w:spacing w:before="0" w:beforeAutospacing="0" w:after="80" w:afterAutospacing="0"/>
            </w:pPr>
            <w:r w:rsidRPr="00016BED">
              <w:t>5.</w:t>
            </w:r>
          </w:p>
        </w:tc>
        <w:tc>
          <w:tcPr>
            <w:tcW w:w="1069" w:type="pct"/>
            <w:tcBorders>
              <w:left w:val="dotted" w:sz="4" w:space="0" w:color="auto"/>
              <w:right w:val="dotted" w:sz="4" w:space="0" w:color="auto"/>
            </w:tcBorders>
          </w:tcPr>
          <w:p w:rsidR="000D29C1" w:rsidRPr="00016BED" w:rsidRDefault="000D29C1" w:rsidP="00F229F9">
            <w:pPr>
              <w:pStyle w:val="NormalWeb"/>
              <w:spacing w:before="0" w:beforeAutospacing="0" w:after="80" w:afterAutospacing="0"/>
            </w:pPr>
            <w:r w:rsidRPr="00016BED">
              <w:t>Projekta izstrādē iesaistītās institūcijas</w:t>
            </w:r>
          </w:p>
        </w:tc>
        <w:tc>
          <w:tcPr>
            <w:tcW w:w="3581" w:type="pct"/>
            <w:gridSpan w:val="7"/>
            <w:tcBorders>
              <w:left w:val="dotted" w:sz="4" w:space="0" w:color="auto"/>
            </w:tcBorders>
          </w:tcPr>
          <w:p w:rsidR="000D29C1" w:rsidRPr="00016BED" w:rsidRDefault="00B971A2" w:rsidP="00F229F9">
            <w:pPr>
              <w:pStyle w:val="naiskr"/>
              <w:tabs>
                <w:tab w:val="left" w:pos="366"/>
              </w:tabs>
              <w:spacing w:before="0" w:beforeAutospacing="0" w:after="80" w:afterAutospacing="0"/>
              <w:ind w:left="61" w:right="158"/>
              <w:jc w:val="both"/>
              <w:rPr>
                <w:bCs/>
              </w:rPr>
            </w:pPr>
            <w:r w:rsidRPr="00016BED">
              <w:rPr>
                <w:rStyle w:val="spelle"/>
              </w:rPr>
              <w:t>VARAM</w:t>
            </w:r>
            <w:r w:rsidR="00A45B37" w:rsidRPr="00016BED">
              <w:rPr>
                <w:bCs/>
              </w:rPr>
              <w:t xml:space="preserve">, </w:t>
            </w:r>
            <w:r w:rsidR="000D29C1" w:rsidRPr="00016BED">
              <w:rPr>
                <w:bCs/>
              </w:rPr>
              <w:t>Finanšu ministrija (</w:t>
            </w:r>
            <w:r w:rsidR="00A45B37" w:rsidRPr="00016BED">
              <w:rPr>
                <w:bCs/>
              </w:rPr>
              <w:t>VNĪ</w:t>
            </w:r>
            <w:r w:rsidR="000D29C1" w:rsidRPr="00016BED">
              <w:rPr>
                <w:bCs/>
              </w:rPr>
              <w:t>).</w:t>
            </w:r>
          </w:p>
        </w:tc>
      </w:tr>
      <w:tr w:rsidR="000D29C1" w:rsidRPr="00016BED" w:rsidTr="0085774C">
        <w:trPr>
          <w:trHeight w:val="1013"/>
        </w:trPr>
        <w:tc>
          <w:tcPr>
            <w:tcW w:w="350" w:type="pct"/>
            <w:tcBorders>
              <w:right w:val="dotted" w:sz="4" w:space="0" w:color="auto"/>
            </w:tcBorders>
          </w:tcPr>
          <w:p w:rsidR="000D29C1" w:rsidRPr="00016BED" w:rsidRDefault="000D29C1" w:rsidP="00F229F9">
            <w:pPr>
              <w:pStyle w:val="NormalWeb"/>
              <w:spacing w:before="0" w:beforeAutospacing="0" w:after="80" w:afterAutospacing="0"/>
            </w:pPr>
            <w:r w:rsidRPr="00016BED">
              <w:t>6.</w:t>
            </w:r>
          </w:p>
        </w:tc>
        <w:tc>
          <w:tcPr>
            <w:tcW w:w="1069" w:type="pct"/>
            <w:tcBorders>
              <w:left w:val="dotted" w:sz="4" w:space="0" w:color="auto"/>
              <w:right w:val="dotted" w:sz="4" w:space="0" w:color="auto"/>
            </w:tcBorders>
          </w:tcPr>
          <w:p w:rsidR="00BE2433" w:rsidRPr="00016BED" w:rsidRDefault="000D29C1" w:rsidP="00F229F9">
            <w:pPr>
              <w:pStyle w:val="NormalWeb"/>
              <w:spacing w:before="0" w:beforeAutospacing="0" w:after="80" w:afterAutospacing="0"/>
            </w:pPr>
            <w:r w:rsidRPr="00016BED">
              <w:t>Iemesli, kādēļ netika nodrošināta sabiedrības līdzdalība</w:t>
            </w:r>
          </w:p>
        </w:tc>
        <w:tc>
          <w:tcPr>
            <w:tcW w:w="3581" w:type="pct"/>
            <w:gridSpan w:val="7"/>
            <w:tcBorders>
              <w:left w:val="dotted" w:sz="4" w:space="0" w:color="auto"/>
            </w:tcBorders>
          </w:tcPr>
          <w:p w:rsidR="000D29C1" w:rsidRPr="00016BED" w:rsidRDefault="000D29C1" w:rsidP="00F229F9">
            <w:pPr>
              <w:pStyle w:val="naiskr"/>
              <w:tabs>
                <w:tab w:val="left" w:pos="366"/>
              </w:tabs>
              <w:spacing w:before="0" w:beforeAutospacing="0" w:after="80" w:afterAutospacing="0"/>
              <w:ind w:left="61" w:right="158"/>
              <w:jc w:val="both"/>
              <w:rPr>
                <w:bCs/>
              </w:rPr>
            </w:pPr>
            <w:r w:rsidRPr="00016BED">
              <w:rPr>
                <w:bCs/>
              </w:rPr>
              <w:t>Ministru kabineta rīkojuma projekta izstrādē sabiedrības līdzdalība nebija nepieciešama, jo Ministru kabineta rīkojuma projektā ietvertie jautājumi tieši neietekmē sabiedrību.</w:t>
            </w:r>
          </w:p>
        </w:tc>
      </w:tr>
      <w:tr w:rsidR="000D29C1" w:rsidRPr="00016BED" w:rsidTr="0085774C">
        <w:tc>
          <w:tcPr>
            <w:tcW w:w="350" w:type="pct"/>
            <w:tcBorders>
              <w:right w:val="dotted" w:sz="4" w:space="0" w:color="auto"/>
            </w:tcBorders>
          </w:tcPr>
          <w:p w:rsidR="000D29C1" w:rsidRPr="00016BED" w:rsidRDefault="000D29C1" w:rsidP="00F229F9">
            <w:pPr>
              <w:pStyle w:val="NormalWeb"/>
              <w:spacing w:before="0" w:beforeAutospacing="0" w:after="80" w:afterAutospacing="0"/>
            </w:pPr>
            <w:r w:rsidRPr="00016BED">
              <w:t>7.</w:t>
            </w:r>
          </w:p>
        </w:tc>
        <w:tc>
          <w:tcPr>
            <w:tcW w:w="1069" w:type="pct"/>
            <w:tcBorders>
              <w:left w:val="dotted" w:sz="4" w:space="0" w:color="auto"/>
              <w:right w:val="dotted" w:sz="4" w:space="0" w:color="auto"/>
            </w:tcBorders>
          </w:tcPr>
          <w:p w:rsidR="000D29C1" w:rsidRPr="00016BED" w:rsidRDefault="000D29C1" w:rsidP="00F229F9">
            <w:pPr>
              <w:pStyle w:val="NormalWeb"/>
              <w:spacing w:before="0" w:beforeAutospacing="0" w:after="80" w:afterAutospacing="0"/>
            </w:pPr>
            <w:r w:rsidRPr="00016BED">
              <w:t>Cita informācija</w:t>
            </w:r>
          </w:p>
        </w:tc>
        <w:tc>
          <w:tcPr>
            <w:tcW w:w="3581" w:type="pct"/>
            <w:gridSpan w:val="7"/>
            <w:tcBorders>
              <w:left w:val="dotted" w:sz="4" w:space="0" w:color="auto"/>
            </w:tcBorders>
          </w:tcPr>
          <w:p w:rsidR="000D29C1" w:rsidRPr="00016BED" w:rsidRDefault="000D29C1" w:rsidP="00F229F9">
            <w:pPr>
              <w:pStyle w:val="naiskr"/>
              <w:tabs>
                <w:tab w:val="left" w:pos="366"/>
              </w:tabs>
              <w:spacing w:before="0" w:beforeAutospacing="0" w:after="80" w:afterAutospacing="0"/>
              <w:ind w:left="61" w:right="158"/>
              <w:jc w:val="both"/>
              <w:rPr>
                <w:bCs/>
              </w:rPr>
            </w:pPr>
            <w:r w:rsidRPr="00016BED">
              <w:rPr>
                <w:bCs/>
              </w:rPr>
              <w:t>Nav.</w:t>
            </w:r>
          </w:p>
        </w:tc>
      </w:tr>
      <w:tr w:rsidR="00F93CBD" w:rsidRPr="00016BED" w:rsidTr="0085774C">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350" w:type="pct"/>
            <w:tcBorders>
              <w:top w:val="dotted" w:sz="4" w:space="0" w:color="auto"/>
              <w:left w:val="dotted" w:sz="4" w:space="0" w:color="auto"/>
              <w:bottom w:val="dotted" w:sz="4" w:space="0" w:color="auto"/>
              <w:right w:val="dotted" w:sz="4" w:space="0" w:color="auto"/>
            </w:tcBorders>
          </w:tcPr>
          <w:p w:rsidR="00F93CBD" w:rsidRPr="00016BED" w:rsidRDefault="00F93CBD" w:rsidP="00F229F9">
            <w:pPr>
              <w:pStyle w:val="NormalWeb"/>
              <w:spacing w:before="0" w:beforeAutospacing="0" w:after="80" w:afterAutospacing="0"/>
              <w:jc w:val="center"/>
            </w:pPr>
          </w:p>
        </w:tc>
        <w:tc>
          <w:tcPr>
            <w:tcW w:w="4650" w:type="pct"/>
            <w:gridSpan w:val="8"/>
            <w:tcBorders>
              <w:top w:val="dotted" w:sz="4" w:space="0" w:color="auto"/>
              <w:left w:val="dotted" w:sz="4" w:space="0" w:color="auto"/>
              <w:bottom w:val="dotted" w:sz="4" w:space="0" w:color="auto"/>
              <w:right w:val="dotted" w:sz="4" w:space="0" w:color="auto"/>
            </w:tcBorders>
          </w:tcPr>
          <w:p w:rsidR="00F93CBD" w:rsidRPr="00016BED" w:rsidRDefault="00F93CBD" w:rsidP="00F229F9">
            <w:pPr>
              <w:pStyle w:val="NormalWeb"/>
              <w:spacing w:before="0" w:beforeAutospacing="0" w:after="80" w:afterAutospacing="0"/>
              <w:jc w:val="center"/>
              <w:rPr>
                <w:b/>
                <w:bCs/>
              </w:rPr>
            </w:pPr>
            <w:r w:rsidRPr="00016BED">
              <w:t> </w:t>
            </w:r>
            <w:r w:rsidRPr="00016BED">
              <w:rPr>
                <w:b/>
                <w:bCs/>
              </w:rPr>
              <w:t>III. Tiesību akta projekta ietekme uz valsts budžetu un pašvaldību budžetiem</w:t>
            </w:r>
          </w:p>
        </w:tc>
      </w:tr>
      <w:tr w:rsidR="00FB5E18" w:rsidRPr="00016BED" w:rsidTr="0085774C">
        <w:tblPrEx>
          <w:tblBorders>
            <w:top w:val="outset" w:sz="6" w:space="0" w:color="000000"/>
            <w:left w:val="outset" w:sz="6" w:space="0" w:color="000000"/>
            <w:bottom w:val="outset" w:sz="6" w:space="0" w:color="000000"/>
            <w:right w:val="outset" w:sz="6" w:space="0" w:color="000000"/>
          </w:tblBorders>
        </w:tblPrEx>
        <w:trPr>
          <w:trHeight w:val="30"/>
        </w:trPr>
        <w:tc>
          <w:tcPr>
            <w:tcW w:w="1494" w:type="pct"/>
            <w:gridSpan w:val="3"/>
            <w:vMerge w:val="restart"/>
            <w:tcBorders>
              <w:top w:val="dotted" w:sz="4" w:space="0" w:color="auto"/>
              <w:left w:val="dotted" w:sz="4" w:space="0" w:color="auto"/>
              <w:bottom w:val="dotted" w:sz="4" w:space="0" w:color="auto"/>
              <w:right w:val="dotted" w:sz="4" w:space="0" w:color="auto"/>
            </w:tcBorders>
            <w:vAlign w:val="center"/>
          </w:tcPr>
          <w:p w:rsidR="00FB5E18" w:rsidRPr="00016BED" w:rsidRDefault="00FB5E18" w:rsidP="003022CB">
            <w:pPr>
              <w:pStyle w:val="naiskr"/>
              <w:spacing w:before="0" w:beforeAutospacing="0" w:after="0" w:afterAutospacing="0"/>
              <w:jc w:val="center"/>
            </w:pPr>
            <w:bookmarkStart w:id="13" w:name="_Hlk349745625"/>
            <w:r w:rsidRPr="00016BED">
              <w:t>Rādītāji</w:t>
            </w:r>
          </w:p>
        </w:tc>
        <w:tc>
          <w:tcPr>
            <w:tcW w:w="1435" w:type="pct"/>
            <w:gridSpan w:val="3"/>
            <w:vMerge w:val="restart"/>
            <w:tcBorders>
              <w:top w:val="dotted" w:sz="4" w:space="0" w:color="auto"/>
              <w:left w:val="dotted" w:sz="4" w:space="0" w:color="auto"/>
              <w:bottom w:val="dotted" w:sz="4" w:space="0" w:color="auto"/>
              <w:right w:val="dotted" w:sz="4" w:space="0" w:color="auto"/>
            </w:tcBorders>
            <w:vAlign w:val="bottom"/>
          </w:tcPr>
          <w:p w:rsidR="00FB5E18" w:rsidRPr="00016BED" w:rsidRDefault="00FB5E18" w:rsidP="003022CB">
            <w:pPr>
              <w:pStyle w:val="naiskr"/>
              <w:spacing w:before="0" w:beforeAutospacing="0" w:after="0" w:afterAutospacing="0"/>
              <w:jc w:val="center"/>
            </w:pPr>
            <w:r w:rsidRPr="00016BED">
              <w:t>2013.gads</w:t>
            </w:r>
          </w:p>
        </w:tc>
        <w:tc>
          <w:tcPr>
            <w:tcW w:w="2071" w:type="pct"/>
            <w:gridSpan w:val="3"/>
            <w:tcBorders>
              <w:top w:val="dotted" w:sz="4" w:space="0" w:color="auto"/>
              <w:left w:val="dotted" w:sz="4" w:space="0" w:color="auto"/>
              <w:bottom w:val="dotted" w:sz="4" w:space="0" w:color="auto"/>
              <w:right w:val="dotted" w:sz="4" w:space="0" w:color="auto"/>
            </w:tcBorders>
          </w:tcPr>
          <w:p w:rsidR="00FB5E18" w:rsidRPr="00016BED" w:rsidRDefault="00FB5E18" w:rsidP="003022CB">
            <w:pPr>
              <w:pStyle w:val="naiskr"/>
              <w:spacing w:before="0" w:beforeAutospacing="0" w:after="0" w:afterAutospacing="0"/>
              <w:jc w:val="center"/>
            </w:pPr>
            <w:r w:rsidRPr="00016BED">
              <w:t>Turpmākie četri gadi (tūkst. latu)</w:t>
            </w:r>
          </w:p>
        </w:tc>
      </w:tr>
      <w:bookmarkEnd w:id="13"/>
      <w:tr w:rsidR="0055578B" w:rsidRPr="00016BED" w:rsidTr="0085774C">
        <w:tblPrEx>
          <w:tblBorders>
            <w:top w:val="outset" w:sz="6" w:space="0" w:color="000000"/>
            <w:left w:val="outset" w:sz="6" w:space="0" w:color="000000"/>
            <w:bottom w:val="outset" w:sz="6" w:space="0" w:color="000000"/>
            <w:right w:val="outset" w:sz="6" w:space="0" w:color="000000"/>
          </w:tblBorders>
        </w:tblPrEx>
        <w:trPr>
          <w:trHeight w:val="47"/>
        </w:trPr>
        <w:tc>
          <w:tcPr>
            <w:tcW w:w="1494" w:type="pct"/>
            <w:gridSpan w:val="3"/>
            <w:vMerge/>
            <w:tcBorders>
              <w:top w:val="dotted" w:sz="4" w:space="0" w:color="auto"/>
              <w:left w:val="dotted" w:sz="4" w:space="0" w:color="auto"/>
              <w:bottom w:val="dotted" w:sz="4" w:space="0" w:color="auto"/>
              <w:right w:val="dotted" w:sz="4" w:space="0" w:color="auto"/>
            </w:tcBorders>
            <w:vAlign w:val="center"/>
          </w:tcPr>
          <w:p w:rsidR="0055578B" w:rsidRPr="00016BED" w:rsidRDefault="0055578B" w:rsidP="003022CB">
            <w:pPr>
              <w:pStyle w:val="naiskr"/>
              <w:spacing w:before="0" w:beforeAutospacing="0" w:after="0" w:afterAutospacing="0"/>
              <w:jc w:val="center"/>
            </w:pPr>
          </w:p>
        </w:tc>
        <w:tc>
          <w:tcPr>
            <w:tcW w:w="1435" w:type="pct"/>
            <w:gridSpan w:val="3"/>
            <w:vMerge/>
            <w:tcBorders>
              <w:top w:val="dotted" w:sz="4" w:space="0" w:color="auto"/>
              <w:left w:val="dotted" w:sz="4" w:space="0" w:color="auto"/>
              <w:bottom w:val="dotted" w:sz="4" w:space="0" w:color="auto"/>
              <w:right w:val="dotted" w:sz="4" w:space="0" w:color="auto"/>
            </w:tcBorders>
            <w:vAlign w:val="center"/>
          </w:tcPr>
          <w:p w:rsidR="0055578B" w:rsidRPr="00016BED" w:rsidRDefault="0055578B" w:rsidP="003022CB">
            <w:pPr>
              <w:pStyle w:val="naiskr"/>
              <w:spacing w:before="0" w:beforeAutospacing="0" w:after="0" w:afterAutospacing="0"/>
              <w:jc w:val="center"/>
            </w:pPr>
          </w:p>
        </w:tc>
        <w:tc>
          <w:tcPr>
            <w:tcW w:w="859" w:type="pct"/>
            <w:tcBorders>
              <w:top w:val="dotted" w:sz="4" w:space="0" w:color="auto"/>
              <w:left w:val="dotted" w:sz="4" w:space="0" w:color="auto"/>
              <w:bottom w:val="dotted" w:sz="4" w:space="0" w:color="auto"/>
              <w:right w:val="dotted" w:sz="4" w:space="0" w:color="auto"/>
            </w:tcBorders>
            <w:vAlign w:val="bottom"/>
          </w:tcPr>
          <w:p w:rsidR="0055578B" w:rsidRPr="00016BED" w:rsidRDefault="0055578B" w:rsidP="003022CB">
            <w:pPr>
              <w:pStyle w:val="naiskr"/>
              <w:spacing w:before="0" w:beforeAutospacing="0" w:after="0" w:afterAutospacing="0"/>
              <w:jc w:val="center"/>
            </w:pPr>
            <w:r w:rsidRPr="00016BED">
              <w:t>2014.</w:t>
            </w:r>
          </w:p>
        </w:tc>
        <w:tc>
          <w:tcPr>
            <w:tcW w:w="715" w:type="pct"/>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jc w:val="center"/>
            </w:pPr>
            <w:r w:rsidRPr="00016BED">
              <w:t>2015.</w:t>
            </w:r>
          </w:p>
        </w:tc>
        <w:tc>
          <w:tcPr>
            <w:tcW w:w="497" w:type="pct"/>
            <w:tcBorders>
              <w:top w:val="dotted" w:sz="4" w:space="0" w:color="auto"/>
              <w:left w:val="dotted" w:sz="4" w:space="0" w:color="auto"/>
              <w:bottom w:val="dotted" w:sz="4" w:space="0" w:color="auto"/>
              <w:right w:val="dotted" w:sz="4" w:space="0" w:color="auto"/>
            </w:tcBorders>
            <w:vAlign w:val="bottom"/>
          </w:tcPr>
          <w:p w:rsidR="0055578B" w:rsidRPr="00016BED" w:rsidRDefault="0055578B" w:rsidP="003022CB">
            <w:pPr>
              <w:pStyle w:val="naiskr"/>
              <w:spacing w:before="0" w:beforeAutospacing="0" w:after="0" w:afterAutospacing="0"/>
              <w:jc w:val="center"/>
            </w:pPr>
            <w:r w:rsidRPr="00016BED">
              <w:t>2016.</w:t>
            </w:r>
          </w:p>
        </w:tc>
      </w:tr>
      <w:tr w:rsidR="0055578B" w:rsidRPr="00016BED" w:rsidTr="0085774C">
        <w:tblPrEx>
          <w:tblBorders>
            <w:top w:val="outset" w:sz="6" w:space="0" w:color="000000"/>
            <w:left w:val="outset" w:sz="6" w:space="0" w:color="000000"/>
            <w:bottom w:val="outset" w:sz="6" w:space="0" w:color="000000"/>
            <w:right w:val="outset" w:sz="6" w:space="0" w:color="000000"/>
          </w:tblBorders>
        </w:tblPrEx>
        <w:trPr>
          <w:trHeight w:val="397"/>
        </w:trPr>
        <w:tc>
          <w:tcPr>
            <w:tcW w:w="1494" w:type="pct"/>
            <w:gridSpan w:val="3"/>
            <w:vMerge/>
            <w:tcBorders>
              <w:top w:val="dotted" w:sz="4" w:space="0" w:color="auto"/>
              <w:left w:val="dotted" w:sz="4" w:space="0" w:color="auto"/>
              <w:bottom w:val="dotted" w:sz="4" w:space="0" w:color="auto"/>
              <w:right w:val="dotted" w:sz="4" w:space="0" w:color="auto"/>
            </w:tcBorders>
            <w:vAlign w:val="center"/>
          </w:tcPr>
          <w:p w:rsidR="0055578B" w:rsidRPr="00016BED" w:rsidRDefault="0055578B" w:rsidP="003022CB">
            <w:pPr>
              <w:pStyle w:val="naiskr"/>
              <w:spacing w:before="0" w:beforeAutospacing="0" w:after="0" w:afterAutospacing="0"/>
              <w:jc w:val="center"/>
            </w:pPr>
          </w:p>
        </w:tc>
        <w:tc>
          <w:tcPr>
            <w:tcW w:w="648" w:type="pct"/>
            <w:tcBorders>
              <w:top w:val="dotted" w:sz="4" w:space="0" w:color="auto"/>
              <w:left w:val="dotted" w:sz="4" w:space="0" w:color="auto"/>
              <w:bottom w:val="dotted" w:sz="4" w:space="0" w:color="auto"/>
              <w:right w:val="dotted" w:sz="4" w:space="0" w:color="auto"/>
            </w:tcBorders>
            <w:vAlign w:val="bottom"/>
          </w:tcPr>
          <w:p w:rsidR="0055578B" w:rsidRPr="00016BED" w:rsidRDefault="0055578B" w:rsidP="003022CB">
            <w:pPr>
              <w:pStyle w:val="naiskr"/>
              <w:spacing w:before="0" w:beforeAutospacing="0" w:after="0" w:afterAutospacing="0"/>
              <w:jc w:val="center"/>
            </w:pPr>
            <w:r w:rsidRPr="00016BED">
              <w:t>Saskaņā ar valsts budžetu kārtējam gadam</w:t>
            </w:r>
          </w:p>
          <w:p w:rsidR="0055578B" w:rsidRPr="00016BED" w:rsidRDefault="0055578B" w:rsidP="003022CB">
            <w:pPr>
              <w:pStyle w:val="naiskr"/>
              <w:spacing w:before="0" w:beforeAutospacing="0" w:after="0" w:afterAutospacing="0"/>
              <w:jc w:val="center"/>
            </w:pPr>
          </w:p>
        </w:tc>
        <w:tc>
          <w:tcPr>
            <w:tcW w:w="787" w:type="pct"/>
            <w:gridSpan w:val="2"/>
            <w:tcBorders>
              <w:top w:val="dotted" w:sz="4" w:space="0" w:color="auto"/>
              <w:left w:val="dotted" w:sz="4" w:space="0" w:color="auto"/>
              <w:bottom w:val="dotted" w:sz="4" w:space="0" w:color="auto"/>
              <w:right w:val="dotted" w:sz="4" w:space="0" w:color="auto"/>
            </w:tcBorders>
            <w:vAlign w:val="bottom"/>
          </w:tcPr>
          <w:p w:rsidR="0055578B" w:rsidRPr="00016BED" w:rsidRDefault="0055578B" w:rsidP="003022CB">
            <w:pPr>
              <w:pStyle w:val="naiskr"/>
              <w:spacing w:before="0" w:beforeAutospacing="0" w:after="0" w:afterAutospacing="0"/>
              <w:jc w:val="center"/>
            </w:pPr>
            <w:r w:rsidRPr="00016BED">
              <w:t>Izmaiņas kārtējā gadā, salīdzinot ar budžetu kārtējam gadam</w:t>
            </w:r>
          </w:p>
        </w:tc>
        <w:tc>
          <w:tcPr>
            <w:tcW w:w="859" w:type="pct"/>
            <w:tcBorders>
              <w:top w:val="dotted" w:sz="4" w:space="0" w:color="auto"/>
              <w:left w:val="dotted" w:sz="4" w:space="0" w:color="auto"/>
              <w:bottom w:val="dotted" w:sz="4" w:space="0" w:color="auto"/>
              <w:right w:val="dotted" w:sz="4" w:space="0" w:color="auto"/>
            </w:tcBorders>
            <w:vAlign w:val="center"/>
          </w:tcPr>
          <w:p w:rsidR="0055578B" w:rsidRPr="00016BED" w:rsidRDefault="0055578B" w:rsidP="003022CB">
            <w:pPr>
              <w:pStyle w:val="naiskr"/>
              <w:spacing w:before="0" w:beforeAutospacing="0" w:after="0" w:afterAutospacing="0"/>
              <w:jc w:val="center"/>
            </w:pPr>
            <w:r w:rsidRPr="00016BED">
              <w:t>Izmaiņas, salīdzinot ar kārtējo (2013) gadu</w:t>
            </w:r>
          </w:p>
        </w:tc>
        <w:tc>
          <w:tcPr>
            <w:tcW w:w="715" w:type="pct"/>
            <w:tcBorders>
              <w:top w:val="dotted" w:sz="4" w:space="0" w:color="auto"/>
              <w:left w:val="dotted" w:sz="4" w:space="0" w:color="auto"/>
              <w:bottom w:val="dotted" w:sz="4" w:space="0" w:color="auto"/>
              <w:right w:val="dotted" w:sz="4" w:space="0" w:color="auto"/>
            </w:tcBorders>
            <w:vAlign w:val="center"/>
          </w:tcPr>
          <w:p w:rsidR="0055578B" w:rsidRPr="00016BED" w:rsidRDefault="0055578B" w:rsidP="003022CB">
            <w:pPr>
              <w:pStyle w:val="naiskr"/>
              <w:spacing w:before="0" w:beforeAutospacing="0" w:after="0" w:afterAutospacing="0"/>
              <w:jc w:val="center"/>
            </w:pPr>
            <w:r w:rsidRPr="00016BED">
              <w:t>Izmaiņas, salīdzinot ar kārtējo (2013) gadu</w:t>
            </w:r>
          </w:p>
        </w:tc>
        <w:tc>
          <w:tcPr>
            <w:tcW w:w="497" w:type="pct"/>
            <w:tcBorders>
              <w:top w:val="dotted" w:sz="4" w:space="0" w:color="auto"/>
              <w:left w:val="dotted" w:sz="4" w:space="0" w:color="auto"/>
              <w:bottom w:val="dotted" w:sz="4" w:space="0" w:color="auto"/>
              <w:right w:val="dotted" w:sz="4" w:space="0" w:color="auto"/>
            </w:tcBorders>
            <w:vAlign w:val="center"/>
          </w:tcPr>
          <w:p w:rsidR="0055578B" w:rsidRPr="00016BED" w:rsidRDefault="0055578B" w:rsidP="003022CB">
            <w:pPr>
              <w:pStyle w:val="naiskr"/>
              <w:spacing w:before="0" w:beforeAutospacing="0" w:after="0" w:afterAutospacing="0"/>
              <w:jc w:val="center"/>
            </w:pPr>
            <w:r w:rsidRPr="00016BED">
              <w:t>Izmaiņas, salīdzinot ar kārtējo (2013) gadu</w:t>
            </w:r>
          </w:p>
        </w:tc>
      </w:tr>
      <w:tr w:rsidR="0055578B" w:rsidRPr="00016BED" w:rsidTr="0085774C">
        <w:tblPrEx>
          <w:tblBorders>
            <w:top w:val="outset" w:sz="6" w:space="0" w:color="000000"/>
            <w:left w:val="outset" w:sz="6" w:space="0" w:color="000000"/>
            <w:bottom w:val="outset" w:sz="6" w:space="0" w:color="000000"/>
            <w:right w:val="outset" w:sz="6" w:space="0" w:color="000000"/>
          </w:tblBorders>
        </w:tblPrEx>
        <w:tc>
          <w:tcPr>
            <w:tcW w:w="1494" w:type="pct"/>
            <w:gridSpan w:val="3"/>
            <w:tcBorders>
              <w:top w:val="dotted" w:sz="4" w:space="0" w:color="auto"/>
              <w:left w:val="dotted" w:sz="4" w:space="0" w:color="auto"/>
              <w:bottom w:val="dotted" w:sz="4" w:space="0" w:color="auto"/>
              <w:right w:val="dotted" w:sz="4" w:space="0" w:color="auto"/>
            </w:tcBorders>
            <w:vAlign w:val="center"/>
          </w:tcPr>
          <w:p w:rsidR="0055578B" w:rsidRPr="00016BED" w:rsidRDefault="0055578B" w:rsidP="003022CB">
            <w:pPr>
              <w:pStyle w:val="naiskr"/>
              <w:spacing w:before="0" w:beforeAutospacing="0" w:after="0" w:afterAutospacing="0"/>
              <w:jc w:val="center"/>
            </w:pPr>
            <w:r w:rsidRPr="00016BED">
              <w:t>1</w:t>
            </w:r>
          </w:p>
        </w:tc>
        <w:tc>
          <w:tcPr>
            <w:tcW w:w="648" w:type="pct"/>
            <w:tcBorders>
              <w:top w:val="dotted" w:sz="4" w:space="0" w:color="auto"/>
              <w:left w:val="dotted" w:sz="4" w:space="0" w:color="auto"/>
              <w:bottom w:val="dotted" w:sz="4" w:space="0" w:color="auto"/>
              <w:right w:val="dotted" w:sz="4" w:space="0" w:color="auto"/>
            </w:tcBorders>
            <w:vAlign w:val="center"/>
          </w:tcPr>
          <w:p w:rsidR="0055578B" w:rsidRPr="00016BED" w:rsidRDefault="0055578B" w:rsidP="003022CB">
            <w:pPr>
              <w:pStyle w:val="naiskr"/>
              <w:spacing w:before="0" w:beforeAutospacing="0" w:after="0" w:afterAutospacing="0"/>
              <w:jc w:val="center"/>
            </w:pPr>
            <w:r w:rsidRPr="00016BED">
              <w:t>2</w:t>
            </w:r>
          </w:p>
        </w:tc>
        <w:tc>
          <w:tcPr>
            <w:tcW w:w="787" w:type="pct"/>
            <w:gridSpan w:val="2"/>
            <w:tcBorders>
              <w:top w:val="dotted" w:sz="4" w:space="0" w:color="auto"/>
              <w:left w:val="dotted" w:sz="4" w:space="0" w:color="auto"/>
              <w:bottom w:val="dotted" w:sz="4" w:space="0" w:color="auto"/>
              <w:right w:val="dotted" w:sz="4" w:space="0" w:color="auto"/>
            </w:tcBorders>
            <w:vAlign w:val="center"/>
          </w:tcPr>
          <w:p w:rsidR="0055578B" w:rsidRPr="00016BED" w:rsidRDefault="0055578B" w:rsidP="003022CB">
            <w:pPr>
              <w:pStyle w:val="naiskr"/>
              <w:spacing w:before="0" w:beforeAutospacing="0" w:after="0" w:afterAutospacing="0"/>
              <w:jc w:val="center"/>
            </w:pPr>
            <w:r w:rsidRPr="00016BED">
              <w:t>3</w:t>
            </w:r>
          </w:p>
        </w:tc>
        <w:tc>
          <w:tcPr>
            <w:tcW w:w="859" w:type="pct"/>
            <w:tcBorders>
              <w:top w:val="dotted" w:sz="4" w:space="0" w:color="auto"/>
              <w:left w:val="dotted" w:sz="4" w:space="0" w:color="auto"/>
              <w:bottom w:val="dotted" w:sz="4" w:space="0" w:color="auto"/>
              <w:right w:val="dotted" w:sz="4" w:space="0" w:color="auto"/>
            </w:tcBorders>
            <w:vAlign w:val="center"/>
          </w:tcPr>
          <w:p w:rsidR="0055578B" w:rsidRPr="00016BED" w:rsidRDefault="0055578B" w:rsidP="003022CB">
            <w:pPr>
              <w:pStyle w:val="naiskr"/>
              <w:spacing w:before="0" w:beforeAutospacing="0" w:after="0" w:afterAutospacing="0"/>
              <w:jc w:val="center"/>
            </w:pPr>
            <w:r w:rsidRPr="00016BED">
              <w:t>4</w:t>
            </w:r>
          </w:p>
        </w:tc>
        <w:tc>
          <w:tcPr>
            <w:tcW w:w="715" w:type="pct"/>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jc w:val="center"/>
            </w:pPr>
            <w:r w:rsidRPr="00016BED">
              <w:t>5</w:t>
            </w:r>
          </w:p>
        </w:tc>
        <w:tc>
          <w:tcPr>
            <w:tcW w:w="497" w:type="pct"/>
            <w:tcBorders>
              <w:top w:val="dotted" w:sz="4" w:space="0" w:color="auto"/>
              <w:left w:val="dotted" w:sz="4" w:space="0" w:color="auto"/>
              <w:bottom w:val="dotted" w:sz="4" w:space="0" w:color="auto"/>
              <w:right w:val="dotted" w:sz="4" w:space="0" w:color="auto"/>
            </w:tcBorders>
            <w:vAlign w:val="center"/>
          </w:tcPr>
          <w:p w:rsidR="0055578B" w:rsidRPr="00016BED" w:rsidRDefault="0055578B" w:rsidP="003022CB">
            <w:pPr>
              <w:pStyle w:val="naiskr"/>
              <w:spacing w:before="0" w:beforeAutospacing="0" w:after="0" w:afterAutospacing="0"/>
              <w:jc w:val="center"/>
            </w:pPr>
            <w:r w:rsidRPr="00016BED">
              <w:t>6</w:t>
            </w:r>
          </w:p>
        </w:tc>
      </w:tr>
      <w:tr w:rsidR="000A14A1" w:rsidRPr="00016BED" w:rsidTr="0085774C">
        <w:tblPrEx>
          <w:tblBorders>
            <w:top w:val="outset" w:sz="6" w:space="0" w:color="000000"/>
            <w:left w:val="outset" w:sz="6" w:space="0" w:color="000000"/>
            <w:bottom w:val="outset" w:sz="6" w:space="0" w:color="000000"/>
            <w:right w:val="outset" w:sz="6" w:space="0" w:color="000000"/>
          </w:tblBorders>
        </w:tblPrEx>
        <w:trPr>
          <w:trHeight w:val="30"/>
        </w:trPr>
        <w:tc>
          <w:tcPr>
            <w:tcW w:w="1494" w:type="pct"/>
            <w:gridSpan w:val="3"/>
            <w:tcBorders>
              <w:top w:val="dotted" w:sz="4" w:space="0" w:color="auto"/>
              <w:left w:val="dotted" w:sz="4" w:space="0" w:color="auto"/>
              <w:bottom w:val="dotted" w:sz="4" w:space="0" w:color="auto"/>
              <w:right w:val="dotted" w:sz="4" w:space="0" w:color="auto"/>
            </w:tcBorders>
          </w:tcPr>
          <w:p w:rsidR="000A14A1" w:rsidRPr="00016BED" w:rsidRDefault="000A14A1" w:rsidP="003022CB">
            <w:pPr>
              <w:pStyle w:val="naiskr"/>
              <w:spacing w:before="0" w:beforeAutospacing="0" w:after="0" w:afterAutospacing="0"/>
            </w:pPr>
            <w:r w:rsidRPr="00016BED">
              <w:t>1. Budžeta ieņēmumi:</w:t>
            </w:r>
          </w:p>
        </w:tc>
        <w:tc>
          <w:tcPr>
            <w:tcW w:w="648" w:type="pct"/>
            <w:tcBorders>
              <w:top w:val="dotted" w:sz="4" w:space="0" w:color="auto"/>
              <w:left w:val="dotted" w:sz="4" w:space="0" w:color="auto"/>
              <w:bottom w:val="dotted" w:sz="4" w:space="0" w:color="auto"/>
              <w:right w:val="dotted" w:sz="4" w:space="0" w:color="auto"/>
            </w:tcBorders>
            <w:vAlign w:val="bottom"/>
          </w:tcPr>
          <w:p w:rsidR="000A14A1" w:rsidRPr="00016BED" w:rsidRDefault="000A14A1" w:rsidP="003022CB">
            <w:pPr>
              <w:pStyle w:val="naiskr"/>
              <w:spacing w:before="0" w:beforeAutospacing="0" w:after="0" w:afterAutospacing="0"/>
              <w:jc w:val="center"/>
            </w:pPr>
            <w:r w:rsidRPr="00016BED">
              <w:t>289,4</w:t>
            </w:r>
          </w:p>
        </w:tc>
        <w:tc>
          <w:tcPr>
            <w:tcW w:w="787" w:type="pct"/>
            <w:gridSpan w:val="2"/>
            <w:tcBorders>
              <w:top w:val="dotted" w:sz="4" w:space="0" w:color="auto"/>
              <w:left w:val="dotted" w:sz="4" w:space="0" w:color="auto"/>
              <w:bottom w:val="dotted" w:sz="4" w:space="0" w:color="auto"/>
              <w:right w:val="dotted" w:sz="4" w:space="0" w:color="auto"/>
            </w:tcBorders>
            <w:vAlign w:val="bottom"/>
          </w:tcPr>
          <w:p w:rsidR="000A14A1" w:rsidRPr="00016BED" w:rsidRDefault="000A14A1" w:rsidP="003022CB">
            <w:pPr>
              <w:pStyle w:val="naiskr"/>
              <w:spacing w:before="0" w:beforeAutospacing="0" w:after="0" w:afterAutospacing="0"/>
              <w:jc w:val="center"/>
            </w:pPr>
            <w:r w:rsidRPr="00016BED">
              <w:t>0</w:t>
            </w:r>
          </w:p>
        </w:tc>
        <w:tc>
          <w:tcPr>
            <w:tcW w:w="859" w:type="pct"/>
            <w:tcBorders>
              <w:top w:val="dotted" w:sz="4" w:space="0" w:color="auto"/>
              <w:left w:val="dotted" w:sz="4" w:space="0" w:color="auto"/>
              <w:bottom w:val="dotted" w:sz="4" w:space="0" w:color="auto"/>
              <w:right w:val="dotted" w:sz="4" w:space="0" w:color="auto"/>
            </w:tcBorders>
            <w:vAlign w:val="bottom"/>
          </w:tcPr>
          <w:p w:rsidR="000A14A1" w:rsidRPr="00016BED" w:rsidRDefault="000A14A1" w:rsidP="003022CB">
            <w:pPr>
              <w:pStyle w:val="naiskr"/>
              <w:spacing w:before="0" w:beforeAutospacing="0" w:after="0" w:afterAutospacing="0"/>
              <w:jc w:val="center"/>
            </w:pPr>
            <w:r w:rsidRPr="00016BED">
              <w:t>0</w:t>
            </w:r>
          </w:p>
        </w:tc>
        <w:tc>
          <w:tcPr>
            <w:tcW w:w="715" w:type="pct"/>
            <w:tcBorders>
              <w:top w:val="dotted" w:sz="4" w:space="0" w:color="auto"/>
              <w:left w:val="dotted" w:sz="4" w:space="0" w:color="auto"/>
              <w:bottom w:val="dotted" w:sz="4" w:space="0" w:color="auto"/>
              <w:right w:val="dotted" w:sz="4" w:space="0" w:color="auto"/>
            </w:tcBorders>
            <w:vAlign w:val="bottom"/>
          </w:tcPr>
          <w:p w:rsidR="000A14A1" w:rsidRPr="00016BED" w:rsidRDefault="000A14A1" w:rsidP="003022CB">
            <w:pPr>
              <w:pStyle w:val="naiskr"/>
              <w:spacing w:before="0" w:beforeAutospacing="0" w:after="0" w:afterAutospacing="0"/>
              <w:jc w:val="center"/>
            </w:pPr>
            <w:r w:rsidRPr="00016BED">
              <w:t>0</w:t>
            </w:r>
          </w:p>
        </w:tc>
        <w:tc>
          <w:tcPr>
            <w:tcW w:w="497" w:type="pct"/>
            <w:tcBorders>
              <w:top w:val="dotted" w:sz="4" w:space="0" w:color="auto"/>
              <w:left w:val="dotted" w:sz="4" w:space="0" w:color="auto"/>
              <w:bottom w:val="dotted" w:sz="4" w:space="0" w:color="auto"/>
              <w:right w:val="dotted" w:sz="4" w:space="0" w:color="auto"/>
            </w:tcBorders>
            <w:vAlign w:val="bottom"/>
          </w:tcPr>
          <w:p w:rsidR="000A14A1" w:rsidRPr="00016BED" w:rsidRDefault="000A14A1" w:rsidP="003022CB">
            <w:pPr>
              <w:pStyle w:val="naiskr"/>
              <w:spacing w:before="0" w:beforeAutospacing="0" w:after="0" w:afterAutospacing="0"/>
              <w:jc w:val="center"/>
            </w:pPr>
            <w:r w:rsidRPr="00016BED">
              <w:t>0</w:t>
            </w:r>
          </w:p>
        </w:tc>
      </w:tr>
      <w:tr w:rsidR="000A14A1" w:rsidRPr="00016BED" w:rsidTr="0085774C">
        <w:tblPrEx>
          <w:tblBorders>
            <w:top w:val="outset" w:sz="6" w:space="0" w:color="000000"/>
            <w:left w:val="outset" w:sz="6" w:space="0" w:color="000000"/>
            <w:bottom w:val="outset" w:sz="6" w:space="0" w:color="000000"/>
            <w:right w:val="outset" w:sz="6" w:space="0" w:color="000000"/>
          </w:tblBorders>
        </w:tblPrEx>
        <w:trPr>
          <w:trHeight w:val="113"/>
        </w:trPr>
        <w:tc>
          <w:tcPr>
            <w:tcW w:w="1494" w:type="pct"/>
            <w:gridSpan w:val="3"/>
            <w:tcBorders>
              <w:top w:val="dotted" w:sz="4" w:space="0" w:color="auto"/>
              <w:left w:val="dotted" w:sz="4" w:space="0" w:color="auto"/>
              <w:bottom w:val="dotted" w:sz="4" w:space="0" w:color="auto"/>
              <w:right w:val="dotted" w:sz="4" w:space="0" w:color="auto"/>
            </w:tcBorders>
          </w:tcPr>
          <w:p w:rsidR="000A14A1" w:rsidRPr="00016BED" w:rsidRDefault="000A14A1" w:rsidP="003022CB">
            <w:pPr>
              <w:pStyle w:val="naiskr"/>
              <w:spacing w:before="0" w:beforeAutospacing="0" w:after="0" w:afterAutospacing="0"/>
            </w:pPr>
            <w:r w:rsidRPr="00016BED">
              <w:t>1.1. valsts pamatbudžets, tai skaitā ieņēmumi no maksas pakalpojumiem un citi pašu ieņēmumi</w:t>
            </w:r>
          </w:p>
        </w:tc>
        <w:tc>
          <w:tcPr>
            <w:tcW w:w="648" w:type="pct"/>
            <w:tcBorders>
              <w:top w:val="dotted" w:sz="4" w:space="0" w:color="auto"/>
              <w:left w:val="dotted" w:sz="4" w:space="0" w:color="auto"/>
              <w:bottom w:val="dotted" w:sz="4" w:space="0" w:color="auto"/>
              <w:right w:val="dotted" w:sz="4" w:space="0" w:color="auto"/>
            </w:tcBorders>
            <w:vAlign w:val="bottom"/>
          </w:tcPr>
          <w:p w:rsidR="000A14A1" w:rsidRPr="00016BED" w:rsidRDefault="000A14A1" w:rsidP="003022CB">
            <w:pPr>
              <w:pStyle w:val="naiskr"/>
              <w:spacing w:before="0" w:beforeAutospacing="0" w:after="0" w:afterAutospacing="0"/>
              <w:jc w:val="center"/>
            </w:pPr>
            <w:r w:rsidRPr="00016BED">
              <w:t>289,4</w:t>
            </w:r>
          </w:p>
        </w:tc>
        <w:tc>
          <w:tcPr>
            <w:tcW w:w="787" w:type="pct"/>
            <w:gridSpan w:val="2"/>
            <w:tcBorders>
              <w:top w:val="dotted" w:sz="4" w:space="0" w:color="auto"/>
              <w:left w:val="dotted" w:sz="4" w:space="0" w:color="auto"/>
              <w:bottom w:val="dotted" w:sz="4" w:space="0" w:color="auto"/>
              <w:right w:val="dotted" w:sz="4" w:space="0" w:color="auto"/>
            </w:tcBorders>
            <w:vAlign w:val="bottom"/>
          </w:tcPr>
          <w:p w:rsidR="000A14A1" w:rsidRPr="00016BED" w:rsidRDefault="000A14A1" w:rsidP="003022CB">
            <w:pPr>
              <w:pStyle w:val="naiskr"/>
              <w:spacing w:before="0" w:beforeAutospacing="0" w:after="0" w:afterAutospacing="0"/>
              <w:jc w:val="center"/>
            </w:pPr>
            <w:r w:rsidRPr="00016BED">
              <w:t>0</w:t>
            </w:r>
          </w:p>
        </w:tc>
        <w:tc>
          <w:tcPr>
            <w:tcW w:w="859" w:type="pct"/>
            <w:tcBorders>
              <w:top w:val="dotted" w:sz="4" w:space="0" w:color="auto"/>
              <w:left w:val="dotted" w:sz="4" w:space="0" w:color="auto"/>
              <w:bottom w:val="dotted" w:sz="4" w:space="0" w:color="auto"/>
              <w:right w:val="dotted" w:sz="4" w:space="0" w:color="auto"/>
            </w:tcBorders>
            <w:vAlign w:val="bottom"/>
          </w:tcPr>
          <w:p w:rsidR="000A14A1" w:rsidRPr="00016BED" w:rsidRDefault="000A14A1" w:rsidP="003022CB">
            <w:pPr>
              <w:pStyle w:val="naiskr"/>
              <w:spacing w:before="0" w:beforeAutospacing="0" w:after="0" w:afterAutospacing="0"/>
              <w:jc w:val="center"/>
            </w:pPr>
            <w:r w:rsidRPr="00016BED">
              <w:t>0</w:t>
            </w:r>
          </w:p>
        </w:tc>
        <w:tc>
          <w:tcPr>
            <w:tcW w:w="715" w:type="pct"/>
            <w:tcBorders>
              <w:top w:val="dotted" w:sz="4" w:space="0" w:color="auto"/>
              <w:left w:val="dotted" w:sz="4" w:space="0" w:color="auto"/>
              <w:bottom w:val="dotted" w:sz="4" w:space="0" w:color="auto"/>
              <w:right w:val="dotted" w:sz="4" w:space="0" w:color="auto"/>
            </w:tcBorders>
            <w:vAlign w:val="bottom"/>
          </w:tcPr>
          <w:p w:rsidR="000A14A1" w:rsidRPr="00016BED" w:rsidRDefault="000A14A1" w:rsidP="003022CB">
            <w:pPr>
              <w:pStyle w:val="naiskr"/>
              <w:spacing w:before="0" w:beforeAutospacing="0" w:after="0" w:afterAutospacing="0"/>
              <w:jc w:val="center"/>
            </w:pPr>
            <w:r w:rsidRPr="00016BED">
              <w:t>0</w:t>
            </w:r>
          </w:p>
        </w:tc>
        <w:tc>
          <w:tcPr>
            <w:tcW w:w="497" w:type="pct"/>
            <w:tcBorders>
              <w:top w:val="dotted" w:sz="4" w:space="0" w:color="auto"/>
              <w:left w:val="dotted" w:sz="4" w:space="0" w:color="auto"/>
              <w:bottom w:val="dotted" w:sz="4" w:space="0" w:color="auto"/>
              <w:right w:val="dotted" w:sz="4" w:space="0" w:color="auto"/>
            </w:tcBorders>
            <w:vAlign w:val="bottom"/>
          </w:tcPr>
          <w:p w:rsidR="000A14A1" w:rsidRPr="00016BED" w:rsidRDefault="000A14A1" w:rsidP="003022CB">
            <w:pPr>
              <w:pStyle w:val="naiskr"/>
              <w:spacing w:before="0" w:beforeAutospacing="0" w:after="0" w:afterAutospacing="0"/>
              <w:jc w:val="center"/>
            </w:pPr>
            <w:r w:rsidRPr="00016BED">
              <w:t>0</w:t>
            </w:r>
          </w:p>
        </w:tc>
      </w:tr>
      <w:tr w:rsidR="000A14A1" w:rsidRPr="00016BED" w:rsidTr="0085774C">
        <w:tblPrEx>
          <w:tblBorders>
            <w:top w:val="outset" w:sz="6" w:space="0" w:color="000000"/>
            <w:left w:val="outset" w:sz="6" w:space="0" w:color="000000"/>
            <w:bottom w:val="outset" w:sz="6" w:space="0" w:color="000000"/>
            <w:right w:val="outset" w:sz="6" w:space="0" w:color="000000"/>
          </w:tblBorders>
        </w:tblPrEx>
        <w:trPr>
          <w:trHeight w:val="176"/>
        </w:trPr>
        <w:tc>
          <w:tcPr>
            <w:tcW w:w="1494" w:type="pct"/>
            <w:gridSpan w:val="3"/>
            <w:tcBorders>
              <w:top w:val="dotted" w:sz="4" w:space="0" w:color="auto"/>
              <w:left w:val="dotted" w:sz="4" w:space="0" w:color="auto"/>
              <w:bottom w:val="dotted" w:sz="4" w:space="0" w:color="auto"/>
              <w:right w:val="dotted" w:sz="4" w:space="0" w:color="auto"/>
            </w:tcBorders>
          </w:tcPr>
          <w:p w:rsidR="000A14A1" w:rsidRPr="00016BED" w:rsidRDefault="000A14A1" w:rsidP="003022CB">
            <w:pPr>
              <w:pStyle w:val="naiskr"/>
              <w:spacing w:before="0" w:beforeAutospacing="0" w:after="0" w:afterAutospacing="0"/>
            </w:pPr>
            <w:r w:rsidRPr="00016BED">
              <w:t>1.2. valsts speciālais budžets</w:t>
            </w:r>
          </w:p>
        </w:tc>
        <w:tc>
          <w:tcPr>
            <w:tcW w:w="648" w:type="pct"/>
            <w:tcBorders>
              <w:top w:val="dotted" w:sz="4" w:space="0" w:color="auto"/>
              <w:left w:val="dotted" w:sz="4" w:space="0" w:color="auto"/>
              <w:bottom w:val="dotted" w:sz="4" w:space="0" w:color="auto"/>
              <w:right w:val="dotted" w:sz="4" w:space="0" w:color="auto"/>
            </w:tcBorders>
            <w:vAlign w:val="bottom"/>
          </w:tcPr>
          <w:p w:rsidR="000A14A1" w:rsidRPr="00016BED" w:rsidRDefault="000A14A1" w:rsidP="003022CB">
            <w:pPr>
              <w:pStyle w:val="naiskr"/>
              <w:spacing w:before="0" w:beforeAutospacing="0" w:after="0" w:afterAutospacing="0"/>
              <w:jc w:val="center"/>
            </w:pPr>
            <w:r w:rsidRPr="00016BED">
              <w:t>0</w:t>
            </w:r>
          </w:p>
        </w:tc>
        <w:tc>
          <w:tcPr>
            <w:tcW w:w="787" w:type="pct"/>
            <w:gridSpan w:val="2"/>
            <w:tcBorders>
              <w:top w:val="dotted" w:sz="4" w:space="0" w:color="auto"/>
              <w:left w:val="dotted" w:sz="4" w:space="0" w:color="auto"/>
              <w:bottom w:val="dotted" w:sz="4" w:space="0" w:color="auto"/>
              <w:right w:val="dotted" w:sz="4" w:space="0" w:color="auto"/>
            </w:tcBorders>
            <w:vAlign w:val="bottom"/>
          </w:tcPr>
          <w:p w:rsidR="000A14A1" w:rsidRPr="00016BED" w:rsidRDefault="000A14A1" w:rsidP="003022CB">
            <w:pPr>
              <w:pStyle w:val="naiskr"/>
              <w:spacing w:before="0" w:beforeAutospacing="0" w:after="0" w:afterAutospacing="0"/>
              <w:jc w:val="center"/>
            </w:pPr>
            <w:r w:rsidRPr="00016BED">
              <w:t>0</w:t>
            </w:r>
          </w:p>
        </w:tc>
        <w:tc>
          <w:tcPr>
            <w:tcW w:w="859" w:type="pct"/>
            <w:tcBorders>
              <w:top w:val="dotted" w:sz="4" w:space="0" w:color="auto"/>
              <w:left w:val="dotted" w:sz="4" w:space="0" w:color="auto"/>
              <w:bottom w:val="dotted" w:sz="4" w:space="0" w:color="auto"/>
              <w:right w:val="dotted" w:sz="4" w:space="0" w:color="auto"/>
            </w:tcBorders>
            <w:vAlign w:val="bottom"/>
          </w:tcPr>
          <w:p w:rsidR="000A14A1" w:rsidRPr="00016BED" w:rsidRDefault="000A14A1" w:rsidP="003022CB">
            <w:pPr>
              <w:pStyle w:val="naiskr"/>
              <w:spacing w:before="0" w:beforeAutospacing="0" w:after="0" w:afterAutospacing="0"/>
              <w:jc w:val="center"/>
            </w:pPr>
            <w:r w:rsidRPr="00016BED">
              <w:t>0</w:t>
            </w:r>
          </w:p>
        </w:tc>
        <w:tc>
          <w:tcPr>
            <w:tcW w:w="715" w:type="pct"/>
            <w:tcBorders>
              <w:top w:val="dotted" w:sz="4" w:space="0" w:color="auto"/>
              <w:left w:val="dotted" w:sz="4" w:space="0" w:color="auto"/>
              <w:bottom w:val="dotted" w:sz="4" w:space="0" w:color="auto"/>
              <w:right w:val="dotted" w:sz="4" w:space="0" w:color="auto"/>
            </w:tcBorders>
            <w:vAlign w:val="bottom"/>
          </w:tcPr>
          <w:p w:rsidR="000A14A1" w:rsidRPr="00016BED" w:rsidRDefault="000A14A1" w:rsidP="003022CB">
            <w:pPr>
              <w:pStyle w:val="naiskr"/>
              <w:spacing w:before="0" w:beforeAutospacing="0" w:after="0" w:afterAutospacing="0"/>
              <w:jc w:val="center"/>
            </w:pPr>
            <w:r w:rsidRPr="00016BED">
              <w:t>0</w:t>
            </w:r>
          </w:p>
        </w:tc>
        <w:tc>
          <w:tcPr>
            <w:tcW w:w="497" w:type="pct"/>
            <w:tcBorders>
              <w:top w:val="dotted" w:sz="4" w:space="0" w:color="auto"/>
              <w:left w:val="dotted" w:sz="4" w:space="0" w:color="auto"/>
              <w:bottom w:val="dotted" w:sz="4" w:space="0" w:color="auto"/>
              <w:right w:val="dotted" w:sz="4" w:space="0" w:color="auto"/>
            </w:tcBorders>
            <w:vAlign w:val="bottom"/>
          </w:tcPr>
          <w:p w:rsidR="000A14A1" w:rsidRPr="00016BED" w:rsidRDefault="000A14A1" w:rsidP="003022CB">
            <w:pPr>
              <w:pStyle w:val="naiskr"/>
              <w:spacing w:before="0" w:beforeAutospacing="0" w:after="0" w:afterAutospacing="0"/>
              <w:jc w:val="center"/>
            </w:pPr>
            <w:r w:rsidRPr="00016BED">
              <w:t>0</w:t>
            </w:r>
          </w:p>
        </w:tc>
      </w:tr>
      <w:tr w:rsidR="000A14A1" w:rsidRPr="00016BED" w:rsidTr="0085774C">
        <w:tblPrEx>
          <w:tblBorders>
            <w:top w:val="outset" w:sz="6" w:space="0" w:color="000000"/>
            <w:left w:val="outset" w:sz="6" w:space="0" w:color="000000"/>
            <w:bottom w:val="outset" w:sz="6" w:space="0" w:color="000000"/>
            <w:right w:val="outset" w:sz="6" w:space="0" w:color="000000"/>
          </w:tblBorders>
        </w:tblPrEx>
        <w:trPr>
          <w:trHeight w:val="407"/>
        </w:trPr>
        <w:tc>
          <w:tcPr>
            <w:tcW w:w="1494" w:type="pct"/>
            <w:gridSpan w:val="3"/>
            <w:tcBorders>
              <w:top w:val="dotted" w:sz="4" w:space="0" w:color="auto"/>
              <w:left w:val="dotted" w:sz="4" w:space="0" w:color="auto"/>
              <w:bottom w:val="dotted" w:sz="4" w:space="0" w:color="auto"/>
              <w:right w:val="dotted" w:sz="4" w:space="0" w:color="auto"/>
            </w:tcBorders>
          </w:tcPr>
          <w:p w:rsidR="000A14A1" w:rsidRPr="00016BED" w:rsidRDefault="000A14A1" w:rsidP="003022CB">
            <w:pPr>
              <w:pStyle w:val="naiskr"/>
              <w:spacing w:before="0" w:beforeAutospacing="0" w:after="0" w:afterAutospacing="0"/>
            </w:pPr>
            <w:r w:rsidRPr="00016BED">
              <w:t>1.3. pašvaldību budžets</w:t>
            </w:r>
          </w:p>
        </w:tc>
        <w:tc>
          <w:tcPr>
            <w:tcW w:w="648" w:type="pct"/>
            <w:tcBorders>
              <w:top w:val="dotted" w:sz="4" w:space="0" w:color="auto"/>
              <w:left w:val="dotted" w:sz="4" w:space="0" w:color="auto"/>
              <w:bottom w:val="dotted" w:sz="4" w:space="0" w:color="auto"/>
              <w:right w:val="dotted" w:sz="4" w:space="0" w:color="auto"/>
            </w:tcBorders>
            <w:vAlign w:val="bottom"/>
          </w:tcPr>
          <w:p w:rsidR="000A14A1" w:rsidRPr="00016BED" w:rsidRDefault="000A14A1" w:rsidP="003022CB">
            <w:pPr>
              <w:pStyle w:val="naiskr"/>
              <w:spacing w:before="0" w:beforeAutospacing="0" w:after="0" w:afterAutospacing="0"/>
              <w:jc w:val="center"/>
            </w:pPr>
            <w:r w:rsidRPr="00016BED">
              <w:t>0</w:t>
            </w:r>
          </w:p>
        </w:tc>
        <w:tc>
          <w:tcPr>
            <w:tcW w:w="787" w:type="pct"/>
            <w:gridSpan w:val="2"/>
            <w:tcBorders>
              <w:top w:val="dotted" w:sz="4" w:space="0" w:color="auto"/>
              <w:left w:val="dotted" w:sz="4" w:space="0" w:color="auto"/>
              <w:bottom w:val="dotted" w:sz="4" w:space="0" w:color="auto"/>
              <w:right w:val="dotted" w:sz="4" w:space="0" w:color="auto"/>
            </w:tcBorders>
            <w:vAlign w:val="bottom"/>
          </w:tcPr>
          <w:p w:rsidR="000A14A1" w:rsidRPr="00016BED" w:rsidRDefault="000A14A1" w:rsidP="003022CB">
            <w:pPr>
              <w:pStyle w:val="naiskr"/>
              <w:spacing w:before="0" w:beforeAutospacing="0" w:after="0" w:afterAutospacing="0"/>
              <w:jc w:val="center"/>
            </w:pPr>
            <w:r w:rsidRPr="00016BED">
              <w:t>0</w:t>
            </w:r>
          </w:p>
        </w:tc>
        <w:tc>
          <w:tcPr>
            <w:tcW w:w="859" w:type="pct"/>
            <w:tcBorders>
              <w:top w:val="dotted" w:sz="4" w:space="0" w:color="auto"/>
              <w:left w:val="dotted" w:sz="4" w:space="0" w:color="auto"/>
              <w:bottom w:val="dotted" w:sz="4" w:space="0" w:color="auto"/>
              <w:right w:val="dotted" w:sz="4" w:space="0" w:color="auto"/>
            </w:tcBorders>
            <w:vAlign w:val="bottom"/>
          </w:tcPr>
          <w:p w:rsidR="000A14A1" w:rsidRPr="00016BED" w:rsidRDefault="000A14A1" w:rsidP="003022CB">
            <w:pPr>
              <w:pStyle w:val="naiskr"/>
              <w:spacing w:before="0" w:beforeAutospacing="0" w:after="0" w:afterAutospacing="0"/>
              <w:jc w:val="center"/>
            </w:pPr>
            <w:r w:rsidRPr="00016BED">
              <w:t>0</w:t>
            </w:r>
          </w:p>
        </w:tc>
        <w:tc>
          <w:tcPr>
            <w:tcW w:w="715" w:type="pct"/>
            <w:tcBorders>
              <w:top w:val="dotted" w:sz="4" w:space="0" w:color="auto"/>
              <w:left w:val="dotted" w:sz="4" w:space="0" w:color="auto"/>
              <w:bottom w:val="dotted" w:sz="4" w:space="0" w:color="auto"/>
              <w:right w:val="dotted" w:sz="4" w:space="0" w:color="auto"/>
            </w:tcBorders>
            <w:vAlign w:val="bottom"/>
          </w:tcPr>
          <w:p w:rsidR="000A14A1" w:rsidRPr="00016BED" w:rsidRDefault="000A14A1" w:rsidP="003022CB">
            <w:pPr>
              <w:pStyle w:val="naiskr"/>
              <w:spacing w:before="0" w:beforeAutospacing="0" w:after="0" w:afterAutospacing="0"/>
              <w:jc w:val="center"/>
            </w:pPr>
            <w:r w:rsidRPr="00016BED">
              <w:t>0</w:t>
            </w:r>
          </w:p>
        </w:tc>
        <w:tc>
          <w:tcPr>
            <w:tcW w:w="497" w:type="pct"/>
            <w:tcBorders>
              <w:top w:val="dotted" w:sz="4" w:space="0" w:color="auto"/>
              <w:left w:val="dotted" w:sz="4" w:space="0" w:color="auto"/>
              <w:bottom w:val="dotted" w:sz="4" w:space="0" w:color="auto"/>
              <w:right w:val="dotted" w:sz="4" w:space="0" w:color="auto"/>
            </w:tcBorders>
            <w:vAlign w:val="bottom"/>
          </w:tcPr>
          <w:p w:rsidR="000A14A1" w:rsidRPr="00016BED" w:rsidRDefault="000A14A1" w:rsidP="003022CB">
            <w:pPr>
              <w:pStyle w:val="naiskr"/>
              <w:spacing w:before="0" w:beforeAutospacing="0" w:after="0" w:afterAutospacing="0"/>
              <w:jc w:val="center"/>
            </w:pPr>
            <w:r w:rsidRPr="00016BED">
              <w:t>0</w:t>
            </w:r>
          </w:p>
        </w:tc>
      </w:tr>
      <w:tr w:rsidR="000A14A1" w:rsidRPr="00016BED" w:rsidTr="0085774C">
        <w:tblPrEx>
          <w:tblBorders>
            <w:top w:val="outset" w:sz="6" w:space="0" w:color="000000"/>
            <w:left w:val="outset" w:sz="6" w:space="0" w:color="000000"/>
            <w:bottom w:val="outset" w:sz="6" w:space="0" w:color="000000"/>
            <w:right w:val="outset" w:sz="6" w:space="0" w:color="000000"/>
          </w:tblBorders>
        </w:tblPrEx>
        <w:trPr>
          <w:trHeight w:val="227"/>
        </w:trPr>
        <w:tc>
          <w:tcPr>
            <w:tcW w:w="1494" w:type="pct"/>
            <w:gridSpan w:val="3"/>
            <w:tcBorders>
              <w:top w:val="dotted" w:sz="4" w:space="0" w:color="auto"/>
              <w:left w:val="dotted" w:sz="4" w:space="0" w:color="auto"/>
              <w:bottom w:val="dotted" w:sz="4" w:space="0" w:color="auto"/>
              <w:right w:val="dotted" w:sz="4" w:space="0" w:color="auto"/>
            </w:tcBorders>
          </w:tcPr>
          <w:p w:rsidR="000A14A1" w:rsidRPr="00016BED" w:rsidRDefault="000A14A1" w:rsidP="003022CB">
            <w:pPr>
              <w:pStyle w:val="naiskr"/>
              <w:spacing w:before="0" w:beforeAutospacing="0" w:after="0" w:afterAutospacing="0"/>
            </w:pPr>
            <w:r w:rsidRPr="00016BED">
              <w:t>2. Budžeta izdevumi:</w:t>
            </w:r>
          </w:p>
        </w:tc>
        <w:tc>
          <w:tcPr>
            <w:tcW w:w="648" w:type="pct"/>
            <w:tcBorders>
              <w:top w:val="dotted" w:sz="4" w:space="0" w:color="auto"/>
              <w:left w:val="dotted" w:sz="4" w:space="0" w:color="auto"/>
              <w:bottom w:val="dotted" w:sz="4" w:space="0" w:color="auto"/>
              <w:right w:val="dotted" w:sz="4" w:space="0" w:color="auto"/>
            </w:tcBorders>
            <w:vAlign w:val="bottom"/>
          </w:tcPr>
          <w:p w:rsidR="000A14A1" w:rsidRPr="00016BED" w:rsidRDefault="000A14A1" w:rsidP="003022CB">
            <w:pPr>
              <w:pStyle w:val="naiskr"/>
              <w:spacing w:before="0" w:beforeAutospacing="0" w:after="0" w:afterAutospacing="0"/>
              <w:jc w:val="center"/>
            </w:pPr>
            <w:r w:rsidRPr="00016BED">
              <w:t>289,4</w:t>
            </w:r>
          </w:p>
        </w:tc>
        <w:tc>
          <w:tcPr>
            <w:tcW w:w="787" w:type="pct"/>
            <w:gridSpan w:val="2"/>
            <w:tcBorders>
              <w:top w:val="dotted" w:sz="4" w:space="0" w:color="auto"/>
              <w:left w:val="dotted" w:sz="4" w:space="0" w:color="auto"/>
              <w:bottom w:val="dotted" w:sz="4" w:space="0" w:color="auto"/>
              <w:right w:val="dotted" w:sz="4" w:space="0" w:color="auto"/>
            </w:tcBorders>
            <w:vAlign w:val="bottom"/>
          </w:tcPr>
          <w:p w:rsidR="000A14A1" w:rsidRPr="00016BED" w:rsidRDefault="000A14A1" w:rsidP="003022CB">
            <w:pPr>
              <w:pStyle w:val="naiskr"/>
              <w:spacing w:before="0" w:beforeAutospacing="0" w:after="0" w:afterAutospacing="0"/>
              <w:jc w:val="center"/>
            </w:pPr>
            <w:r w:rsidRPr="00016BED">
              <w:t>0</w:t>
            </w:r>
          </w:p>
        </w:tc>
        <w:tc>
          <w:tcPr>
            <w:tcW w:w="859" w:type="pct"/>
            <w:tcBorders>
              <w:top w:val="dotted" w:sz="4" w:space="0" w:color="auto"/>
              <w:left w:val="dotted" w:sz="4" w:space="0" w:color="auto"/>
              <w:bottom w:val="dotted" w:sz="4" w:space="0" w:color="auto"/>
              <w:right w:val="dotted" w:sz="4" w:space="0" w:color="auto"/>
            </w:tcBorders>
            <w:vAlign w:val="bottom"/>
          </w:tcPr>
          <w:p w:rsidR="000A14A1" w:rsidRPr="00016BED" w:rsidRDefault="000A14A1" w:rsidP="003022CB">
            <w:pPr>
              <w:pStyle w:val="naiskr"/>
              <w:spacing w:before="0" w:beforeAutospacing="0" w:after="0" w:afterAutospacing="0"/>
              <w:jc w:val="center"/>
            </w:pPr>
            <w:r w:rsidRPr="00016BED">
              <w:t>0</w:t>
            </w:r>
          </w:p>
        </w:tc>
        <w:tc>
          <w:tcPr>
            <w:tcW w:w="715" w:type="pct"/>
            <w:tcBorders>
              <w:top w:val="dotted" w:sz="4" w:space="0" w:color="auto"/>
              <w:left w:val="dotted" w:sz="4" w:space="0" w:color="auto"/>
              <w:bottom w:val="dotted" w:sz="4" w:space="0" w:color="auto"/>
              <w:right w:val="dotted" w:sz="4" w:space="0" w:color="auto"/>
            </w:tcBorders>
          </w:tcPr>
          <w:p w:rsidR="000A14A1" w:rsidRPr="00016BED" w:rsidRDefault="000A14A1" w:rsidP="003022CB">
            <w:pPr>
              <w:pStyle w:val="naiskr"/>
              <w:spacing w:before="0" w:beforeAutospacing="0" w:after="0" w:afterAutospacing="0"/>
              <w:jc w:val="center"/>
            </w:pPr>
            <w:r w:rsidRPr="00016BED">
              <w:t>0</w:t>
            </w:r>
          </w:p>
        </w:tc>
        <w:tc>
          <w:tcPr>
            <w:tcW w:w="497" w:type="pct"/>
            <w:tcBorders>
              <w:top w:val="dotted" w:sz="4" w:space="0" w:color="auto"/>
              <w:left w:val="dotted" w:sz="4" w:space="0" w:color="auto"/>
              <w:bottom w:val="dotted" w:sz="4" w:space="0" w:color="auto"/>
              <w:right w:val="dotted" w:sz="4" w:space="0" w:color="auto"/>
            </w:tcBorders>
          </w:tcPr>
          <w:p w:rsidR="000A14A1" w:rsidRPr="00016BED" w:rsidRDefault="000A14A1" w:rsidP="003022CB">
            <w:pPr>
              <w:pStyle w:val="naiskr"/>
              <w:spacing w:before="0" w:beforeAutospacing="0" w:after="0" w:afterAutospacing="0"/>
              <w:jc w:val="center"/>
            </w:pPr>
            <w:r w:rsidRPr="00016BED">
              <w:t>0</w:t>
            </w:r>
          </w:p>
        </w:tc>
      </w:tr>
      <w:tr w:rsidR="000A14A1" w:rsidRPr="00016BED" w:rsidTr="0085774C">
        <w:tblPrEx>
          <w:tblBorders>
            <w:top w:val="outset" w:sz="6" w:space="0" w:color="000000"/>
            <w:left w:val="outset" w:sz="6" w:space="0" w:color="000000"/>
            <w:bottom w:val="outset" w:sz="6" w:space="0" w:color="000000"/>
            <w:right w:val="outset" w:sz="6" w:space="0" w:color="000000"/>
          </w:tblBorders>
        </w:tblPrEx>
        <w:trPr>
          <w:trHeight w:val="227"/>
        </w:trPr>
        <w:tc>
          <w:tcPr>
            <w:tcW w:w="1494" w:type="pct"/>
            <w:gridSpan w:val="3"/>
            <w:tcBorders>
              <w:top w:val="dotted" w:sz="4" w:space="0" w:color="auto"/>
              <w:left w:val="dotted" w:sz="4" w:space="0" w:color="auto"/>
              <w:bottom w:val="dotted" w:sz="4" w:space="0" w:color="auto"/>
              <w:right w:val="dotted" w:sz="4" w:space="0" w:color="auto"/>
            </w:tcBorders>
          </w:tcPr>
          <w:p w:rsidR="000A14A1" w:rsidRPr="00016BED" w:rsidRDefault="000A14A1" w:rsidP="003022CB">
            <w:pPr>
              <w:pStyle w:val="naiskr"/>
              <w:spacing w:before="0" w:beforeAutospacing="0" w:after="0" w:afterAutospacing="0"/>
            </w:pPr>
            <w:r w:rsidRPr="00016BED">
              <w:t>2.1. valsts pamatbudžets</w:t>
            </w:r>
          </w:p>
        </w:tc>
        <w:tc>
          <w:tcPr>
            <w:tcW w:w="648" w:type="pct"/>
            <w:tcBorders>
              <w:top w:val="dotted" w:sz="4" w:space="0" w:color="auto"/>
              <w:left w:val="dotted" w:sz="4" w:space="0" w:color="auto"/>
              <w:bottom w:val="dotted" w:sz="4" w:space="0" w:color="auto"/>
              <w:right w:val="dotted" w:sz="4" w:space="0" w:color="auto"/>
            </w:tcBorders>
            <w:vAlign w:val="bottom"/>
          </w:tcPr>
          <w:p w:rsidR="000A14A1" w:rsidRPr="00016BED" w:rsidRDefault="000A14A1" w:rsidP="003022CB">
            <w:pPr>
              <w:pStyle w:val="naiskr"/>
              <w:spacing w:before="0" w:beforeAutospacing="0" w:after="0" w:afterAutospacing="0"/>
              <w:jc w:val="center"/>
            </w:pPr>
            <w:r w:rsidRPr="00016BED">
              <w:t>289,4</w:t>
            </w:r>
          </w:p>
        </w:tc>
        <w:tc>
          <w:tcPr>
            <w:tcW w:w="787" w:type="pct"/>
            <w:gridSpan w:val="2"/>
            <w:tcBorders>
              <w:top w:val="dotted" w:sz="4" w:space="0" w:color="auto"/>
              <w:left w:val="dotted" w:sz="4" w:space="0" w:color="auto"/>
              <w:bottom w:val="dotted" w:sz="4" w:space="0" w:color="auto"/>
              <w:right w:val="dotted" w:sz="4" w:space="0" w:color="auto"/>
            </w:tcBorders>
            <w:vAlign w:val="bottom"/>
          </w:tcPr>
          <w:p w:rsidR="000A14A1" w:rsidRPr="00016BED" w:rsidRDefault="000A14A1" w:rsidP="003022CB">
            <w:pPr>
              <w:pStyle w:val="naiskr"/>
              <w:spacing w:before="0" w:beforeAutospacing="0" w:after="0" w:afterAutospacing="0"/>
              <w:jc w:val="center"/>
            </w:pPr>
            <w:r w:rsidRPr="00016BED">
              <w:t>0</w:t>
            </w:r>
          </w:p>
        </w:tc>
        <w:tc>
          <w:tcPr>
            <w:tcW w:w="859" w:type="pct"/>
            <w:tcBorders>
              <w:top w:val="dotted" w:sz="4" w:space="0" w:color="auto"/>
              <w:left w:val="dotted" w:sz="4" w:space="0" w:color="auto"/>
              <w:bottom w:val="dotted" w:sz="4" w:space="0" w:color="auto"/>
              <w:right w:val="dotted" w:sz="4" w:space="0" w:color="auto"/>
            </w:tcBorders>
            <w:vAlign w:val="bottom"/>
          </w:tcPr>
          <w:p w:rsidR="000A14A1" w:rsidRPr="00016BED" w:rsidRDefault="000A14A1" w:rsidP="003022CB">
            <w:pPr>
              <w:pStyle w:val="naiskr"/>
              <w:spacing w:before="0" w:beforeAutospacing="0" w:after="0" w:afterAutospacing="0"/>
              <w:jc w:val="center"/>
            </w:pPr>
            <w:r w:rsidRPr="00016BED">
              <w:t>0</w:t>
            </w:r>
          </w:p>
        </w:tc>
        <w:tc>
          <w:tcPr>
            <w:tcW w:w="715" w:type="pct"/>
            <w:tcBorders>
              <w:top w:val="dotted" w:sz="4" w:space="0" w:color="auto"/>
              <w:left w:val="dotted" w:sz="4" w:space="0" w:color="auto"/>
              <w:bottom w:val="dotted" w:sz="4" w:space="0" w:color="auto"/>
              <w:right w:val="dotted" w:sz="4" w:space="0" w:color="auto"/>
            </w:tcBorders>
          </w:tcPr>
          <w:p w:rsidR="000A14A1" w:rsidRPr="00016BED" w:rsidRDefault="000A14A1" w:rsidP="003022CB">
            <w:pPr>
              <w:pStyle w:val="naiskr"/>
              <w:spacing w:before="0" w:beforeAutospacing="0" w:after="0" w:afterAutospacing="0"/>
              <w:jc w:val="center"/>
            </w:pPr>
            <w:r w:rsidRPr="00016BED">
              <w:t>0</w:t>
            </w:r>
          </w:p>
        </w:tc>
        <w:tc>
          <w:tcPr>
            <w:tcW w:w="497" w:type="pct"/>
            <w:tcBorders>
              <w:top w:val="dotted" w:sz="4" w:space="0" w:color="auto"/>
              <w:left w:val="dotted" w:sz="4" w:space="0" w:color="auto"/>
              <w:bottom w:val="dotted" w:sz="4" w:space="0" w:color="auto"/>
              <w:right w:val="dotted" w:sz="4" w:space="0" w:color="auto"/>
            </w:tcBorders>
          </w:tcPr>
          <w:p w:rsidR="000A14A1" w:rsidRPr="00016BED" w:rsidRDefault="000A14A1" w:rsidP="003022CB">
            <w:pPr>
              <w:pStyle w:val="naiskr"/>
              <w:spacing w:before="0" w:beforeAutospacing="0" w:after="0" w:afterAutospacing="0"/>
              <w:jc w:val="center"/>
            </w:pPr>
            <w:r w:rsidRPr="00016BED">
              <w:t>0</w:t>
            </w:r>
          </w:p>
        </w:tc>
      </w:tr>
      <w:tr w:rsidR="0055578B" w:rsidRPr="00016BED" w:rsidTr="0085774C">
        <w:tblPrEx>
          <w:tblBorders>
            <w:top w:val="outset" w:sz="6" w:space="0" w:color="000000"/>
            <w:left w:val="outset" w:sz="6" w:space="0" w:color="000000"/>
            <w:bottom w:val="outset" w:sz="6" w:space="0" w:color="000000"/>
            <w:right w:val="outset" w:sz="6" w:space="0" w:color="000000"/>
          </w:tblBorders>
        </w:tblPrEx>
        <w:trPr>
          <w:trHeight w:val="113"/>
        </w:trPr>
        <w:tc>
          <w:tcPr>
            <w:tcW w:w="1494" w:type="pct"/>
            <w:gridSpan w:val="3"/>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pPr>
            <w:r w:rsidRPr="00016BED">
              <w:t>2.2. valsts speciālais budžets</w:t>
            </w:r>
          </w:p>
        </w:tc>
        <w:tc>
          <w:tcPr>
            <w:tcW w:w="648" w:type="pct"/>
            <w:tcBorders>
              <w:top w:val="dotted" w:sz="4" w:space="0" w:color="auto"/>
              <w:left w:val="dotted" w:sz="4" w:space="0" w:color="auto"/>
              <w:bottom w:val="dotted" w:sz="4" w:space="0" w:color="auto"/>
              <w:right w:val="dotted" w:sz="4" w:space="0" w:color="auto"/>
            </w:tcBorders>
            <w:vAlign w:val="bottom"/>
          </w:tcPr>
          <w:p w:rsidR="0055578B" w:rsidRPr="00016BED" w:rsidRDefault="0055578B" w:rsidP="003022CB">
            <w:pPr>
              <w:pStyle w:val="naiskr"/>
              <w:spacing w:before="0" w:beforeAutospacing="0" w:after="0" w:afterAutospacing="0"/>
              <w:jc w:val="center"/>
            </w:pPr>
            <w:r w:rsidRPr="00016BED">
              <w:t>0</w:t>
            </w:r>
          </w:p>
        </w:tc>
        <w:tc>
          <w:tcPr>
            <w:tcW w:w="787" w:type="pct"/>
            <w:gridSpan w:val="2"/>
            <w:tcBorders>
              <w:top w:val="dotted" w:sz="4" w:space="0" w:color="auto"/>
              <w:left w:val="dotted" w:sz="4" w:space="0" w:color="auto"/>
              <w:bottom w:val="dotted" w:sz="4" w:space="0" w:color="auto"/>
              <w:right w:val="dotted" w:sz="4" w:space="0" w:color="auto"/>
            </w:tcBorders>
            <w:vAlign w:val="bottom"/>
          </w:tcPr>
          <w:p w:rsidR="0055578B" w:rsidRPr="00016BED" w:rsidRDefault="0055578B" w:rsidP="003022CB">
            <w:pPr>
              <w:pStyle w:val="naiskr"/>
              <w:spacing w:before="0" w:beforeAutospacing="0" w:after="0" w:afterAutospacing="0"/>
              <w:jc w:val="center"/>
            </w:pPr>
            <w:r w:rsidRPr="00016BED">
              <w:t>0</w:t>
            </w:r>
          </w:p>
        </w:tc>
        <w:tc>
          <w:tcPr>
            <w:tcW w:w="859" w:type="pct"/>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jc w:val="center"/>
            </w:pPr>
            <w:r w:rsidRPr="00016BED">
              <w:t>0</w:t>
            </w:r>
          </w:p>
        </w:tc>
        <w:tc>
          <w:tcPr>
            <w:tcW w:w="715" w:type="pct"/>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jc w:val="center"/>
            </w:pPr>
            <w:r w:rsidRPr="00016BED">
              <w:t>0</w:t>
            </w:r>
          </w:p>
        </w:tc>
        <w:tc>
          <w:tcPr>
            <w:tcW w:w="497" w:type="pct"/>
            <w:tcBorders>
              <w:top w:val="dotted" w:sz="4" w:space="0" w:color="auto"/>
              <w:left w:val="dotted" w:sz="4" w:space="0" w:color="auto"/>
              <w:bottom w:val="dotted" w:sz="4" w:space="0" w:color="auto"/>
              <w:right w:val="dotted" w:sz="4" w:space="0" w:color="auto"/>
            </w:tcBorders>
            <w:vAlign w:val="bottom"/>
          </w:tcPr>
          <w:p w:rsidR="0055578B" w:rsidRPr="00016BED" w:rsidRDefault="0055578B" w:rsidP="003022CB">
            <w:pPr>
              <w:pStyle w:val="naiskr"/>
              <w:spacing w:before="0" w:beforeAutospacing="0" w:after="0" w:afterAutospacing="0"/>
              <w:jc w:val="center"/>
            </w:pPr>
            <w:r w:rsidRPr="00016BED">
              <w:t>0</w:t>
            </w:r>
          </w:p>
        </w:tc>
      </w:tr>
      <w:tr w:rsidR="0055578B" w:rsidRPr="00016BED" w:rsidTr="0085774C">
        <w:tblPrEx>
          <w:tblBorders>
            <w:top w:val="outset" w:sz="6" w:space="0" w:color="000000"/>
            <w:left w:val="outset" w:sz="6" w:space="0" w:color="000000"/>
            <w:bottom w:val="outset" w:sz="6" w:space="0" w:color="000000"/>
            <w:right w:val="outset" w:sz="6" w:space="0" w:color="000000"/>
          </w:tblBorders>
        </w:tblPrEx>
        <w:trPr>
          <w:trHeight w:val="113"/>
        </w:trPr>
        <w:tc>
          <w:tcPr>
            <w:tcW w:w="1494" w:type="pct"/>
            <w:gridSpan w:val="3"/>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pPr>
            <w:r w:rsidRPr="00016BED">
              <w:t>2.3. pašvaldību budžets</w:t>
            </w:r>
          </w:p>
        </w:tc>
        <w:tc>
          <w:tcPr>
            <w:tcW w:w="648" w:type="pct"/>
            <w:tcBorders>
              <w:top w:val="dotted" w:sz="4" w:space="0" w:color="auto"/>
              <w:left w:val="dotted" w:sz="4" w:space="0" w:color="auto"/>
              <w:bottom w:val="dotted" w:sz="4" w:space="0" w:color="auto"/>
              <w:right w:val="dotted" w:sz="4" w:space="0" w:color="auto"/>
            </w:tcBorders>
            <w:vAlign w:val="bottom"/>
          </w:tcPr>
          <w:p w:rsidR="0055578B" w:rsidRPr="00016BED" w:rsidRDefault="0055578B" w:rsidP="003022CB">
            <w:pPr>
              <w:pStyle w:val="naiskr"/>
              <w:spacing w:before="0" w:beforeAutospacing="0" w:after="0" w:afterAutospacing="0"/>
              <w:jc w:val="center"/>
            </w:pPr>
            <w:r w:rsidRPr="00016BED">
              <w:t>0</w:t>
            </w:r>
          </w:p>
        </w:tc>
        <w:tc>
          <w:tcPr>
            <w:tcW w:w="787" w:type="pct"/>
            <w:gridSpan w:val="2"/>
            <w:tcBorders>
              <w:top w:val="dotted" w:sz="4" w:space="0" w:color="auto"/>
              <w:left w:val="dotted" w:sz="4" w:space="0" w:color="auto"/>
              <w:bottom w:val="dotted" w:sz="4" w:space="0" w:color="auto"/>
              <w:right w:val="dotted" w:sz="4" w:space="0" w:color="auto"/>
            </w:tcBorders>
            <w:vAlign w:val="bottom"/>
          </w:tcPr>
          <w:p w:rsidR="0055578B" w:rsidRPr="00016BED" w:rsidRDefault="0055578B" w:rsidP="003022CB">
            <w:pPr>
              <w:pStyle w:val="naiskr"/>
              <w:spacing w:before="0" w:beforeAutospacing="0" w:after="0" w:afterAutospacing="0"/>
              <w:jc w:val="center"/>
            </w:pPr>
            <w:r w:rsidRPr="00016BED">
              <w:t>0</w:t>
            </w:r>
          </w:p>
        </w:tc>
        <w:tc>
          <w:tcPr>
            <w:tcW w:w="859" w:type="pct"/>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jc w:val="center"/>
            </w:pPr>
            <w:r w:rsidRPr="00016BED">
              <w:t>0</w:t>
            </w:r>
          </w:p>
        </w:tc>
        <w:tc>
          <w:tcPr>
            <w:tcW w:w="715" w:type="pct"/>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jc w:val="center"/>
            </w:pPr>
            <w:r w:rsidRPr="00016BED">
              <w:t>0</w:t>
            </w:r>
          </w:p>
        </w:tc>
        <w:tc>
          <w:tcPr>
            <w:tcW w:w="497" w:type="pct"/>
            <w:tcBorders>
              <w:top w:val="dotted" w:sz="4" w:space="0" w:color="auto"/>
              <w:left w:val="dotted" w:sz="4" w:space="0" w:color="auto"/>
              <w:bottom w:val="dotted" w:sz="4" w:space="0" w:color="auto"/>
              <w:right w:val="dotted" w:sz="4" w:space="0" w:color="auto"/>
            </w:tcBorders>
            <w:vAlign w:val="bottom"/>
          </w:tcPr>
          <w:p w:rsidR="0055578B" w:rsidRPr="00016BED" w:rsidRDefault="0055578B" w:rsidP="003022CB">
            <w:pPr>
              <w:pStyle w:val="naiskr"/>
              <w:spacing w:before="0" w:beforeAutospacing="0" w:after="0" w:afterAutospacing="0"/>
              <w:jc w:val="center"/>
            </w:pPr>
            <w:r w:rsidRPr="00016BED">
              <w:t>0</w:t>
            </w:r>
          </w:p>
        </w:tc>
      </w:tr>
      <w:tr w:rsidR="0055578B" w:rsidRPr="00016BED" w:rsidTr="0085774C">
        <w:tblPrEx>
          <w:tblBorders>
            <w:top w:val="outset" w:sz="6" w:space="0" w:color="000000"/>
            <w:left w:val="outset" w:sz="6" w:space="0" w:color="000000"/>
            <w:bottom w:val="outset" w:sz="6" w:space="0" w:color="000000"/>
            <w:right w:val="outset" w:sz="6" w:space="0" w:color="000000"/>
          </w:tblBorders>
        </w:tblPrEx>
        <w:trPr>
          <w:trHeight w:val="113"/>
        </w:trPr>
        <w:tc>
          <w:tcPr>
            <w:tcW w:w="1494" w:type="pct"/>
            <w:gridSpan w:val="3"/>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pPr>
            <w:r w:rsidRPr="00016BED">
              <w:t>3. Finansiālā ietekme:</w:t>
            </w:r>
          </w:p>
        </w:tc>
        <w:tc>
          <w:tcPr>
            <w:tcW w:w="648" w:type="pct"/>
            <w:tcBorders>
              <w:top w:val="dotted" w:sz="4" w:space="0" w:color="auto"/>
              <w:left w:val="dotted" w:sz="4" w:space="0" w:color="auto"/>
              <w:bottom w:val="dotted" w:sz="4" w:space="0" w:color="auto"/>
              <w:right w:val="dotted" w:sz="4" w:space="0" w:color="auto"/>
            </w:tcBorders>
            <w:vAlign w:val="bottom"/>
          </w:tcPr>
          <w:p w:rsidR="0055578B" w:rsidRPr="00016BED" w:rsidRDefault="0055578B" w:rsidP="003022CB">
            <w:pPr>
              <w:pStyle w:val="naiskr"/>
              <w:spacing w:before="0" w:beforeAutospacing="0" w:after="0" w:afterAutospacing="0"/>
              <w:jc w:val="center"/>
            </w:pPr>
            <w:r w:rsidRPr="00016BED">
              <w:t>0</w:t>
            </w:r>
          </w:p>
        </w:tc>
        <w:tc>
          <w:tcPr>
            <w:tcW w:w="787" w:type="pct"/>
            <w:gridSpan w:val="2"/>
            <w:tcBorders>
              <w:top w:val="dotted" w:sz="4" w:space="0" w:color="auto"/>
              <w:left w:val="dotted" w:sz="4" w:space="0" w:color="auto"/>
              <w:bottom w:val="dotted" w:sz="4" w:space="0" w:color="auto"/>
              <w:right w:val="dotted" w:sz="4" w:space="0" w:color="auto"/>
            </w:tcBorders>
            <w:vAlign w:val="bottom"/>
          </w:tcPr>
          <w:p w:rsidR="0055578B" w:rsidRPr="00016BED" w:rsidRDefault="0055578B" w:rsidP="003022CB">
            <w:pPr>
              <w:pStyle w:val="naiskr"/>
              <w:spacing w:before="0" w:beforeAutospacing="0" w:after="0" w:afterAutospacing="0"/>
              <w:jc w:val="center"/>
            </w:pPr>
            <w:r w:rsidRPr="00016BED">
              <w:t>0</w:t>
            </w:r>
          </w:p>
        </w:tc>
        <w:tc>
          <w:tcPr>
            <w:tcW w:w="859" w:type="pct"/>
            <w:tcBorders>
              <w:top w:val="dotted" w:sz="4" w:space="0" w:color="auto"/>
              <w:left w:val="dotted" w:sz="4" w:space="0" w:color="auto"/>
              <w:bottom w:val="dotted" w:sz="4" w:space="0" w:color="auto"/>
              <w:right w:val="dotted" w:sz="4" w:space="0" w:color="auto"/>
            </w:tcBorders>
            <w:vAlign w:val="bottom"/>
          </w:tcPr>
          <w:p w:rsidR="0055578B" w:rsidRPr="00016BED" w:rsidRDefault="0055578B" w:rsidP="003022CB">
            <w:pPr>
              <w:pStyle w:val="naiskr"/>
              <w:spacing w:before="0" w:beforeAutospacing="0" w:after="0" w:afterAutospacing="0"/>
              <w:jc w:val="center"/>
            </w:pPr>
            <w:r w:rsidRPr="00016BED">
              <w:t>0</w:t>
            </w:r>
          </w:p>
        </w:tc>
        <w:tc>
          <w:tcPr>
            <w:tcW w:w="715" w:type="pct"/>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jc w:val="center"/>
            </w:pPr>
            <w:r w:rsidRPr="00016BED">
              <w:t>0</w:t>
            </w:r>
          </w:p>
        </w:tc>
        <w:tc>
          <w:tcPr>
            <w:tcW w:w="497" w:type="pct"/>
            <w:tcBorders>
              <w:top w:val="dotted" w:sz="4" w:space="0" w:color="auto"/>
              <w:left w:val="dotted" w:sz="4" w:space="0" w:color="auto"/>
              <w:bottom w:val="dotted" w:sz="4" w:space="0" w:color="auto"/>
              <w:right w:val="dotted" w:sz="4" w:space="0" w:color="auto"/>
            </w:tcBorders>
          </w:tcPr>
          <w:p w:rsidR="0055578B" w:rsidRPr="00016BED" w:rsidRDefault="00D75BB2" w:rsidP="003022CB">
            <w:pPr>
              <w:pStyle w:val="naiskr"/>
              <w:spacing w:before="0" w:beforeAutospacing="0" w:after="0" w:afterAutospacing="0"/>
              <w:jc w:val="center"/>
            </w:pPr>
            <w:r w:rsidRPr="00016BED">
              <w:t>0</w:t>
            </w:r>
          </w:p>
        </w:tc>
      </w:tr>
      <w:tr w:rsidR="0055578B" w:rsidRPr="00016BED" w:rsidTr="0085774C">
        <w:tblPrEx>
          <w:tblBorders>
            <w:top w:val="outset" w:sz="6" w:space="0" w:color="000000"/>
            <w:left w:val="outset" w:sz="6" w:space="0" w:color="000000"/>
            <w:bottom w:val="outset" w:sz="6" w:space="0" w:color="000000"/>
            <w:right w:val="outset" w:sz="6" w:space="0" w:color="000000"/>
          </w:tblBorders>
        </w:tblPrEx>
        <w:trPr>
          <w:trHeight w:val="113"/>
        </w:trPr>
        <w:tc>
          <w:tcPr>
            <w:tcW w:w="1494" w:type="pct"/>
            <w:gridSpan w:val="3"/>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pPr>
            <w:r w:rsidRPr="00016BED">
              <w:t>3.1. valsts pamatbudžets</w:t>
            </w:r>
          </w:p>
        </w:tc>
        <w:tc>
          <w:tcPr>
            <w:tcW w:w="648" w:type="pct"/>
            <w:tcBorders>
              <w:top w:val="dotted" w:sz="4" w:space="0" w:color="auto"/>
              <w:left w:val="dotted" w:sz="4" w:space="0" w:color="auto"/>
              <w:bottom w:val="dotted" w:sz="4" w:space="0" w:color="auto"/>
              <w:right w:val="dotted" w:sz="4" w:space="0" w:color="auto"/>
            </w:tcBorders>
            <w:vAlign w:val="bottom"/>
          </w:tcPr>
          <w:p w:rsidR="0055578B" w:rsidRPr="00016BED" w:rsidRDefault="0055578B" w:rsidP="003022CB">
            <w:pPr>
              <w:pStyle w:val="naiskr"/>
              <w:spacing w:before="0" w:beforeAutospacing="0" w:after="0" w:afterAutospacing="0"/>
              <w:jc w:val="center"/>
            </w:pPr>
            <w:r w:rsidRPr="00016BED">
              <w:t>0</w:t>
            </w:r>
          </w:p>
        </w:tc>
        <w:tc>
          <w:tcPr>
            <w:tcW w:w="787" w:type="pct"/>
            <w:gridSpan w:val="2"/>
            <w:tcBorders>
              <w:top w:val="dotted" w:sz="4" w:space="0" w:color="auto"/>
              <w:left w:val="dotted" w:sz="4" w:space="0" w:color="auto"/>
              <w:bottom w:val="dotted" w:sz="4" w:space="0" w:color="auto"/>
              <w:right w:val="dotted" w:sz="4" w:space="0" w:color="auto"/>
            </w:tcBorders>
            <w:vAlign w:val="bottom"/>
          </w:tcPr>
          <w:p w:rsidR="0055578B" w:rsidRPr="00016BED" w:rsidRDefault="0055578B" w:rsidP="003022CB">
            <w:pPr>
              <w:pStyle w:val="naiskr"/>
              <w:spacing w:before="0" w:beforeAutospacing="0" w:after="0" w:afterAutospacing="0"/>
              <w:jc w:val="center"/>
            </w:pPr>
            <w:r w:rsidRPr="00016BED">
              <w:t>0</w:t>
            </w:r>
          </w:p>
        </w:tc>
        <w:tc>
          <w:tcPr>
            <w:tcW w:w="859" w:type="pct"/>
            <w:tcBorders>
              <w:top w:val="dotted" w:sz="4" w:space="0" w:color="auto"/>
              <w:left w:val="dotted" w:sz="4" w:space="0" w:color="auto"/>
              <w:bottom w:val="dotted" w:sz="4" w:space="0" w:color="auto"/>
              <w:right w:val="dotted" w:sz="4" w:space="0" w:color="auto"/>
            </w:tcBorders>
            <w:vAlign w:val="bottom"/>
          </w:tcPr>
          <w:p w:rsidR="0055578B" w:rsidRPr="00016BED" w:rsidRDefault="0055578B" w:rsidP="003022CB">
            <w:pPr>
              <w:pStyle w:val="naiskr"/>
              <w:spacing w:before="0" w:beforeAutospacing="0" w:after="0" w:afterAutospacing="0"/>
              <w:jc w:val="center"/>
            </w:pPr>
            <w:r w:rsidRPr="00016BED">
              <w:t>0</w:t>
            </w:r>
          </w:p>
        </w:tc>
        <w:tc>
          <w:tcPr>
            <w:tcW w:w="715" w:type="pct"/>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jc w:val="center"/>
            </w:pPr>
            <w:r w:rsidRPr="00016BED">
              <w:t>0</w:t>
            </w:r>
          </w:p>
        </w:tc>
        <w:tc>
          <w:tcPr>
            <w:tcW w:w="497" w:type="pct"/>
            <w:tcBorders>
              <w:top w:val="dotted" w:sz="4" w:space="0" w:color="auto"/>
              <w:left w:val="dotted" w:sz="4" w:space="0" w:color="auto"/>
              <w:bottom w:val="dotted" w:sz="4" w:space="0" w:color="auto"/>
              <w:right w:val="dotted" w:sz="4" w:space="0" w:color="auto"/>
            </w:tcBorders>
          </w:tcPr>
          <w:p w:rsidR="0055578B" w:rsidRPr="00016BED" w:rsidRDefault="00D75BB2" w:rsidP="003022CB">
            <w:pPr>
              <w:pStyle w:val="naiskr"/>
              <w:spacing w:before="0" w:beforeAutospacing="0" w:after="0" w:afterAutospacing="0"/>
              <w:jc w:val="center"/>
            </w:pPr>
            <w:r w:rsidRPr="00016BED">
              <w:t>0</w:t>
            </w:r>
          </w:p>
        </w:tc>
      </w:tr>
      <w:tr w:rsidR="0055578B" w:rsidRPr="00016BED" w:rsidTr="0085774C">
        <w:tblPrEx>
          <w:tblBorders>
            <w:top w:val="outset" w:sz="6" w:space="0" w:color="000000"/>
            <w:left w:val="outset" w:sz="6" w:space="0" w:color="000000"/>
            <w:bottom w:val="outset" w:sz="6" w:space="0" w:color="000000"/>
            <w:right w:val="outset" w:sz="6" w:space="0" w:color="000000"/>
          </w:tblBorders>
        </w:tblPrEx>
        <w:trPr>
          <w:trHeight w:val="113"/>
        </w:trPr>
        <w:tc>
          <w:tcPr>
            <w:tcW w:w="1494" w:type="pct"/>
            <w:gridSpan w:val="3"/>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pPr>
            <w:r w:rsidRPr="00016BED">
              <w:t>3.2. speciālais budžets</w:t>
            </w:r>
          </w:p>
        </w:tc>
        <w:tc>
          <w:tcPr>
            <w:tcW w:w="648" w:type="pct"/>
            <w:tcBorders>
              <w:top w:val="dotted" w:sz="4" w:space="0" w:color="auto"/>
              <w:left w:val="dotted" w:sz="4" w:space="0" w:color="auto"/>
              <w:bottom w:val="dotted" w:sz="4" w:space="0" w:color="auto"/>
              <w:right w:val="dotted" w:sz="4" w:space="0" w:color="auto"/>
            </w:tcBorders>
            <w:vAlign w:val="bottom"/>
          </w:tcPr>
          <w:p w:rsidR="0055578B" w:rsidRPr="00016BED" w:rsidRDefault="0055578B" w:rsidP="003022CB">
            <w:pPr>
              <w:pStyle w:val="naiskr"/>
              <w:spacing w:before="0" w:beforeAutospacing="0" w:after="0" w:afterAutospacing="0"/>
              <w:jc w:val="center"/>
            </w:pPr>
            <w:r w:rsidRPr="00016BED">
              <w:t>0</w:t>
            </w:r>
          </w:p>
        </w:tc>
        <w:tc>
          <w:tcPr>
            <w:tcW w:w="787" w:type="pct"/>
            <w:gridSpan w:val="2"/>
            <w:tcBorders>
              <w:top w:val="dotted" w:sz="4" w:space="0" w:color="auto"/>
              <w:left w:val="dotted" w:sz="4" w:space="0" w:color="auto"/>
              <w:bottom w:val="dotted" w:sz="4" w:space="0" w:color="auto"/>
              <w:right w:val="dotted" w:sz="4" w:space="0" w:color="auto"/>
            </w:tcBorders>
            <w:vAlign w:val="bottom"/>
          </w:tcPr>
          <w:p w:rsidR="0055578B" w:rsidRPr="00016BED" w:rsidRDefault="0055578B" w:rsidP="003022CB">
            <w:pPr>
              <w:pStyle w:val="naiskr"/>
              <w:spacing w:before="0" w:beforeAutospacing="0" w:after="0" w:afterAutospacing="0"/>
              <w:jc w:val="center"/>
            </w:pPr>
            <w:r w:rsidRPr="00016BED">
              <w:t>0</w:t>
            </w:r>
          </w:p>
        </w:tc>
        <w:tc>
          <w:tcPr>
            <w:tcW w:w="859" w:type="pct"/>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jc w:val="center"/>
            </w:pPr>
            <w:r w:rsidRPr="00016BED">
              <w:t>0</w:t>
            </w:r>
          </w:p>
        </w:tc>
        <w:tc>
          <w:tcPr>
            <w:tcW w:w="715" w:type="pct"/>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jc w:val="center"/>
            </w:pPr>
            <w:r w:rsidRPr="00016BED">
              <w:t>0</w:t>
            </w:r>
          </w:p>
        </w:tc>
        <w:tc>
          <w:tcPr>
            <w:tcW w:w="497" w:type="pct"/>
            <w:tcBorders>
              <w:top w:val="dotted" w:sz="4" w:space="0" w:color="auto"/>
              <w:left w:val="dotted" w:sz="4" w:space="0" w:color="auto"/>
              <w:bottom w:val="dotted" w:sz="4" w:space="0" w:color="auto"/>
              <w:right w:val="dotted" w:sz="4" w:space="0" w:color="auto"/>
            </w:tcBorders>
            <w:vAlign w:val="bottom"/>
          </w:tcPr>
          <w:p w:rsidR="0055578B" w:rsidRPr="00016BED" w:rsidRDefault="0055578B" w:rsidP="003022CB">
            <w:pPr>
              <w:pStyle w:val="naiskr"/>
              <w:spacing w:before="0" w:beforeAutospacing="0" w:after="0" w:afterAutospacing="0"/>
              <w:jc w:val="center"/>
            </w:pPr>
            <w:r w:rsidRPr="00016BED">
              <w:t>0</w:t>
            </w:r>
          </w:p>
        </w:tc>
      </w:tr>
      <w:tr w:rsidR="0055578B" w:rsidRPr="00016BED" w:rsidTr="0085774C">
        <w:tblPrEx>
          <w:tblBorders>
            <w:top w:val="outset" w:sz="6" w:space="0" w:color="000000"/>
            <w:left w:val="outset" w:sz="6" w:space="0" w:color="000000"/>
            <w:bottom w:val="outset" w:sz="6" w:space="0" w:color="000000"/>
            <w:right w:val="outset" w:sz="6" w:space="0" w:color="000000"/>
          </w:tblBorders>
        </w:tblPrEx>
        <w:trPr>
          <w:trHeight w:val="113"/>
        </w:trPr>
        <w:tc>
          <w:tcPr>
            <w:tcW w:w="1494" w:type="pct"/>
            <w:gridSpan w:val="3"/>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pPr>
            <w:r w:rsidRPr="00016BED">
              <w:t>3.3. pašvaldību budžets</w:t>
            </w:r>
          </w:p>
        </w:tc>
        <w:tc>
          <w:tcPr>
            <w:tcW w:w="648" w:type="pct"/>
            <w:tcBorders>
              <w:top w:val="dotted" w:sz="4" w:space="0" w:color="auto"/>
              <w:left w:val="dotted" w:sz="4" w:space="0" w:color="auto"/>
              <w:bottom w:val="dotted" w:sz="4" w:space="0" w:color="auto"/>
              <w:right w:val="dotted" w:sz="4" w:space="0" w:color="auto"/>
            </w:tcBorders>
            <w:vAlign w:val="bottom"/>
          </w:tcPr>
          <w:p w:rsidR="0055578B" w:rsidRPr="00016BED" w:rsidRDefault="0055578B" w:rsidP="003022CB">
            <w:pPr>
              <w:pStyle w:val="naiskr"/>
              <w:spacing w:before="0" w:beforeAutospacing="0" w:after="0" w:afterAutospacing="0"/>
              <w:jc w:val="center"/>
            </w:pPr>
            <w:r w:rsidRPr="00016BED">
              <w:t>0</w:t>
            </w:r>
          </w:p>
        </w:tc>
        <w:tc>
          <w:tcPr>
            <w:tcW w:w="787" w:type="pct"/>
            <w:gridSpan w:val="2"/>
            <w:tcBorders>
              <w:top w:val="dotted" w:sz="4" w:space="0" w:color="auto"/>
              <w:left w:val="dotted" w:sz="4" w:space="0" w:color="auto"/>
              <w:bottom w:val="dotted" w:sz="4" w:space="0" w:color="auto"/>
              <w:right w:val="dotted" w:sz="4" w:space="0" w:color="auto"/>
            </w:tcBorders>
            <w:vAlign w:val="bottom"/>
          </w:tcPr>
          <w:p w:rsidR="0055578B" w:rsidRPr="00016BED" w:rsidRDefault="0055578B" w:rsidP="003022CB">
            <w:pPr>
              <w:pStyle w:val="naiskr"/>
              <w:spacing w:before="0" w:beforeAutospacing="0" w:after="0" w:afterAutospacing="0"/>
              <w:jc w:val="center"/>
            </w:pPr>
            <w:r w:rsidRPr="00016BED">
              <w:t>0</w:t>
            </w:r>
          </w:p>
        </w:tc>
        <w:tc>
          <w:tcPr>
            <w:tcW w:w="859" w:type="pct"/>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jc w:val="center"/>
            </w:pPr>
            <w:r w:rsidRPr="00016BED">
              <w:t>0</w:t>
            </w:r>
          </w:p>
        </w:tc>
        <w:tc>
          <w:tcPr>
            <w:tcW w:w="715" w:type="pct"/>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jc w:val="center"/>
            </w:pPr>
            <w:r w:rsidRPr="00016BED">
              <w:t>0</w:t>
            </w:r>
          </w:p>
        </w:tc>
        <w:tc>
          <w:tcPr>
            <w:tcW w:w="497" w:type="pct"/>
            <w:tcBorders>
              <w:top w:val="dotted" w:sz="4" w:space="0" w:color="auto"/>
              <w:left w:val="dotted" w:sz="4" w:space="0" w:color="auto"/>
              <w:bottom w:val="dotted" w:sz="4" w:space="0" w:color="auto"/>
              <w:right w:val="dotted" w:sz="4" w:space="0" w:color="auto"/>
            </w:tcBorders>
            <w:vAlign w:val="bottom"/>
          </w:tcPr>
          <w:p w:rsidR="0055578B" w:rsidRPr="00016BED" w:rsidRDefault="0055578B" w:rsidP="003022CB">
            <w:pPr>
              <w:pStyle w:val="naiskr"/>
              <w:spacing w:before="0" w:beforeAutospacing="0" w:after="0" w:afterAutospacing="0"/>
              <w:jc w:val="center"/>
            </w:pPr>
            <w:r w:rsidRPr="00016BED">
              <w:t>0</w:t>
            </w:r>
          </w:p>
        </w:tc>
      </w:tr>
      <w:tr w:rsidR="0055578B" w:rsidRPr="00016BED" w:rsidTr="0085774C">
        <w:tblPrEx>
          <w:tblBorders>
            <w:top w:val="outset" w:sz="6" w:space="0" w:color="000000"/>
            <w:left w:val="outset" w:sz="6" w:space="0" w:color="000000"/>
            <w:bottom w:val="outset" w:sz="6" w:space="0" w:color="000000"/>
            <w:right w:val="outset" w:sz="6" w:space="0" w:color="000000"/>
          </w:tblBorders>
        </w:tblPrEx>
        <w:trPr>
          <w:trHeight w:val="113"/>
        </w:trPr>
        <w:tc>
          <w:tcPr>
            <w:tcW w:w="1494" w:type="pct"/>
            <w:gridSpan w:val="3"/>
            <w:vMerge w:val="restart"/>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pPr>
            <w:r w:rsidRPr="00016BED">
              <w:t>4. Finanšu līdzekļi papildu izdevumu finansēšanai (kompensējošu izdevumu samazinājumu norāda ar "+" zīmi)</w:t>
            </w:r>
          </w:p>
        </w:tc>
        <w:tc>
          <w:tcPr>
            <w:tcW w:w="648" w:type="pct"/>
            <w:vMerge w:val="restart"/>
            <w:tcBorders>
              <w:top w:val="dotted" w:sz="4" w:space="0" w:color="auto"/>
              <w:left w:val="dotted" w:sz="4" w:space="0" w:color="auto"/>
              <w:bottom w:val="dotted" w:sz="4" w:space="0" w:color="auto"/>
              <w:right w:val="dotted" w:sz="4" w:space="0" w:color="auto"/>
            </w:tcBorders>
            <w:vAlign w:val="bottom"/>
          </w:tcPr>
          <w:p w:rsidR="0055578B" w:rsidRPr="00016BED" w:rsidRDefault="0055578B" w:rsidP="003022CB">
            <w:pPr>
              <w:pStyle w:val="naiskr"/>
              <w:spacing w:before="0" w:beforeAutospacing="0" w:after="0" w:afterAutospacing="0"/>
              <w:jc w:val="center"/>
            </w:pPr>
            <w:r w:rsidRPr="00016BED">
              <w:t>X</w:t>
            </w:r>
          </w:p>
        </w:tc>
        <w:tc>
          <w:tcPr>
            <w:tcW w:w="787" w:type="pct"/>
            <w:gridSpan w:val="2"/>
            <w:tcBorders>
              <w:top w:val="dotted" w:sz="4" w:space="0" w:color="auto"/>
              <w:left w:val="dotted" w:sz="4" w:space="0" w:color="auto"/>
              <w:bottom w:val="dotted" w:sz="4" w:space="0" w:color="auto"/>
              <w:right w:val="dotted" w:sz="4" w:space="0" w:color="auto"/>
            </w:tcBorders>
            <w:vAlign w:val="bottom"/>
          </w:tcPr>
          <w:p w:rsidR="0055578B" w:rsidRPr="00016BED" w:rsidRDefault="0055578B" w:rsidP="003022CB">
            <w:pPr>
              <w:pStyle w:val="naiskr"/>
              <w:spacing w:before="0" w:beforeAutospacing="0" w:after="0" w:afterAutospacing="0"/>
              <w:jc w:val="center"/>
            </w:pPr>
            <w:r w:rsidRPr="00016BED">
              <w:t>0</w:t>
            </w:r>
          </w:p>
        </w:tc>
        <w:tc>
          <w:tcPr>
            <w:tcW w:w="859" w:type="pct"/>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jc w:val="center"/>
            </w:pPr>
            <w:r w:rsidRPr="00016BED">
              <w:t>0</w:t>
            </w:r>
          </w:p>
        </w:tc>
        <w:tc>
          <w:tcPr>
            <w:tcW w:w="715" w:type="pct"/>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jc w:val="center"/>
            </w:pPr>
            <w:r w:rsidRPr="00016BED">
              <w:t>0</w:t>
            </w:r>
          </w:p>
        </w:tc>
        <w:tc>
          <w:tcPr>
            <w:tcW w:w="497" w:type="pct"/>
            <w:tcBorders>
              <w:top w:val="dotted" w:sz="4" w:space="0" w:color="auto"/>
              <w:left w:val="dotted" w:sz="4" w:space="0" w:color="auto"/>
              <w:bottom w:val="dotted" w:sz="4" w:space="0" w:color="auto"/>
              <w:right w:val="dotted" w:sz="4" w:space="0" w:color="auto"/>
            </w:tcBorders>
            <w:vAlign w:val="bottom"/>
          </w:tcPr>
          <w:p w:rsidR="0055578B" w:rsidRPr="00016BED" w:rsidRDefault="0055578B" w:rsidP="003022CB">
            <w:pPr>
              <w:pStyle w:val="naiskr"/>
              <w:spacing w:before="0" w:beforeAutospacing="0" w:after="0" w:afterAutospacing="0"/>
              <w:jc w:val="center"/>
            </w:pPr>
            <w:r w:rsidRPr="00016BED">
              <w:t>0</w:t>
            </w:r>
          </w:p>
        </w:tc>
      </w:tr>
      <w:tr w:rsidR="0055578B" w:rsidRPr="00016BED" w:rsidTr="0085774C">
        <w:tblPrEx>
          <w:tblBorders>
            <w:top w:val="outset" w:sz="6" w:space="0" w:color="000000"/>
            <w:left w:val="outset" w:sz="6" w:space="0" w:color="000000"/>
            <w:bottom w:val="outset" w:sz="6" w:space="0" w:color="000000"/>
            <w:right w:val="outset" w:sz="6" w:space="0" w:color="000000"/>
          </w:tblBorders>
        </w:tblPrEx>
        <w:trPr>
          <w:trHeight w:val="113"/>
        </w:trPr>
        <w:tc>
          <w:tcPr>
            <w:tcW w:w="1494" w:type="pct"/>
            <w:gridSpan w:val="3"/>
            <w:vMerge/>
            <w:tcBorders>
              <w:top w:val="dotted" w:sz="4" w:space="0" w:color="auto"/>
              <w:left w:val="dotted" w:sz="4" w:space="0" w:color="auto"/>
              <w:bottom w:val="dotted" w:sz="4" w:space="0" w:color="auto"/>
              <w:right w:val="dotted" w:sz="4" w:space="0" w:color="auto"/>
            </w:tcBorders>
            <w:vAlign w:val="center"/>
          </w:tcPr>
          <w:p w:rsidR="0055578B" w:rsidRPr="00016BED" w:rsidRDefault="0055578B" w:rsidP="003022CB">
            <w:pPr>
              <w:pStyle w:val="naiskr"/>
              <w:spacing w:before="0" w:beforeAutospacing="0" w:after="0" w:afterAutospacing="0"/>
            </w:pPr>
          </w:p>
        </w:tc>
        <w:tc>
          <w:tcPr>
            <w:tcW w:w="648" w:type="pct"/>
            <w:vMerge/>
            <w:tcBorders>
              <w:top w:val="dotted" w:sz="4" w:space="0" w:color="auto"/>
              <w:left w:val="dotted" w:sz="4" w:space="0" w:color="auto"/>
              <w:bottom w:val="dotted" w:sz="4" w:space="0" w:color="auto"/>
              <w:right w:val="dotted" w:sz="4" w:space="0" w:color="auto"/>
            </w:tcBorders>
            <w:vAlign w:val="center"/>
          </w:tcPr>
          <w:p w:rsidR="0055578B" w:rsidRPr="00016BED" w:rsidRDefault="0055578B" w:rsidP="003022CB">
            <w:pPr>
              <w:pStyle w:val="naiskr"/>
              <w:spacing w:before="0" w:beforeAutospacing="0" w:after="0" w:afterAutospacing="0"/>
              <w:jc w:val="center"/>
            </w:pPr>
          </w:p>
        </w:tc>
        <w:tc>
          <w:tcPr>
            <w:tcW w:w="787" w:type="pct"/>
            <w:gridSpan w:val="2"/>
            <w:tcBorders>
              <w:top w:val="dotted" w:sz="4" w:space="0" w:color="auto"/>
              <w:left w:val="dotted" w:sz="4" w:space="0" w:color="auto"/>
              <w:bottom w:val="dotted" w:sz="4" w:space="0" w:color="auto"/>
              <w:right w:val="dotted" w:sz="4" w:space="0" w:color="auto"/>
            </w:tcBorders>
            <w:vAlign w:val="bottom"/>
          </w:tcPr>
          <w:p w:rsidR="0055578B" w:rsidRPr="00016BED" w:rsidRDefault="0055578B" w:rsidP="003022CB">
            <w:pPr>
              <w:pStyle w:val="naiskr"/>
              <w:spacing w:before="0" w:beforeAutospacing="0" w:after="0" w:afterAutospacing="0"/>
              <w:jc w:val="center"/>
            </w:pPr>
            <w:r w:rsidRPr="00016BED">
              <w:t>0</w:t>
            </w:r>
          </w:p>
        </w:tc>
        <w:tc>
          <w:tcPr>
            <w:tcW w:w="859" w:type="pct"/>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jc w:val="center"/>
            </w:pPr>
            <w:r w:rsidRPr="00016BED">
              <w:t>0</w:t>
            </w:r>
          </w:p>
        </w:tc>
        <w:tc>
          <w:tcPr>
            <w:tcW w:w="715" w:type="pct"/>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jc w:val="center"/>
            </w:pPr>
            <w:r w:rsidRPr="00016BED">
              <w:t>0</w:t>
            </w:r>
          </w:p>
        </w:tc>
        <w:tc>
          <w:tcPr>
            <w:tcW w:w="497" w:type="pct"/>
            <w:tcBorders>
              <w:top w:val="dotted" w:sz="4" w:space="0" w:color="auto"/>
              <w:left w:val="dotted" w:sz="4" w:space="0" w:color="auto"/>
              <w:bottom w:val="dotted" w:sz="4" w:space="0" w:color="auto"/>
              <w:right w:val="dotted" w:sz="4" w:space="0" w:color="auto"/>
            </w:tcBorders>
            <w:vAlign w:val="bottom"/>
          </w:tcPr>
          <w:p w:rsidR="0055578B" w:rsidRPr="00016BED" w:rsidRDefault="0055578B" w:rsidP="003022CB">
            <w:pPr>
              <w:pStyle w:val="naiskr"/>
              <w:spacing w:before="0" w:beforeAutospacing="0" w:after="0" w:afterAutospacing="0"/>
              <w:jc w:val="center"/>
            </w:pPr>
            <w:r w:rsidRPr="00016BED">
              <w:t>0</w:t>
            </w:r>
          </w:p>
        </w:tc>
      </w:tr>
      <w:tr w:rsidR="0055578B" w:rsidRPr="00016BED" w:rsidTr="0085774C">
        <w:tblPrEx>
          <w:tblBorders>
            <w:top w:val="outset" w:sz="6" w:space="0" w:color="000000"/>
            <w:left w:val="outset" w:sz="6" w:space="0" w:color="000000"/>
            <w:bottom w:val="outset" w:sz="6" w:space="0" w:color="000000"/>
            <w:right w:val="outset" w:sz="6" w:space="0" w:color="000000"/>
          </w:tblBorders>
        </w:tblPrEx>
        <w:trPr>
          <w:trHeight w:val="30"/>
        </w:trPr>
        <w:tc>
          <w:tcPr>
            <w:tcW w:w="1494" w:type="pct"/>
            <w:gridSpan w:val="3"/>
            <w:vMerge/>
            <w:tcBorders>
              <w:top w:val="dotted" w:sz="4" w:space="0" w:color="auto"/>
              <w:left w:val="dotted" w:sz="4" w:space="0" w:color="auto"/>
              <w:bottom w:val="dotted" w:sz="4" w:space="0" w:color="auto"/>
              <w:right w:val="dotted" w:sz="4" w:space="0" w:color="auto"/>
            </w:tcBorders>
            <w:vAlign w:val="center"/>
          </w:tcPr>
          <w:p w:rsidR="0055578B" w:rsidRPr="00016BED" w:rsidRDefault="0055578B" w:rsidP="003022CB">
            <w:pPr>
              <w:pStyle w:val="naiskr"/>
              <w:spacing w:before="0" w:beforeAutospacing="0" w:after="0" w:afterAutospacing="0"/>
            </w:pPr>
          </w:p>
        </w:tc>
        <w:tc>
          <w:tcPr>
            <w:tcW w:w="648" w:type="pct"/>
            <w:vMerge/>
            <w:tcBorders>
              <w:top w:val="dotted" w:sz="4" w:space="0" w:color="auto"/>
              <w:left w:val="dotted" w:sz="4" w:space="0" w:color="auto"/>
              <w:bottom w:val="dotted" w:sz="4" w:space="0" w:color="auto"/>
              <w:right w:val="dotted" w:sz="4" w:space="0" w:color="auto"/>
            </w:tcBorders>
            <w:vAlign w:val="center"/>
          </w:tcPr>
          <w:p w:rsidR="0055578B" w:rsidRPr="00016BED" w:rsidRDefault="0055578B" w:rsidP="003022CB">
            <w:pPr>
              <w:pStyle w:val="naiskr"/>
              <w:spacing w:before="0" w:beforeAutospacing="0" w:after="0" w:afterAutospacing="0"/>
              <w:jc w:val="center"/>
            </w:pPr>
          </w:p>
        </w:tc>
        <w:tc>
          <w:tcPr>
            <w:tcW w:w="787" w:type="pct"/>
            <w:gridSpan w:val="2"/>
            <w:tcBorders>
              <w:top w:val="dotted" w:sz="4" w:space="0" w:color="auto"/>
              <w:left w:val="dotted" w:sz="4" w:space="0" w:color="auto"/>
              <w:bottom w:val="dotted" w:sz="4" w:space="0" w:color="auto"/>
              <w:right w:val="dotted" w:sz="4" w:space="0" w:color="auto"/>
            </w:tcBorders>
            <w:vAlign w:val="bottom"/>
          </w:tcPr>
          <w:p w:rsidR="0055578B" w:rsidRPr="00016BED" w:rsidRDefault="0055578B" w:rsidP="003022CB">
            <w:pPr>
              <w:pStyle w:val="naiskr"/>
              <w:spacing w:before="0" w:beforeAutospacing="0" w:after="0" w:afterAutospacing="0"/>
              <w:jc w:val="center"/>
            </w:pPr>
            <w:r w:rsidRPr="00016BED">
              <w:t>0</w:t>
            </w:r>
          </w:p>
        </w:tc>
        <w:tc>
          <w:tcPr>
            <w:tcW w:w="859" w:type="pct"/>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jc w:val="center"/>
            </w:pPr>
            <w:r w:rsidRPr="00016BED">
              <w:t>0</w:t>
            </w:r>
          </w:p>
        </w:tc>
        <w:tc>
          <w:tcPr>
            <w:tcW w:w="715" w:type="pct"/>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jc w:val="center"/>
            </w:pPr>
            <w:r w:rsidRPr="00016BED">
              <w:t>0</w:t>
            </w:r>
          </w:p>
        </w:tc>
        <w:tc>
          <w:tcPr>
            <w:tcW w:w="497" w:type="pct"/>
            <w:tcBorders>
              <w:top w:val="dotted" w:sz="4" w:space="0" w:color="auto"/>
              <w:left w:val="dotted" w:sz="4" w:space="0" w:color="auto"/>
              <w:bottom w:val="dotted" w:sz="4" w:space="0" w:color="auto"/>
              <w:right w:val="dotted" w:sz="4" w:space="0" w:color="auto"/>
            </w:tcBorders>
            <w:vAlign w:val="bottom"/>
          </w:tcPr>
          <w:p w:rsidR="0055578B" w:rsidRPr="00016BED" w:rsidRDefault="0055578B" w:rsidP="003022CB">
            <w:pPr>
              <w:pStyle w:val="naiskr"/>
              <w:spacing w:before="0" w:beforeAutospacing="0" w:after="0" w:afterAutospacing="0"/>
              <w:jc w:val="center"/>
            </w:pPr>
            <w:r w:rsidRPr="00016BED">
              <w:t>0</w:t>
            </w:r>
          </w:p>
        </w:tc>
      </w:tr>
      <w:tr w:rsidR="0055578B" w:rsidRPr="00016BED" w:rsidTr="0085774C">
        <w:tblPrEx>
          <w:tblBorders>
            <w:top w:val="outset" w:sz="6" w:space="0" w:color="000000"/>
            <w:left w:val="outset" w:sz="6" w:space="0" w:color="000000"/>
            <w:bottom w:val="outset" w:sz="6" w:space="0" w:color="000000"/>
            <w:right w:val="outset" w:sz="6" w:space="0" w:color="000000"/>
          </w:tblBorders>
        </w:tblPrEx>
        <w:trPr>
          <w:trHeight w:val="30"/>
        </w:trPr>
        <w:tc>
          <w:tcPr>
            <w:tcW w:w="1494" w:type="pct"/>
            <w:gridSpan w:val="3"/>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pPr>
            <w:r w:rsidRPr="00016BED">
              <w:t>5. Precizēta finansiālā ietekme:</w:t>
            </w:r>
          </w:p>
        </w:tc>
        <w:tc>
          <w:tcPr>
            <w:tcW w:w="648" w:type="pct"/>
            <w:vMerge w:val="restart"/>
            <w:tcBorders>
              <w:top w:val="dotted" w:sz="4" w:space="0" w:color="auto"/>
              <w:left w:val="dotted" w:sz="4" w:space="0" w:color="auto"/>
              <w:bottom w:val="dotted" w:sz="4" w:space="0" w:color="auto"/>
              <w:right w:val="dotted" w:sz="4" w:space="0" w:color="auto"/>
            </w:tcBorders>
            <w:vAlign w:val="bottom"/>
          </w:tcPr>
          <w:p w:rsidR="0055578B" w:rsidRPr="00016BED" w:rsidRDefault="0055578B" w:rsidP="003022CB">
            <w:pPr>
              <w:pStyle w:val="naiskr"/>
              <w:spacing w:before="0" w:beforeAutospacing="0" w:after="0" w:afterAutospacing="0"/>
              <w:jc w:val="center"/>
            </w:pPr>
            <w:r w:rsidRPr="00016BED">
              <w:t>X</w:t>
            </w:r>
          </w:p>
        </w:tc>
        <w:tc>
          <w:tcPr>
            <w:tcW w:w="787" w:type="pct"/>
            <w:gridSpan w:val="2"/>
            <w:tcBorders>
              <w:top w:val="dotted" w:sz="4" w:space="0" w:color="auto"/>
              <w:left w:val="dotted" w:sz="4" w:space="0" w:color="auto"/>
              <w:bottom w:val="dotted" w:sz="4" w:space="0" w:color="auto"/>
              <w:right w:val="dotted" w:sz="4" w:space="0" w:color="auto"/>
            </w:tcBorders>
            <w:vAlign w:val="bottom"/>
          </w:tcPr>
          <w:p w:rsidR="0055578B" w:rsidRPr="00016BED" w:rsidRDefault="0055578B" w:rsidP="003022CB">
            <w:pPr>
              <w:pStyle w:val="naiskr"/>
              <w:spacing w:before="0" w:beforeAutospacing="0" w:after="0" w:afterAutospacing="0"/>
              <w:jc w:val="center"/>
            </w:pPr>
            <w:r w:rsidRPr="00016BED">
              <w:t>0</w:t>
            </w:r>
          </w:p>
        </w:tc>
        <w:tc>
          <w:tcPr>
            <w:tcW w:w="859" w:type="pct"/>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jc w:val="center"/>
            </w:pPr>
            <w:r w:rsidRPr="00016BED">
              <w:t>0</w:t>
            </w:r>
          </w:p>
        </w:tc>
        <w:tc>
          <w:tcPr>
            <w:tcW w:w="715" w:type="pct"/>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jc w:val="center"/>
            </w:pPr>
            <w:r w:rsidRPr="00016BED">
              <w:t>0</w:t>
            </w:r>
          </w:p>
        </w:tc>
        <w:tc>
          <w:tcPr>
            <w:tcW w:w="497" w:type="pct"/>
            <w:tcBorders>
              <w:top w:val="dotted" w:sz="4" w:space="0" w:color="auto"/>
              <w:left w:val="dotted" w:sz="4" w:space="0" w:color="auto"/>
              <w:bottom w:val="dotted" w:sz="4" w:space="0" w:color="auto"/>
              <w:right w:val="dotted" w:sz="4" w:space="0" w:color="auto"/>
            </w:tcBorders>
          </w:tcPr>
          <w:p w:rsidR="0055578B" w:rsidRPr="00016BED" w:rsidRDefault="00D75BB2" w:rsidP="003022CB">
            <w:pPr>
              <w:pStyle w:val="naiskr"/>
              <w:spacing w:before="0" w:beforeAutospacing="0" w:after="0" w:afterAutospacing="0"/>
              <w:jc w:val="center"/>
            </w:pPr>
            <w:r w:rsidRPr="00016BED">
              <w:t>0</w:t>
            </w:r>
          </w:p>
        </w:tc>
      </w:tr>
      <w:tr w:rsidR="0055578B" w:rsidRPr="00016BED" w:rsidTr="0085774C">
        <w:tblPrEx>
          <w:tblBorders>
            <w:top w:val="outset" w:sz="6" w:space="0" w:color="000000"/>
            <w:left w:val="outset" w:sz="6" w:space="0" w:color="000000"/>
            <w:bottom w:val="outset" w:sz="6" w:space="0" w:color="000000"/>
            <w:right w:val="outset" w:sz="6" w:space="0" w:color="000000"/>
          </w:tblBorders>
        </w:tblPrEx>
        <w:trPr>
          <w:trHeight w:val="30"/>
        </w:trPr>
        <w:tc>
          <w:tcPr>
            <w:tcW w:w="1494" w:type="pct"/>
            <w:gridSpan w:val="3"/>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pPr>
            <w:r w:rsidRPr="00016BED">
              <w:t>5.1. valsts pamatbudžets</w:t>
            </w:r>
          </w:p>
        </w:tc>
        <w:tc>
          <w:tcPr>
            <w:tcW w:w="648" w:type="pct"/>
            <w:vMerge/>
            <w:tcBorders>
              <w:top w:val="dotted" w:sz="4" w:space="0" w:color="auto"/>
              <w:left w:val="dotted" w:sz="4" w:space="0" w:color="auto"/>
              <w:bottom w:val="dotted" w:sz="4" w:space="0" w:color="auto"/>
              <w:right w:val="dotted" w:sz="4" w:space="0" w:color="auto"/>
            </w:tcBorders>
            <w:vAlign w:val="center"/>
          </w:tcPr>
          <w:p w:rsidR="0055578B" w:rsidRPr="00016BED" w:rsidRDefault="0055578B" w:rsidP="003022CB">
            <w:pPr>
              <w:pStyle w:val="naiskr"/>
              <w:spacing w:before="0" w:beforeAutospacing="0" w:after="0" w:afterAutospacing="0"/>
              <w:jc w:val="center"/>
            </w:pPr>
          </w:p>
        </w:tc>
        <w:tc>
          <w:tcPr>
            <w:tcW w:w="787" w:type="pct"/>
            <w:gridSpan w:val="2"/>
            <w:tcBorders>
              <w:top w:val="dotted" w:sz="4" w:space="0" w:color="auto"/>
              <w:left w:val="dotted" w:sz="4" w:space="0" w:color="auto"/>
              <w:bottom w:val="dotted" w:sz="4" w:space="0" w:color="auto"/>
              <w:right w:val="dotted" w:sz="4" w:space="0" w:color="auto"/>
            </w:tcBorders>
            <w:vAlign w:val="center"/>
          </w:tcPr>
          <w:p w:rsidR="0055578B" w:rsidRPr="00016BED" w:rsidRDefault="0055578B" w:rsidP="003022CB">
            <w:pPr>
              <w:pStyle w:val="naiskr"/>
              <w:spacing w:before="0" w:beforeAutospacing="0" w:after="0" w:afterAutospacing="0"/>
              <w:jc w:val="center"/>
            </w:pPr>
          </w:p>
        </w:tc>
        <w:tc>
          <w:tcPr>
            <w:tcW w:w="859" w:type="pct"/>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jc w:val="center"/>
            </w:pPr>
          </w:p>
        </w:tc>
        <w:tc>
          <w:tcPr>
            <w:tcW w:w="715" w:type="pct"/>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jc w:val="center"/>
            </w:pPr>
            <w:r w:rsidRPr="00016BED">
              <w:t>0</w:t>
            </w:r>
          </w:p>
        </w:tc>
        <w:tc>
          <w:tcPr>
            <w:tcW w:w="497" w:type="pct"/>
            <w:tcBorders>
              <w:top w:val="dotted" w:sz="4" w:space="0" w:color="auto"/>
              <w:left w:val="dotted" w:sz="4" w:space="0" w:color="auto"/>
              <w:bottom w:val="dotted" w:sz="4" w:space="0" w:color="auto"/>
              <w:right w:val="dotted" w:sz="4" w:space="0" w:color="auto"/>
            </w:tcBorders>
          </w:tcPr>
          <w:p w:rsidR="0055578B" w:rsidRPr="00016BED" w:rsidRDefault="00FB500D" w:rsidP="003022CB">
            <w:pPr>
              <w:pStyle w:val="naiskr"/>
              <w:spacing w:before="0" w:beforeAutospacing="0" w:after="0" w:afterAutospacing="0"/>
              <w:jc w:val="center"/>
            </w:pPr>
            <w:r w:rsidRPr="00016BED">
              <w:t>0</w:t>
            </w:r>
          </w:p>
        </w:tc>
      </w:tr>
      <w:tr w:rsidR="0055578B" w:rsidRPr="00016BED" w:rsidTr="0085774C">
        <w:tblPrEx>
          <w:tblBorders>
            <w:top w:val="outset" w:sz="6" w:space="0" w:color="000000"/>
            <w:left w:val="outset" w:sz="6" w:space="0" w:color="000000"/>
            <w:bottom w:val="outset" w:sz="6" w:space="0" w:color="000000"/>
            <w:right w:val="outset" w:sz="6" w:space="0" w:color="000000"/>
          </w:tblBorders>
        </w:tblPrEx>
        <w:trPr>
          <w:trHeight w:val="47"/>
        </w:trPr>
        <w:tc>
          <w:tcPr>
            <w:tcW w:w="1494" w:type="pct"/>
            <w:gridSpan w:val="3"/>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pPr>
            <w:r w:rsidRPr="00016BED">
              <w:t>5.2. speciālais budžets</w:t>
            </w:r>
          </w:p>
        </w:tc>
        <w:tc>
          <w:tcPr>
            <w:tcW w:w="648" w:type="pct"/>
            <w:vMerge/>
            <w:tcBorders>
              <w:top w:val="dotted" w:sz="4" w:space="0" w:color="auto"/>
              <w:left w:val="dotted" w:sz="4" w:space="0" w:color="auto"/>
              <w:bottom w:val="dotted" w:sz="4" w:space="0" w:color="auto"/>
              <w:right w:val="dotted" w:sz="4" w:space="0" w:color="auto"/>
            </w:tcBorders>
            <w:vAlign w:val="center"/>
          </w:tcPr>
          <w:p w:rsidR="0055578B" w:rsidRPr="00016BED" w:rsidRDefault="0055578B" w:rsidP="003022CB">
            <w:pPr>
              <w:pStyle w:val="naiskr"/>
              <w:spacing w:before="0" w:beforeAutospacing="0" w:after="0" w:afterAutospacing="0"/>
              <w:jc w:val="center"/>
            </w:pPr>
          </w:p>
        </w:tc>
        <w:tc>
          <w:tcPr>
            <w:tcW w:w="787" w:type="pct"/>
            <w:gridSpan w:val="2"/>
            <w:tcBorders>
              <w:top w:val="dotted" w:sz="4" w:space="0" w:color="auto"/>
              <w:left w:val="dotted" w:sz="4" w:space="0" w:color="auto"/>
              <w:bottom w:val="dotted" w:sz="4" w:space="0" w:color="auto"/>
              <w:right w:val="dotted" w:sz="4" w:space="0" w:color="auto"/>
            </w:tcBorders>
            <w:vAlign w:val="center"/>
          </w:tcPr>
          <w:p w:rsidR="0055578B" w:rsidRPr="00016BED" w:rsidRDefault="0055578B" w:rsidP="003022CB">
            <w:pPr>
              <w:pStyle w:val="naiskr"/>
              <w:spacing w:before="0" w:beforeAutospacing="0" w:after="0" w:afterAutospacing="0"/>
              <w:jc w:val="center"/>
            </w:pPr>
          </w:p>
        </w:tc>
        <w:tc>
          <w:tcPr>
            <w:tcW w:w="859" w:type="pct"/>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jc w:val="center"/>
            </w:pPr>
          </w:p>
        </w:tc>
        <w:tc>
          <w:tcPr>
            <w:tcW w:w="715" w:type="pct"/>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jc w:val="center"/>
            </w:pPr>
          </w:p>
        </w:tc>
        <w:tc>
          <w:tcPr>
            <w:tcW w:w="497" w:type="pct"/>
            <w:tcBorders>
              <w:top w:val="dotted" w:sz="4" w:space="0" w:color="auto"/>
              <w:left w:val="dotted" w:sz="4" w:space="0" w:color="auto"/>
              <w:bottom w:val="dotted" w:sz="4" w:space="0" w:color="auto"/>
              <w:right w:val="dotted" w:sz="4" w:space="0" w:color="auto"/>
            </w:tcBorders>
            <w:vAlign w:val="center"/>
          </w:tcPr>
          <w:p w:rsidR="0055578B" w:rsidRPr="00016BED" w:rsidRDefault="0055578B" w:rsidP="003022CB">
            <w:pPr>
              <w:pStyle w:val="naiskr"/>
              <w:spacing w:before="0" w:beforeAutospacing="0" w:after="0" w:afterAutospacing="0"/>
              <w:jc w:val="center"/>
            </w:pPr>
          </w:p>
        </w:tc>
      </w:tr>
      <w:tr w:rsidR="0055578B" w:rsidRPr="00016BED" w:rsidTr="0085774C">
        <w:tblPrEx>
          <w:tblBorders>
            <w:top w:val="outset" w:sz="6" w:space="0" w:color="000000"/>
            <w:left w:val="outset" w:sz="6" w:space="0" w:color="000000"/>
            <w:bottom w:val="outset" w:sz="6" w:space="0" w:color="000000"/>
            <w:right w:val="outset" w:sz="6" w:space="0" w:color="000000"/>
          </w:tblBorders>
        </w:tblPrEx>
        <w:trPr>
          <w:trHeight w:val="47"/>
        </w:trPr>
        <w:tc>
          <w:tcPr>
            <w:tcW w:w="1494" w:type="pct"/>
            <w:gridSpan w:val="3"/>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pPr>
            <w:r w:rsidRPr="00016BED">
              <w:t>5.3. pašvaldību budžets</w:t>
            </w:r>
          </w:p>
        </w:tc>
        <w:tc>
          <w:tcPr>
            <w:tcW w:w="648" w:type="pct"/>
            <w:vMerge/>
            <w:tcBorders>
              <w:top w:val="dotted" w:sz="4" w:space="0" w:color="auto"/>
              <w:left w:val="dotted" w:sz="4" w:space="0" w:color="auto"/>
              <w:bottom w:val="dotted" w:sz="4" w:space="0" w:color="auto"/>
              <w:right w:val="dotted" w:sz="4" w:space="0" w:color="auto"/>
            </w:tcBorders>
            <w:vAlign w:val="center"/>
          </w:tcPr>
          <w:p w:rsidR="0055578B" w:rsidRPr="00016BED" w:rsidRDefault="0055578B" w:rsidP="003022CB">
            <w:pPr>
              <w:pStyle w:val="naiskr"/>
              <w:spacing w:before="0" w:beforeAutospacing="0" w:after="0" w:afterAutospacing="0"/>
              <w:jc w:val="center"/>
            </w:pPr>
          </w:p>
        </w:tc>
        <w:tc>
          <w:tcPr>
            <w:tcW w:w="787" w:type="pct"/>
            <w:gridSpan w:val="2"/>
            <w:tcBorders>
              <w:top w:val="dotted" w:sz="4" w:space="0" w:color="auto"/>
              <w:left w:val="dotted" w:sz="4" w:space="0" w:color="auto"/>
              <w:bottom w:val="dotted" w:sz="4" w:space="0" w:color="auto"/>
              <w:right w:val="dotted" w:sz="4" w:space="0" w:color="auto"/>
            </w:tcBorders>
            <w:vAlign w:val="center"/>
          </w:tcPr>
          <w:p w:rsidR="0055578B" w:rsidRPr="00016BED" w:rsidRDefault="0055578B" w:rsidP="003022CB">
            <w:pPr>
              <w:pStyle w:val="naiskr"/>
              <w:spacing w:before="0" w:beforeAutospacing="0" w:after="0" w:afterAutospacing="0"/>
              <w:jc w:val="center"/>
            </w:pPr>
          </w:p>
        </w:tc>
        <w:tc>
          <w:tcPr>
            <w:tcW w:w="859" w:type="pct"/>
            <w:tcBorders>
              <w:top w:val="dotted" w:sz="4" w:space="0" w:color="auto"/>
              <w:left w:val="dotted" w:sz="4" w:space="0" w:color="auto"/>
              <w:bottom w:val="dotted" w:sz="4" w:space="0" w:color="auto"/>
              <w:right w:val="dotted" w:sz="4" w:space="0" w:color="auto"/>
            </w:tcBorders>
            <w:vAlign w:val="center"/>
          </w:tcPr>
          <w:p w:rsidR="0055578B" w:rsidRPr="00016BED" w:rsidRDefault="0055578B" w:rsidP="003022CB">
            <w:pPr>
              <w:pStyle w:val="naiskr"/>
              <w:spacing w:before="0" w:beforeAutospacing="0" w:after="0" w:afterAutospacing="0"/>
              <w:jc w:val="center"/>
            </w:pPr>
          </w:p>
        </w:tc>
        <w:tc>
          <w:tcPr>
            <w:tcW w:w="715" w:type="pct"/>
            <w:tcBorders>
              <w:top w:val="dotted" w:sz="4" w:space="0" w:color="auto"/>
              <w:left w:val="dotted" w:sz="4" w:space="0" w:color="auto"/>
              <w:bottom w:val="dotted" w:sz="4" w:space="0" w:color="auto"/>
              <w:right w:val="dotted" w:sz="4" w:space="0" w:color="auto"/>
            </w:tcBorders>
          </w:tcPr>
          <w:p w:rsidR="0055578B" w:rsidRPr="00016BED" w:rsidRDefault="0055578B" w:rsidP="003022CB">
            <w:pPr>
              <w:pStyle w:val="naiskr"/>
              <w:spacing w:before="0" w:beforeAutospacing="0" w:after="0" w:afterAutospacing="0"/>
              <w:jc w:val="center"/>
            </w:pPr>
          </w:p>
        </w:tc>
        <w:tc>
          <w:tcPr>
            <w:tcW w:w="497" w:type="pct"/>
            <w:tcBorders>
              <w:top w:val="dotted" w:sz="4" w:space="0" w:color="auto"/>
              <w:left w:val="dotted" w:sz="4" w:space="0" w:color="auto"/>
              <w:bottom w:val="dotted" w:sz="4" w:space="0" w:color="auto"/>
              <w:right w:val="dotted" w:sz="4" w:space="0" w:color="auto"/>
            </w:tcBorders>
            <w:vAlign w:val="center"/>
          </w:tcPr>
          <w:p w:rsidR="0055578B" w:rsidRPr="00016BED" w:rsidRDefault="0055578B" w:rsidP="003022CB">
            <w:pPr>
              <w:pStyle w:val="naiskr"/>
              <w:spacing w:before="0" w:beforeAutospacing="0" w:after="0" w:afterAutospacing="0"/>
              <w:jc w:val="center"/>
            </w:pPr>
          </w:p>
        </w:tc>
      </w:tr>
      <w:tr w:rsidR="00A45B37" w:rsidRPr="00016BED" w:rsidTr="0085774C">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020"/>
        </w:trPr>
        <w:tc>
          <w:tcPr>
            <w:tcW w:w="1494" w:type="pct"/>
            <w:gridSpan w:val="3"/>
            <w:tcBorders>
              <w:top w:val="dotted" w:sz="4" w:space="0" w:color="auto"/>
              <w:left w:val="dotted" w:sz="4" w:space="0" w:color="auto"/>
              <w:bottom w:val="dotted" w:sz="4" w:space="0" w:color="auto"/>
              <w:right w:val="dotted" w:sz="4" w:space="0" w:color="auto"/>
            </w:tcBorders>
          </w:tcPr>
          <w:p w:rsidR="00A45B37" w:rsidRPr="00016BED" w:rsidRDefault="00A45B37" w:rsidP="003022CB">
            <w:pPr>
              <w:pStyle w:val="naiskr"/>
              <w:spacing w:before="0" w:beforeAutospacing="0" w:after="0" w:afterAutospacing="0"/>
            </w:pPr>
            <w:r w:rsidRPr="00016BED">
              <w:t>6. Detalizēts ieņēmumu un izdevumu aprēķins (ja nepieciešams, detalizētu ieņēmumu un izdevumu aprēķinu var pievienot anotācijas pielikumā):</w:t>
            </w:r>
          </w:p>
        </w:tc>
        <w:tc>
          <w:tcPr>
            <w:tcW w:w="648" w:type="pct"/>
            <w:tcBorders>
              <w:top w:val="dotted" w:sz="4" w:space="0" w:color="auto"/>
              <w:left w:val="dotted" w:sz="4" w:space="0" w:color="auto"/>
              <w:bottom w:val="dotted" w:sz="4" w:space="0" w:color="auto"/>
              <w:right w:val="dotted" w:sz="4" w:space="0" w:color="auto"/>
            </w:tcBorders>
          </w:tcPr>
          <w:p w:rsidR="00A45B37" w:rsidRPr="00016BED" w:rsidRDefault="00A45B37" w:rsidP="003022CB">
            <w:pPr>
              <w:pStyle w:val="NormalWeb"/>
              <w:spacing w:before="0" w:beforeAutospacing="0" w:after="0" w:afterAutospacing="0"/>
            </w:pPr>
          </w:p>
        </w:tc>
        <w:tc>
          <w:tcPr>
            <w:tcW w:w="2858" w:type="pct"/>
            <w:gridSpan w:val="5"/>
            <w:vMerge w:val="restart"/>
            <w:tcBorders>
              <w:top w:val="dotted" w:sz="4" w:space="0" w:color="auto"/>
              <w:left w:val="dotted" w:sz="4" w:space="0" w:color="auto"/>
              <w:bottom w:val="dotted" w:sz="4" w:space="0" w:color="auto"/>
              <w:right w:val="dotted" w:sz="4" w:space="0" w:color="auto"/>
            </w:tcBorders>
          </w:tcPr>
          <w:p w:rsidR="00B44018" w:rsidRPr="00016BED" w:rsidRDefault="00A45B37" w:rsidP="003022CB">
            <w:pPr>
              <w:pStyle w:val="NormalWeb"/>
              <w:spacing w:before="0" w:beforeAutospacing="0" w:after="0" w:afterAutospacing="0"/>
              <w:ind w:left="108" w:right="125"/>
              <w:jc w:val="both"/>
            </w:pPr>
            <w:r w:rsidRPr="00016BED">
              <w:t xml:space="preserve">Detalizēta </w:t>
            </w:r>
            <w:bookmarkStart w:id="14" w:name="OLE_LINK9"/>
            <w:bookmarkStart w:id="15" w:name="OLE_LINK10"/>
            <w:bookmarkStart w:id="16" w:name="OLE_LINK15"/>
            <w:bookmarkStart w:id="17" w:name="OLE_LINK7"/>
            <w:bookmarkStart w:id="18" w:name="OLE_LINK18"/>
            <w:bookmarkStart w:id="19" w:name="OLE_LINK19"/>
            <w:r w:rsidR="00B44018" w:rsidRPr="00016BED">
              <w:t xml:space="preserve">informācija par </w:t>
            </w:r>
            <w:bookmarkEnd w:id="14"/>
            <w:bookmarkEnd w:id="15"/>
            <w:bookmarkEnd w:id="16"/>
            <w:r w:rsidR="00B44018" w:rsidRPr="00016BED">
              <w:t>nekustamā īpašuma (nekustamā īpašuma kadastra Nr. 0100 010 0099) Kronvalda bulvārī 6, Rīgā, provizorisko rekonstrukcijas kapitālieguldījumu (sadalījumu pa gadiem), nomas maksas, pārcelšanās un darba vietu aprīkošanas izdevumu apmēru, kā arī par provizorisko laika grafiku, ietekmi uz valsts budžeta naudas plūsmu un ietekmi uz vispārējo valdības budžeta bilanci</w:t>
            </w:r>
            <w:bookmarkEnd w:id="17"/>
            <w:r w:rsidR="00B44018" w:rsidRPr="00016BED">
              <w:t xml:space="preserve"> – anotācijas pielikumā.</w:t>
            </w:r>
          </w:p>
          <w:bookmarkEnd w:id="18"/>
          <w:bookmarkEnd w:id="19"/>
          <w:p w:rsidR="00A45B37" w:rsidRPr="00016BED" w:rsidRDefault="00A45B37" w:rsidP="003022CB">
            <w:pPr>
              <w:pStyle w:val="NormalWeb"/>
              <w:spacing w:before="0" w:beforeAutospacing="0" w:after="0" w:afterAutospacing="0"/>
              <w:ind w:left="108" w:right="125"/>
              <w:jc w:val="both"/>
            </w:pPr>
          </w:p>
        </w:tc>
      </w:tr>
      <w:tr w:rsidR="00A45B37" w:rsidRPr="00016BED" w:rsidTr="0085774C">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1494" w:type="pct"/>
            <w:gridSpan w:val="3"/>
            <w:tcBorders>
              <w:top w:val="dotted" w:sz="4" w:space="0" w:color="auto"/>
              <w:left w:val="dotted" w:sz="4" w:space="0" w:color="auto"/>
              <w:bottom w:val="dotted" w:sz="4" w:space="0" w:color="auto"/>
              <w:right w:val="dotted" w:sz="4" w:space="0" w:color="auto"/>
            </w:tcBorders>
          </w:tcPr>
          <w:p w:rsidR="00A45B37" w:rsidRPr="00016BED" w:rsidRDefault="00A45B37" w:rsidP="003022CB">
            <w:pPr>
              <w:pStyle w:val="naiskr"/>
              <w:spacing w:before="0" w:beforeAutospacing="0" w:after="0" w:afterAutospacing="0"/>
            </w:pPr>
            <w:r w:rsidRPr="00016BED">
              <w:t>6.1. detalizēts ieņēmumu aprēķins</w:t>
            </w:r>
          </w:p>
        </w:tc>
        <w:tc>
          <w:tcPr>
            <w:tcW w:w="648" w:type="pct"/>
            <w:tcBorders>
              <w:top w:val="dotted" w:sz="4" w:space="0" w:color="auto"/>
              <w:left w:val="dotted" w:sz="4" w:space="0" w:color="auto"/>
              <w:bottom w:val="dotted" w:sz="4" w:space="0" w:color="auto"/>
              <w:right w:val="dotted" w:sz="4" w:space="0" w:color="auto"/>
            </w:tcBorders>
          </w:tcPr>
          <w:p w:rsidR="00A45B37" w:rsidRPr="00016BED" w:rsidRDefault="00A45B37" w:rsidP="003022CB">
            <w:pPr>
              <w:pStyle w:val="NormalWeb"/>
              <w:spacing w:before="0" w:beforeAutospacing="0" w:after="0" w:afterAutospacing="0"/>
            </w:pPr>
          </w:p>
        </w:tc>
        <w:tc>
          <w:tcPr>
            <w:tcW w:w="2858" w:type="pct"/>
            <w:gridSpan w:val="5"/>
            <w:vMerge/>
            <w:tcBorders>
              <w:top w:val="dotted" w:sz="4" w:space="0" w:color="auto"/>
              <w:left w:val="dotted" w:sz="4" w:space="0" w:color="auto"/>
              <w:bottom w:val="dotted" w:sz="4" w:space="0" w:color="auto"/>
              <w:right w:val="dotted" w:sz="4" w:space="0" w:color="auto"/>
            </w:tcBorders>
            <w:vAlign w:val="center"/>
          </w:tcPr>
          <w:p w:rsidR="00A45B37" w:rsidRPr="00016BED" w:rsidRDefault="00A45B37" w:rsidP="003022CB">
            <w:pPr>
              <w:pStyle w:val="NormalWeb"/>
              <w:spacing w:before="0" w:beforeAutospacing="0" w:after="0" w:afterAutospacing="0"/>
            </w:pPr>
          </w:p>
        </w:tc>
      </w:tr>
      <w:tr w:rsidR="00A45B37" w:rsidRPr="00016BED" w:rsidTr="0085774C">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47"/>
        </w:trPr>
        <w:tc>
          <w:tcPr>
            <w:tcW w:w="1494" w:type="pct"/>
            <w:gridSpan w:val="3"/>
            <w:tcBorders>
              <w:top w:val="dotted" w:sz="4" w:space="0" w:color="auto"/>
              <w:left w:val="dotted" w:sz="4" w:space="0" w:color="auto"/>
              <w:bottom w:val="dotted" w:sz="4" w:space="0" w:color="auto"/>
              <w:right w:val="dotted" w:sz="4" w:space="0" w:color="auto"/>
            </w:tcBorders>
          </w:tcPr>
          <w:p w:rsidR="00A45B37" w:rsidRPr="00016BED" w:rsidRDefault="00A45B37" w:rsidP="003022CB">
            <w:pPr>
              <w:pStyle w:val="naiskr"/>
              <w:spacing w:before="0" w:beforeAutospacing="0" w:after="0" w:afterAutospacing="0"/>
            </w:pPr>
            <w:r w:rsidRPr="00016BED">
              <w:t>6.2. detalizēts izdevumu aprēķins</w:t>
            </w:r>
          </w:p>
        </w:tc>
        <w:tc>
          <w:tcPr>
            <w:tcW w:w="648" w:type="pct"/>
            <w:tcBorders>
              <w:top w:val="dotted" w:sz="4" w:space="0" w:color="auto"/>
              <w:left w:val="dotted" w:sz="4" w:space="0" w:color="auto"/>
              <w:bottom w:val="dotted" w:sz="4" w:space="0" w:color="auto"/>
              <w:right w:val="dotted" w:sz="4" w:space="0" w:color="auto"/>
            </w:tcBorders>
          </w:tcPr>
          <w:p w:rsidR="00A45B37" w:rsidRPr="00016BED" w:rsidRDefault="00A45B37" w:rsidP="003022CB">
            <w:pPr>
              <w:pStyle w:val="NormalWeb"/>
              <w:spacing w:before="0" w:beforeAutospacing="0" w:after="0" w:afterAutospacing="0"/>
            </w:pPr>
          </w:p>
        </w:tc>
        <w:tc>
          <w:tcPr>
            <w:tcW w:w="2858" w:type="pct"/>
            <w:gridSpan w:val="5"/>
            <w:vMerge/>
            <w:tcBorders>
              <w:top w:val="dotted" w:sz="4" w:space="0" w:color="auto"/>
              <w:left w:val="dotted" w:sz="4" w:space="0" w:color="auto"/>
              <w:bottom w:val="dotted" w:sz="4" w:space="0" w:color="auto"/>
              <w:right w:val="dotted" w:sz="4" w:space="0" w:color="auto"/>
            </w:tcBorders>
            <w:vAlign w:val="center"/>
          </w:tcPr>
          <w:p w:rsidR="00A45B37" w:rsidRPr="00016BED" w:rsidRDefault="00A45B37" w:rsidP="003022CB">
            <w:pPr>
              <w:pStyle w:val="NormalWeb"/>
              <w:spacing w:before="0" w:beforeAutospacing="0" w:after="0" w:afterAutospacing="0"/>
            </w:pPr>
          </w:p>
        </w:tc>
      </w:tr>
      <w:tr w:rsidR="00A45B37" w:rsidRPr="00016BED" w:rsidTr="00F229F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2709"/>
        </w:trPr>
        <w:tc>
          <w:tcPr>
            <w:tcW w:w="1494" w:type="pct"/>
            <w:gridSpan w:val="3"/>
            <w:tcBorders>
              <w:top w:val="dotted" w:sz="4" w:space="0" w:color="auto"/>
              <w:left w:val="dotted" w:sz="4" w:space="0" w:color="auto"/>
              <w:bottom w:val="dotted" w:sz="4" w:space="0" w:color="auto"/>
              <w:right w:val="dotted" w:sz="4" w:space="0" w:color="auto"/>
            </w:tcBorders>
          </w:tcPr>
          <w:p w:rsidR="00A45B37" w:rsidRPr="00016BED" w:rsidRDefault="00A45B37" w:rsidP="003022CB">
            <w:pPr>
              <w:pStyle w:val="NormalWeb"/>
              <w:spacing w:before="0" w:beforeAutospacing="0" w:after="0" w:afterAutospacing="0"/>
            </w:pPr>
            <w:r w:rsidRPr="00016BED">
              <w:t>7. Cita informācija</w:t>
            </w:r>
          </w:p>
        </w:tc>
        <w:tc>
          <w:tcPr>
            <w:tcW w:w="648" w:type="pct"/>
            <w:tcBorders>
              <w:top w:val="dotted" w:sz="4" w:space="0" w:color="auto"/>
              <w:left w:val="dotted" w:sz="4" w:space="0" w:color="auto"/>
              <w:bottom w:val="dotted" w:sz="4" w:space="0" w:color="auto"/>
              <w:right w:val="dotted" w:sz="4" w:space="0" w:color="auto"/>
            </w:tcBorders>
          </w:tcPr>
          <w:p w:rsidR="00A45B37" w:rsidRPr="00016BED" w:rsidRDefault="00A45B37" w:rsidP="003022CB">
            <w:pPr>
              <w:pStyle w:val="NormalWeb"/>
              <w:spacing w:before="0" w:beforeAutospacing="0" w:after="0" w:afterAutospacing="0"/>
              <w:ind w:left="108" w:right="125"/>
              <w:jc w:val="both"/>
            </w:pPr>
          </w:p>
        </w:tc>
        <w:tc>
          <w:tcPr>
            <w:tcW w:w="2858" w:type="pct"/>
            <w:gridSpan w:val="5"/>
            <w:tcBorders>
              <w:top w:val="dotted" w:sz="4" w:space="0" w:color="auto"/>
              <w:left w:val="dotted" w:sz="4" w:space="0" w:color="auto"/>
              <w:bottom w:val="dotted" w:sz="4" w:space="0" w:color="auto"/>
              <w:right w:val="dotted" w:sz="4" w:space="0" w:color="auto"/>
            </w:tcBorders>
          </w:tcPr>
          <w:p w:rsidR="00F229F9" w:rsidRPr="00016BED" w:rsidRDefault="00F229F9" w:rsidP="003022CB">
            <w:pPr>
              <w:pStyle w:val="naiskr"/>
              <w:tabs>
                <w:tab w:val="left" w:pos="366"/>
              </w:tabs>
              <w:spacing w:before="0" w:beforeAutospacing="0" w:after="0" w:afterAutospacing="0"/>
              <w:ind w:left="61" w:right="158"/>
              <w:jc w:val="both"/>
            </w:pPr>
            <w:r w:rsidRPr="00016BED">
              <w:t>I</w:t>
            </w:r>
            <w:r w:rsidR="003022CB" w:rsidRPr="00016BED">
              <w:t xml:space="preserve">nformācija par VARAM 2013.gadā </w:t>
            </w:r>
            <w:r w:rsidRPr="00016BED">
              <w:t>plānot</w:t>
            </w:r>
            <w:r w:rsidR="003022CB" w:rsidRPr="00016BED">
              <w:t>o</w:t>
            </w:r>
            <w:r w:rsidRPr="00016BED">
              <w:t xml:space="preserve"> bāzes finansējumu telpu nomai un uzturēšanai </w:t>
            </w:r>
            <w:r w:rsidR="003022CB" w:rsidRPr="00016BED">
              <w:t>–</w:t>
            </w:r>
            <w:r w:rsidRPr="00016BED">
              <w:t xml:space="preserve"> 289,4</w:t>
            </w:r>
            <w:r w:rsidR="003022CB" w:rsidRPr="00016BED">
              <w:t> </w:t>
            </w:r>
            <w:r w:rsidRPr="00016BED">
              <w:t>tūkst.</w:t>
            </w:r>
            <w:r w:rsidR="003022CB" w:rsidRPr="00016BED">
              <w:t> </w:t>
            </w:r>
            <w:r w:rsidRPr="00016BED">
              <w:t xml:space="preserve">latu (411,7 tūkts. </w:t>
            </w:r>
            <w:r w:rsidR="003022CB" w:rsidRPr="00016BED">
              <w:rPr>
                <w:i/>
              </w:rPr>
              <w:t>eu</w:t>
            </w:r>
            <w:r w:rsidRPr="00016BED">
              <w:rPr>
                <w:i/>
              </w:rPr>
              <w:t>ro</w:t>
            </w:r>
            <w:r w:rsidRPr="00016BED">
              <w:t>) apmērā, kas arī attiecināms uz 2017.gadu ir detalizēti atspoguļots anotācijas pielikuma 13.tabulā.</w:t>
            </w:r>
          </w:p>
          <w:p w:rsidR="003022CB" w:rsidRPr="00016BED" w:rsidRDefault="003022CB" w:rsidP="003022CB">
            <w:pPr>
              <w:pStyle w:val="naiskr"/>
              <w:tabs>
                <w:tab w:val="left" w:pos="366"/>
              </w:tabs>
              <w:spacing w:before="0" w:beforeAutospacing="0" w:after="0" w:afterAutospacing="0"/>
              <w:ind w:left="61" w:right="158"/>
              <w:jc w:val="both"/>
            </w:pPr>
          </w:p>
          <w:p w:rsidR="00487991" w:rsidRPr="00016BED" w:rsidRDefault="00487991" w:rsidP="003022CB">
            <w:pPr>
              <w:pStyle w:val="naiskr"/>
              <w:tabs>
                <w:tab w:val="left" w:pos="366"/>
              </w:tabs>
              <w:spacing w:before="0" w:beforeAutospacing="0" w:after="0" w:afterAutospacing="0"/>
              <w:ind w:left="61" w:right="158"/>
              <w:jc w:val="both"/>
            </w:pPr>
            <w:r w:rsidRPr="00016BED">
              <w:t>VARAM Ministru kabineta rīkojuma projekt</w:t>
            </w:r>
            <w:r w:rsidR="005F7979" w:rsidRPr="00016BED">
              <w:t>a īstenošanai 2017.gadā un turpmāk ik gadu būs nepieciešam</w:t>
            </w:r>
            <w:r w:rsidR="004235A6" w:rsidRPr="00016BED">
              <w:t>s</w:t>
            </w:r>
            <w:r w:rsidR="005F7979" w:rsidRPr="00016BED">
              <w:t xml:space="preserve"> papildu </w:t>
            </w:r>
            <w:r w:rsidR="004235A6" w:rsidRPr="00016BED">
              <w:t xml:space="preserve">finansējums </w:t>
            </w:r>
            <w:r w:rsidR="005069DB" w:rsidRPr="00016BED">
              <w:t>(skatīt</w:t>
            </w:r>
            <w:r w:rsidR="004235A6" w:rsidRPr="00016BED">
              <w:t>. z</w:t>
            </w:r>
            <w:r w:rsidR="00B44018" w:rsidRPr="00016BED">
              <w:t xml:space="preserve">emāk vai </w:t>
            </w:r>
            <w:r w:rsidR="005069DB" w:rsidRPr="00016BED">
              <w:t>anotācijas pieli</w:t>
            </w:r>
            <w:r w:rsidR="00E32912" w:rsidRPr="00016BED">
              <w:t>ku</w:t>
            </w:r>
            <w:r w:rsidR="005069DB" w:rsidRPr="00016BED">
              <w:t>ma 1</w:t>
            </w:r>
            <w:r w:rsidR="000D447D" w:rsidRPr="00016BED">
              <w:t>4</w:t>
            </w:r>
            <w:r w:rsidR="005069DB" w:rsidRPr="00016BED">
              <w:t>.tabulu)</w:t>
            </w:r>
            <w:r w:rsidR="005F7979" w:rsidRPr="00016BED">
              <w:t>.</w:t>
            </w:r>
          </w:p>
          <w:tbl>
            <w:tblPr>
              <w:tblW w:w="5375"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tblPr>
            <w:tblGrid>
              <w:gridCol w:w="425"/>
              <w:gridCol w:w="1547"/>
              <w:gridCol w:w="850"/>
              <w:gridCol w:w="851"/>
              <w:gridCol w:w="851"/>
              <w:gridCol w:w="851"/>
            </w:tblGrid>
            <w:tr w:rsidR="00B44018" w:rsidRPr="00016BED" w:rsidTr="00DB119E">
              <w:trPr>
                <w:trHeight w:val="77"/>
                <w:tblHeader/>
              </w:trPr>
              <w:tc>
                <w:tcPr>
                  <w:tcW w:w="425" w:type="dxa"/>
                  <w:vMerge w:val="restart"/>
                  <w:shd w:val="clear" w:color="auto" w:fill="D9D9D9" w:themeFill="background1" w:themeFillShade="D9"/>
                  <w:vAlign w:val="center"/>
                </w:tcPr>
                <w:p w:rsidR="00B44018" w:rsidRPr="00016BED" w:rsidRDefault="00B44018" w:rsidP="003022CB">
                  <w:pPr>
                    <w:jc w:val="center"/>
                    <w:rPr>
                      <w:rFonts w:cs="Times New Roman"/>
                      <w:b/>
                      <w:color w:val="000000"/>
                      <w:sz w:val="16"/>
                      <w:szCs w:val="16"/>
                    </w:rPr>
                  </w:pPr>
                  <w:r w:rsidRPr="00016BED">
                    <w:rPr>
                      <w:rFonts w:cs="Times New Roman"/>
                      <w:b/>
                      <w:color w:val="000000"/>
                      <w:sz w:val="16"/>
                      <w:szCs w:val="16"/>
                    </w:rPr>
                    <w:t>Nr.</w:t>
                  </w:r>
                </w:p>
                <w:p w:rsidR="00B44018" w:rsidRPr="00016BED" w:rsidRDefault="00B44018" w:rsidP="003022CB">
                  <w:pPr>
                    <w:jc w:val="center"/>
                    <w:rPr>
                      <w:rFonts w:cs="Times New Roman"/>
                      <w:b/>
                      <w:color w:val="000000"/>
                      <w:sz w:val="16"/>
                      <w:szCs w:val="16"/>
                    </w:rPr>
                  </w:pPr>
                  <w:r w:rsidRPr="00016BED">
                    <w:rPr>
                      <w:rFonts w:cs="Times New Roman"/>
                      <w:b/>
                      <w:color w:val="000000"/>
                      <w:sz w:val="16"/>
                      <w:szCs w:val="16"/>
                    </w:rPr>
                    <w:t>p.k.</w:t>
                  </w:r>
                </w:p>
              </w:tc>
              <w:tc>
                <w:tcPr>
                  <w:tcW w:w="1547" w:type="dxa"/>
                  <w:vMerge w:val="restart"/>
                  <w:shd w:val="clear" w:color="auto" w:fill="D9D9D9" w:themeFill="background1" w:themeFillShade="D9"/>
                  <w:noWrap/>
                  <w:tcMar>
                    <w:top w:w="0" w:type="dxa"/>
                    <w:left w:w="108" w:type="dxa"/>
                    <w:bottom w:w="0" w:type="dxa"/>
                    <w:right w:w="108" w:type="dxa"/>
                  </w:tcMar>
                  <w:vAlign w:val="center"/>
                  <w:hideMark/>
                </w:tcPr>
                <w:p w:rsidR="00B44018" w:rsidRPr="00016BED" w:rsidRDefault="00B44018" w:rsidP="003022CB">
                  <w:pPr>
                    <w:jc w:val="center"/>
                    <w:rPr>
                      <w:rFonts w:eastAsiaTheme="minorHAnsi" w:cs="Times New Roman"/>
                      <w:b/>
                      <w:color w:val="000000"/>
                      <w:sz w:val="16"/>
                      <w:szCs w:val="16"/>
                    </w:rPr>
                  </w:pPr>
                  <w:r w:rsidRPr="00016BED">
                    <w:rPr>
                      <w:rFonts w:cs="Times New Roman"/>
                      <w:b/>
                      <w:color w:val="000000"/>
                      <w:sz w:val="16"/>
                      <w:szCs w:val="16"/>
                    </w:rPr>
                    <w:t>Izdevumu pozīcija</w:t>
                  </w:r>
                </w:p>
              </w:tc>
              <w:tc>
                <w:tcPr>
                  <w:tcW w:w="1701" w:type="dxa"/>
                  <w:gridSpan w:val="2"/>
                  <w:shd w:val="clear" w:color="auto" w:fill="D9D9D9" w:themeFill="background1" w:themeFillShade="D9"/>
                  <w:tcMar>
                    <w:top w:w="0" w:type="dxa"/>
                    <w:left w:w="108" w:type="dxa"/>
                    <w:bottom w:w="0" w:type="dxa"/>
                    <w:right w:w="108" w:type="dxa"/>
                  </w:tcMar>
                  <w:vAlign w:val="center"/>
                  <w:hideMark/>
                </w:tcPr>
                <w:p w:rsidR="00B44018" w:rsidRPr="00016BED" w:rsidRDefault="00B44018" w:rsidP="003022CB">
                  <w:pPr>
                    <w:jc w:val="center"/>
                    <w:rPr>
                      <w:rFonts w:eastAsiaTheme="minorHAnsi" w:cs="Times New Roman"/>
                      <w:b/>
                      <w:bCs/>
                      <w:sz w:val="16"/>
                      <w:szCs w:val="16"/>
                    </w:rPr>
                  </w:pPr>
                  <w:r w:rsidRPr="00016BED">
                    <w:rPr>
                      <w:rFonts w:eastAsiaTheme="minorHAnsi" w:cs="Times New Roman"/>
                      <w:b/>
                      <w:bCs/>
                      <w:sz w:val="16"/>
                      <w:szCs w:val="16"/>
                    </w:rPr>
                    <w:t>LVL ar PVN</w:t>
                  </w:r>
                </w:p>
              </w:tc>
              <w:tc>
                <w:tcPr>
                  <w:tcW w:w="1702" w:type="dxa"/>
                  <w:gridSpan w:val="2"/>
                  <w:shd w:val="clear" w:color="auto" w:fill="D9D9D9" w:themeFill="background1" w:themeFillShade="D9"/>
                  <w:vAlign w:val="center"/>
                </w:tcPr>
                <w:p w:rsidR="00B44018" w:rsidRPr="00016BED" w:rsidRDefault="00B44018" w:rsidP="003022CB">
                  <w:pPr>
                    <w:jc w:val="center"/>
                    <w:rPr>
                      <w:rFonts w:eastAsiaTheme="minorHAnsi" w:cs="Times New Roman"/>
                      <w:b/>
                      <w:bCs/>
                      <w:sz w:val="16"/>
                      <w:szCs w:val="16"/>
                    </w:rPr>
                  </w:pPr>
                  <w:r w:rsidRPr="00016BED">
                    <w:rPr>
                      <w:rFonts w:eastAsiaTheme="minorHAnsi" w:cs="Times New Roman"/>
                      <w:b/>
                      <w:bCs/>
                      <w:sz w:val="16"/>
                      <w:szCs w:val="16"/>
                    </w:rPr>
                    <w:t>EUR ar PVN</w:t>
                  </w:r>
                </w:p>
              </w:tc>
            </w:tr>
            <w:tr w:rsidR="00B44018" w:rsidRPr="00016BED" w:rsidTr="00DB119E">
              <w:trPr>
                <w:trHeight w:val="70"/>
                <w:tblHeader/>
              </w:trPr>
              <w:tc>
                <w:tcPr>
                  <w:tcW w:w="425" w:type="dxa"/>
                  <w:vMerge/>
                  <w:shd w:val="clear" w:color="auto" w:fill="D9D9D9" w:themeFill="background1" w:themeFillShade="D9"/>
                  <w:vAlign w:val="center"/>
                </w:tcPr>
                <w:p w:rsidR="00B44018" w:rsidRPr="00016BED" w:rsidRDefault="00B44018" w:rsidP="003022CB">
                  <w:pPr>
                    <w:jc w:val="center"/>
                    <w:rPr>
                      <w:rFonts w:cs="Times New Roman"/>
                      <w:b/>
                      <w:color w:val="000000"/>
                      <w:sz w:val="16"/>
                      <w:szCs w:val="16"/>
                    </w:rPr>
                  </w:pPr>
                </w:p>
              </w:tc>
              <w:tc>
                <w:tcPr>
                  <w:tcW w:w="1547" w:type="dxa"/>
                  <w:vMerge/>
                  <w:shd w:val="clear" w:color="auto" w:fill="D9D9D9" w:themeFill="background1" w:themeFillShade="D9"/>
                  <w:noWrap/>
                  <w:tcMar>
                    <w:top w:w="0" w:type="dxa"/>
                    <w:left w:w="108" w:type="dxa"/>
                    <w:bottom w:w="0" w:type="dxa"/>
                    <w:right w:w="108" w:type="dxa"/>
                  </w:tcMar>
                  <w:vAlign w:val="center"/>
                  <w:hideMark/>
                </w:tcPr>
                <w:p w:rsidR="00B44018" w:rsidRPr="00016BED" w:rsidRDefault="00B44018" w:rsidP="003022CB">
                  <w:pPr>
                    <w:jc w:val="center"/>
                    <w:rPr>
                      <w:rFonts w:cs="Times New Roman"/>
                      <w:b/>
                      <w:color w:val="000000"/>
                      <w:sz w:val="16"/>
                      <w:szCs w:val="16"/>
                    </w:rPr>
                  </w:pPr>
                </w:p>
              </w:tc>
              <w:tc>
                <w:tcPr>
                  <w:tcW w:w="850" w:type="dxa"/>
                  <w:shd w:val="clear" w:color="auto" w:fill="D9D9D9" w:themeFill="background1" w:themeFillShade="D9"/>
                  <w:tcMar>
                    <w:top w:w="0" w:type="dxa"/>
                    <w:left w:w="108" w:type="dxa"/>
                    <w:bottom w:w="0" w:type="dxa"/>
                    <w:right w:w="108" w:type="dxa"/>
                  </w:tcMar>
                  <w:vAlign w:val="center"/>
                  <w:hideMark/>
                </w:tcPr>
                <w:p w:rsidR="00B44018" w:rsidRPr="00016BED" w:rsidRDefault="00B44018" w:rsidP="003022CB">
                  <w:pPr>
                    <w:ind w:left="-108" w:right="-108"/>
                    <w:jc w:val="center"/>
                    <w:rPr>
                      <w:rFonts w:cs="Times New Roman"/>
                      <w:b/>
                      <w:bCs/>
                      <w:sz w:val="16"/>
                      <w:szCs w:val="16"/>
                    </w:rPr>
                  </w:pPr>
                  <w:r w:rsidRPr="00016BED">
                    <w:rPr>
                      <w:rFonts w:cs="Times New Roman"/>
                      <w:b/>
                      <w:bCs/>
                      <w:sz w:val="16"/>
                      <w:szCs w:val="16"/>
                    </w:rPr>
                    <w:t>2017.</w:t>
                  </w:r>
                </w:p>
                <w:p w:rsidR="00B44018" w:rsidRPr="00016BED" w:rsidRDefault="00B44018" w:rsidP="003022CB">
                  <w:pPr>
                    <w:ind w:left="-108" w:right="-108"/>
                    <w:jc w:val="center"/>
                    <w:rPr>
                      <w:rFonts w:eastAsiaTheme="minorHAnsi" w:cs="Times New Roman"/>
                      <w:b/>
                      <w:bCs/>
                      <w:sz w:val="16"/>
                      <w:szCs w:val="16"/>
                    </w:rPr>
                  </w:pPr>
                  <w:r w:rsidRPr="00016BED">
                    <w:rPr>
                      <w:rFonts w:cs="Times New Roman"/>
                      <w:b/>
                      <w:bCs/>
                      <w:sz w:val="16"/>
                      <w:szCs w:val="16"/>
                    </w:rPr>
                    <w:t>gadam</w:t>
                  </w:r>
                </w:p>
              </w:tc>
              <w:tc>
                <w:tcPr>
                  <w:tcW w:w="851" w:type="dxa"/>
                  <w:shd w:val="clear" w:color="auto" w:fill="D9D9D9" w:themeFill="background1" w:themeFillShade="D9"/>
                  <w:tcMar>
                    <w:top w:w="0" w:type="dxa"/>
                    <w:left w:w="108" w:type="dxa"/>
                    <w:bottom w:w="0" w:type="dxa"/>
                    <w:right w:w="108" w:type="dxa"/>
                  </w:tcMar>
                  <w:vAlign w:val="center"/>
                  <w:hideMark/>
                </w:tcPr>
                <w:p w:rsidR="00B44018" w:rsidRPr="00016BED" w:rsidRDefault="00B44018" w:rsidP="003022CB">
                  <w:pPr>
                    <w:ind w:left="-108" w:right="-108"/>
                    <w:jc w:val="center"/>
                    <w:rPr>
                      <w:rFonts w:cs="Times New Roman"/>
                      <w:b/>
                      <w:bCs/>
                      <w:sz w:val="16"/>
                      <w:szCs w:val="16"/>
                    </w:rPr>
                  </w:pPr>
                  <w:r w:rsidRPr="00016BED">
                    <w:rPr>
                      <w:rFonts w:cs="Times New Roman"/>
                      <w:b/>
                      <w:bCs/>
                      <w:sz w:val="16"/>
                      <w:szCs w:val="16"/>
                    </w:rPr>
                    <w:t>2018.</w:t>
                  </w:r>
                </w:p>
                <w:p w:rsidR="00B44018" w:rsidRPr="00016BED" w:rsidRDefault="00B44018" w:rsidP="003022CB">
                  <w:pPr>
                    <w:ind w:left="-108" w:right="-108"/>
                    <w:jc w:val="center"/>
                    <w:rPr>
                      <w:rFonts w:cs="Times New Roman"/>
                      <w:b/>
                      <w:bCs/>
                      <w:sz w:val="16"/>
                      <w:szCs w:val="16"/>
                    </w:rPr>
                  </w:pPr>
                  <w:r w:rsidRPr="00016BED">
                    <w:rPr>
                      <w:rFonts w:cs="Times New Roman"/>
                      <w:b/>
                      <w:bCs/>
                      <w:sz w:val="16"/>
                      <w:szCs w:val="16"/>
                    </w:rPr>
                    <w:t xml:space="preserve">gadam un </w:t>
                  </w:r>
                </w:p>
                <w:p w:rsidR="00B44018" w:rsidRPr="00016BED" w:rsidRDefault="00B44018" w:rsidP="003022CB">
                  <w:pPr>
                    <w:ind w:left="-108" w:right="-108"/>
                    <w:jc w:val="center"/>
                    <w:rPr>
                      <w:rFonts w:cs="Times New Roman"/>
                      <w:b/>
                      <w:bCs/>
                      <w:sz w:val="16"/>
                      <w:szCs w:val="16"/>
                    </w:rPr>
                  </w:pPr>
                  <w:r w:rsidRPr="00016BED">
                    <w:rPr>
                      <w:rFonts w:cs="Times New Roman"/>
                      <w:b/>
                      <w:bCs/>
                      <w:sz w:val="16"/>
                      <w:szCs w:val="16"/>
                    </w:rPr>
                    <w:t xml:space="preserve">turpmāka. </w:t>
                  </w:r>
                </w:p>
                <w:p w:rsidR="00B44018" w:rsidRPr="00016BED" w:rsidRDefault="00B44018" w:rsidP="003022CB">
                  <w:pPr>
                    <w:ind w:left="-108" w:right="-108"/>
                    <w:jc w:val="center"/>
                    <w:rPr>
                      <w:rFonts w:eastAsiaTheme="minorHAnsi" w:cs="Times New Roman"/>
                      <w:b/>
                      <w:bCs/>
                      <w:sz w:val="16"/>
                      <w:szCs w:val="16"/>
                    </w:rPr>
                  </w:pPr>
                  <w:r w:rsidRPr="00016BED">
                    <w:rPr>
                      <w:rFonts w:cs="Times New Roman"/>
                      <w:b/>
                      <w:bCs/>
                      <w:sz w:val="16"/>
                      <w:szCs w:val="16"/>
                    </w:rPr>
                    <w:t>gadiem</w:t>
                  </w:r>
                </w:p>
              </w:tc>
              <w:tc>
                <w:tcPr>
                  <w:tcW w:w="851" w:type="dxa"/>
                  <w:shd w:val="clear" w:color="auto" w:fill="D9D9D9" w:themeFill="background1" w:themeFillShade="D9"/>
                  <w:vAlign w:val="center"/>
                </w:tcPr>
                <w:p w:rsidR="00B44018" w:rsidRPr="00016BED" w:rsidRDefault="00B44018" w:rsidP="003022CB">
                  <w:pPr>
                    <w:ind w:left="-108" w:right="-108"/>
                    <w:jc w:val="center"/>
                    <w:rPr>
                      <w:rFonts w:cs="Times New Roman"/>
                      <w:b/>
                      <w:bCs/>
                      <w:sz w:val="16"/>
                      <w:szCs w:val="16"/>
                    </w:rPr>
                  </w:pPr>
                  <w:r w:rsidRPr="00016BED">
                    <w:rPr>
                      <w:rFonts w:cs="Times New Roman"/>
                      <w:b/>
                      <w:bCs/>
                      <w:sz w:val="16"/>
                      <w:szCs w:val="16"/>
                    </w:rPr>
                    <w:t>2017.</w:t>
                  </w:r>
                </w:p>
                <w:p w:rsidR="00B44018" w:rsidRPr="00016BED" w:rsidRDefault="00B44018" w:rsidP="003022CB">
                  <w:pPr>
                    <w:ind w:left="-108" w:right="-108"/>
                    <w:jc w:val="center"/>
                    <w:rPr>
                      <w:rFonts w:eastAsiaTheme="minorHAnsi" w:cs="Times New Roman"/>
                      <w:b/>
                      <w:bCs/>
                      <w:sz w:val="16"/>
                      <w:szCs w:val="16"/>
                    </w:rPr>
                  </w:pPr>
                  <w:r w:rsidRPr="00016BED">
                    <w:rPr>
                      <w:rFonts w:cs="Times New Roman"/>
                      <w:b/>
                      <w:bCs/>
                      <w:sz w:val="16"/>
                      <w:szCs w:val="16"/>
                    </w:rPr>
                    <w:t>gadam</w:t>
                  </w:r>
                </w:p>
              </w:tc>
              <w:tc>
                <w:tcPr>
                  <w:tcW w:w="851" w:type="dxa"/>
                  <w:shd w:val="clear" w:color="auto" w:fill="D9D9D9" w:themeFill="background1" w:themeFillShade="D9"/>
                  <w:vAlign w:val="center"/>
                </w:tcPr>
                <w:p w:rsidR="00B44018" w:rsidRPr="00016BED" w:rsidRDefault="00B44018" w:rsidP="003022CB">
                  <w:pPr>
                    <w:ind w:left="-108" w:right="-108"/>
                    <w:jc w:val="center"/>
                    <w:rPr>
                      <w:rFonts w:cs="Times New Roman"/>
                      <w:b/>
                      <w:bCs/>
                      <w:sz w:val="16"/>
                      <w:szCs w:val="16"/>
                    </w:rPr>
                  </w:pPr>
                  <w:r w:rsidRPr="00016BED">
                    <w:rPr>
                      <w:rFonts w:cs="Times New Roman"/>
                      <w:b/>
                      <w:bCs/>
                      <w:sz w:val="16"/>
                      <w:szCs w:val="16"/>
                    </w:rPr>
                    <w:t>2018.</w:t>
                  </w:r>
                </w:p>
                <w:p w:rsidR="00B44018" w:rsidRPr="00016BED" w:rsidRDefault="00B44018" w:rsidP="003022CB">
                  <w:pPr>
                    <w:ind w:left="-108" w:right="-108"/>
                    <w:jc w:val="center"/>
                    <w:rPr>
                      <w:rFonts w:cs="Times New Roman"/>
                      <w:b/>
                      <w:bCs/>
                      <w:sz w:val="16"/>
                      <w:szCs w:val="16"/>
                    </w:rPr>
                  </w:pPr>
                  <w:r w:rsidRPr="00016BED">
                    <w:rPr>
                      <w:rFonts w:cs="Times New Roman"/>
                      <w:b/>
                      <w:bCs/>
                      <w:sz w:val="16"/>
                      <w:szCs w:val="16"/>
                    </w:rPr>
                    <w:t xml:space="preserve">gadam un </w:t>
                  </w:r>
                </w:p>
                <w:p w:rsidR="00B44018" w:rsidRPr="00016BED" w:rsidRDefault="00B44018" w:rsidP="003022CB">
                  <w:pPr>
                    <w:ind w:left="-108" w:right="-108"/>
                    <w:jc w:val="center"/>
                    <w:rPr>
                      <w:rFonts w:cs="Times New Roman"/>
                      <w:b/>
                      <w:bCs/>
                      <w:sz w:val="16"/>
                      <w:szCs w:val="16"/>
                    </w:rPr>
                  </w:pPr>
                  <w:r w:rsidRPr="00016BED">
                    <w:rPr>
                      <w:rFonts w:cs="Times New Roman"/>
                      <w:b/>
                      <w:bCs/>
                      <w:sz w:val="16"/>
                      <w:szCs w:val="16"/>
                    </w:rPr>
                    <w:t xml:space="preserve">turpmāka. </w:t>
                  </w:r>
                </w:p>
                <w:p w:rsidR="00B44018" w:rsidRPr="00016BED" w:rsidRDefault="00B44018" w:rsidP="003022CB">
                  <w:pPr>
                    <w:ind w:left="-108" w:right="-108"/>
                    <w:jc w:val="center"/>
                    <w:rPr>
                      <w:rFonts w:eastAsiaTheme="minorHAnsi" w:cs="Times New Roman"/>
                      <w:b/>
                      <w:bCs/>
                      <w:sz w:val="16"/>
                      <w:szCs w:val="16"/>
                    </w:rPr>
                  </w:pPr>
                  <w:r w:rsidRPr="00016BED">
                    <w:rPr>
                      <w:rFonts w:cs="Times New Roman"/>
                      <w:b/>
                      <w:bCs/>
                      <w:sz w:val="16"/>
                      <w:szCs w:val="16"/>
                    </w:rPr>
                    <w:t>gadiem</w:t>
                  </w:r>
                </w:p>
              </w:tc>
            </w:tr>
            <w:tr w:rsidR="00B44018" w:rsidRPr="00016BED" w:rsidTr="00DB119E">
              <w:trPr>
                <w:trHeight w:val="111"/>
              </w:trPr>
              <w:tc>
                <w:tcPr>
                  <w:tcW w:w="425" w:type="dxa"/>
                  <w:vAlign w:val="center"/>
                </w:tcPr>
                <w:p w:rsidR="00B44018" w:rsidRPr="00016BED" w:rsidRDefault="00B44018" w:rsidP="003022CB">
                  <w:pPr>
                    <w:jc w:val="center"/>
                    <w:rPr>
                      <w:rFonts w:cs="Times New Roman"/>
                      <w:color w:val="000000"/>
                      <w:sz w:val="16"/>
                      <w:szCs w:val="16"/>
                    </w:rPr>
                  </w:pPr>
                  <w:r w:rsidRPr="00016BED">
                    <w:rPr>
                      <w:rFonts w:cs="Times New Roman"/>
                      <w:color w:val="000000"/>
                      <w:sz w:val="16"/>
                      <w:szCs w:val="16"/>
                    </w:rPr>
                    <w:t>1.</w:t>
                  </w:r>
                </w:p>
              </w:tc>
              <w:tc>
                <w:tcPr>
                  <w:tcW w:w="1547" w:type="dxa"/>
                  <w:noWrap/>
                  <w:tcMar>
                    <w:top w:w="0" w:type="dxa"/>
                    <w:left w:w="108" w:type="dxa"/>
                    <w:bottom w:w="0" w:type="dxa"/>
                    <w:right w:w="108" w:type="dxa"/>
                  </w:tcMar>
                  <w:vAlign w:val="center"/>
                  <w:hideMark/>
                </w:tcPr>
                <w:p w:rsidR="00B44018" w:rsidRPr="00016BED" w:rsidRDefault="00B44018" w:rsidP="003022CB">
                  <w:pPr>
                    <w:rPr>
                      <w:rFonts w:eastAsiaTheme="minorHAnsi" w:cs="Times New Roman"/>
                      <w:color w:val="000000"/>
                      <w:sz w:val="16"/>
                      <w:szCs w:val="16"/>
                    </w:rPr>
                  </w:pPr>
                  <w:r w:rsidRPr="00016BED">
                    <w:rPr>
                      <w:rFonts w:cs="Times New Roman"/>
                      <w:color w:val="000000"/>
                      <w:sz w:val="16"/>
                      <w:szCs w:val="16"/>
                    </w:rPr>
                    <w:t>Nomas maksas palielinājums;</w:t>
                  </w:r>
                </w:p>
              </w:tc>
              <w:tc>
                <w:tcPr>
                  <w:tcW w:w="850" w:type="dxa"/>
                  <w:noWrap/>
                  <w:tcMar>
                    <w:top w:w="0" w:type="dxa"/>
                    <w:left w:w="108" w:type="dxa"/>
                    <w:bottom w:w="0" w:type="dxa"/>
                    <w:right w:w="108" w:type="dxa"/>
                  </w:tcMar>
                  <w:vAlign w:val="center"/>
                  <w:hideMark/>
                </w:tcPr>
                <w:p w:rsidR="00B44018" w:rsidRPr="00016BED" w:rsidRDefault="00B44018" w:rsidP="003022CB">
                  <w:pPr>
                    <w:ind w:left="-108" w:right="-108"/>
                    <w:jc w:val="center"/>
                    <w:rPr>
                      <w:rFonts w:eastAsia="Times New Roman" w:cs="Times New Roman"/>
                      <w:sz w:val="16"/>
                      <w:szCs w:val="16"/>
                    </w:rPr>
                  </w:pPr>
                  <w:r w:rsidRPr="00016BED">
                    <w:rPr>
                      <w:rFonts w:cs="Times New Roman"/>
                      <w:sz w:val="16"/>
                      <w:szCs w:val="16"/>
                    </w:rPr>
                    <w:t>98 472</w:t>
                  </w:r>
                </w:p>
              </w:tc>
              <w:tc>
                <w:tcPr>
                  <w:tcW w:w="851" w:type="dxa"/>
                  <w:noWrap/>
                  <w:tcMar>
                    <w:top w:w="0" w:type="dxa"/>
                    <w:left w:w="108" w:type="dxa"/>
                    <w:bottom w:w="0" w:type="dxa"/>
                    <w:right w:w="108" w:type="dxa"/>
                  </w:tcMar>
                  <w:vAlign w:val="center"/>
                  <w:hideMark/>
                </w:tcPr>
                <w:p w:rsidR="00B44018" w:rsidRPr="00016BED" w:rsidRDefault="00B44018" w:rsidP="003022CB">
                  <w:pPr>
                    <w:ind w:left="-108" w:right="-108"/>
                    <w:jc w:val="center"/>
                    <w:rPr>
                      <w:rFonts w:eastAsia="Times New Roman" w:cs="Times New Roman"/>
                      <w:sz w:val="16"/>
                      <w:szCs w:val="16"/>
                    </w:rPr>
                  </w:pPr>
                  <w:r w:rsidRPr="00016BED">
                    <w:rPr>
                      <w:rFonts w:eastAsia="Times New Roman" w:cs="Times New Roman"/>
                      <w:sz w:val="16"/>
                      <w:szCs w:val="16"/>
                    </w:rPr>
                    <w:t>590 827</w:t>
                  </w:r>
                </w:p>
              </w:tc>
              <w:tc>
                <w:tcPr>
                  <w:tcW w:w="851" w:type="dxa"/>
                  <w:vAlign w:val="center"/>
                </w:tcPr>
                <w:p w:rsidR="00B44018" w:rsidRPr="00016BED" w:rsidRDefault="00B44018" w:rsidP="003022CB">
                  <w:pPr>
                    <w:ind w:left="-108" w:right="-108"/>
                    <w:jc w:val="center"/>
                    <w:rPr>
                      <w:rFonts w:eastAsia="Times New Roman" w:cs="Times New Roman"/>
                      <w:sz w:val="16"/>
                      <w:szCs w:val="16"/>
                    </w:rPr>
                  </w:pPr>
                  <w:r w:rsidRPr="00016BED">
                    <w:rPr>
                      <w:rFonts w:eastAsia="Times New Roman" w:cs="Times New Roman"/>
                      <w:sz w:val="16"/>
                      <w:szCs w:val="16"/>
                    </w:rPr>
                    <w:t>140 113</w:t>
                  </w:r>
                </w:p>
              </w:tc>
              <w:tc>
                <w:tcPr>
                  <w:tcW w:w="851" w:type="dxa"/>
                  <w:vAlign w:val="center"/>
                </w:tcPr>
                <w:p w:rsidR="00B44018" w:rsidRPr="00016BED" w:rsidRDefault="00B44018" w:rsidP="003022CB">
                  <w:pPr>
                    <w:ind w:left="-108" w:right="-108"/>
                    <w:jc w:val="center"/>
                    <w:rPr>
                      <w:rFonts w:eastAsia="Times New Roman" w:cs="Times New Roman"/>
                      <w:sz w:val="16"/>
                      <w:szCs w:val="16"/>
                    </w:rPr>
                  </w:pPr>
                  <w:r w:rsidRPr="00016BED">
                    <w:rPr>
                      <w:rFonts w:eastAsia="Times New Roman" w:cs="Times New Roman"/>
                      <w:sz w:val="16"/>
                      <w:szCs w:val="16"/>
                    </w:rPr>
                    <w:t>840 672</w:t>
                  </w:r>
                </w:p>
              </w:tc>
            </w:tr>
            <w:tr w:rsidR="00B44018" w:rsidRPr="00016BED" w:rsidTr="00DB119E">
              <w:trPr>
                <w:trHeight w:val="78"/>
              </w:trPr>
              <w:tc>
                <w:tcPr>
                  <w:tcW w:w="425" w:type="dxa"/>
                  <w:vAlign w:val="center"/>
                </w:tcPr>
                <w:p w:rsidR="00B44018" w:rsidRPr="00016BED" w:rsidRDefault="00B44018" w:rsidP="003022CB">
                  <w:pPr>
                    <w:jc w:val="center"/>
                    <w:rPr>
                      <w:rFonts w:cs="Times New Roman"/>
                      <w:color w:val="000000"/>
                      <w:sz w:val="16"/>
                      <w:szCs w:val="16"/>
                    </w:rPr>
                  </w:pPr>
                  <w:r w:rsidRPr="00016BED">
                    <w:rPr>
                      <w:rFonts w:cs="Times New Roman"/>
                      <w:color w:val="000000"/>
                      <w:sz w:val="16"/>
                      <w:szCs w:val="16"/>
                    </w:rPr>
                    <w:t>2.</w:t>
                  </w:r>
                </w:p>
              </w:tc>
              <w:tc>
                <w:tcPr>
                  <w:tcW w:w="1547" w:type="dxa"/>
                  <w:noWrap/>
                  <w:tcMar>
                    <w:top w:w="0" w:type="dxa"/>
                    <w:left w:w="108" w:type="dxa"/>
                    <w:bottom w:w="0" w:type="dxa"/>
                    <w:right w:w="108" w:type="dxa"/>
                  </w:tcMar>
                  <w:vAlign w:val="center"/>
                  <w:hideMark/>
                </w:tcPr>
                <w:p w:rsidR="00B44018" w:rsidRPr="00016BED" w:rsidRDefault="00B44018" w:rsidP="003022CB">
                  <w:pPr>
                    <w:rPr>
                      <w:rFonts w:eastAsiaTheme="minorHAnsi" w:cs="Times New Roman"/>
                      <w:color w:val="000000"/>
                      <w:sz w:val="16"/>
                      <w:szCs w:val="16"/>
                    </w:rPr>
                  </w:pPr>
                  <w:r w:rsidRPr="00016BED">
                    <w:rPr>
                      <w:rFonts w:cs="Times New Roman"/>
                      <w:color w:val="000000"/>
                      <w:sz w:val="16"/>
                      <w:szCs w:val="16"/>
                    </w:rPr>
                    <w:t>Pārcelšanās izdevumi;</w:t>
                  </w:r>
                </w:p>
              </w:tc>
              <w:tc>
                <w:tcPr>
                  <w:tcW w:w="850" w:type="dxa"/>
                  <w:noWrap/>
                  <w:tcMar>
                    <w:top w:w="0" w:type="dxa"/>
                    <w:left w:w="108" w:type="dxa"/>
                    <w:bottom w:w="0" w:type="dxa"/>
                    <w:right w:w="108" w:type="dxa"/>
                  </w:tcMar>
                  <w:vAlign w:val="center"/>
                  <w:hideMark/>
                </w:tcPr>
                <w:p w:rsidR="00B44018" w:rsidRPr="00016BED" w:rsidRDefault="00B44018" w:rsidP="003022CB">
                  <w:pPr>
                    <w:ind w:left="-108" w:right="-108"/>
                    <w:jc w:val="center"/>
                    <w:rPr>
                      <w:rFonts w:eastAsia="Times New Roman" w:cs="Times New Roman"/>
                      <w:sz w:val="16"/>
                      <w:szCs w:val="16"/>
                    </w:rPr>
                  </w:pPr>
                  <w:r w:rsidRPr="00016BED">
                    <w:rPr>
                      <w:rFonts w:cs="Times New Roman"/>
                      <w:sz w:val="16"/>
                      <w:szCs w:val="16"/>
                    </w:rPr>
                    <w:t>38 420</w:t>
                  </w:r>
                </w:p>
              </w:tc>
              <w:tc>
                <w:tcPr>
                  <w:tcW w:w="851" w:type="dxa"/>
                  <w:noWrap/>
                  <w:tcMar>
                    <w:top w:w="0" w:type="dxa"/>
                    <w:left w:w="108" w:type="dxa"/>
                    <w:bottom w:w="0" w:type="dxa"/>
                    <w:right w:w="108" w:type="dxa"/>
                  </w:tcMar>
                  <w:vAlign w:val="center"/>
                  <w:hideMark/>
                </w:tcPr>
                <w:p w:rsidR="00B44018" w:rsidRPr="00016BED" w:rsidRDefault="00B44018" w:rsidP="003022CB">
                  <w:pPr>
                    <w:ind w:left="-108" w:right="-108"/>
                    <w:jc w:val="center"/>
                    <w:rPr>
                      <w:rFonts w:eastAsia="Times New Roman" w:cs="Times New Roman"/>
                      <w:sz w:val="16"/>
                      <w:szCs w:val="16"/>
                    </w:rPr>
                  </w:pPr>
                </w:p>
              </w:tc>
              <w:tc>
                <w:tcPr>
                  <w:tcW w:w="851" w:type="dxa"/>
                  <w:vAlign w:val="center"/>
                </w:tcPr>
                <w:p w:rsidR="00B44018" w:rsidRPr="00016BED" w:rsidRDefault="00B44018" w:rsidP="003022CB">
                  <w:pPr>
                    <w:ind w:left="-108" w:right="-108"/>
                    <w:jc w:val="center"/>
                    <w:rPr>
                      <w:rFonts w:eastAsia="Times New Roman" w:cs="Times New Roman"/>
                      <w:sz w:val="16"/>
                      <w:szCs w:val="16"/>
                    </w:rPr>
                  </w:pPr>
                  <w:r w:rsidRPr="00016BED">
                    <w:rPr>
                      <w:rFonts w:cs="Times New Roman"/>
                      <w:sz w:val="16"/>
                      <w:szCs w:val="16"/>
                      <w:lang w:eastAsia="lv-LV"/>
                    </w:rPr>
                    <w:t>54 667</w:t>
                  </w:r>
                </w:p>
              </w:tc>
              <w:tc>
                <w:tcPr>
                  <w:tcW w:w="851" w:type="dxa"/>
                  <w:vAlign w:val="center"/>
                </w:tcPr>
                <w:p w:rsidR="00B44018" w:rsidRPr="00016BED" w:rsidRDefault="00B44018" w:rsidP="003022CB">
                  <w:pPr>
                    <w:ind w:left="-108" w:right="-108"/>
                    <w:jc w:val="center"/>
                    <w:rPr>
                      <w:rFonts w:eastAsia="Times New Roman" w:cs="Times New Roman"/>
                      <w:sz w:val="16"/>
                      <w:szCs w:val="16"/>
                    </w:rPr>
                  </w:pPr>
                </w:p>
              </w:tc>
            </w:tr>
            <w:tr w:rsidR="00B44018" w:rsidRPr="00016BED" w:rsidTr="00DB119E">
              <w:trPr>
                <w:trHeight w:val="70"/>
              </w:trPr>
              <w:tc>
                <w:tcPr>
                  <w:tcW w:w="425" w:type="dxa"/>
                  <w:vAlign w:val="center"/>
                </w:tcPr>
                <w:p w:rsidR="00B44018" w:rsidRPr="00016BED" w:rsidRDefault="00B44018" w:rsidP="003022CB">
                  <w:pPr>
                    <w:jc w:val="center"/>
                    <w:rPr>
                      <w:rFonts w:cs="Times New Roman"/>
                      <w:color w:val="000000"/>
                      <w:sz w:val="16"/>
                      <w:szCs w:val="16"/>
                    </w:rPr>
                  </w:pPr>
                  <w:r w:rsidRPr="00016BED">
                    <w:rPr>
                      <w:rFonts w:cs="Times New Roman"/>
                      <w:color w:val="000000"/>
                      <w:sz w:val="16"/>
                      <w:szCs w:val="16"/>
                    </w:rPr>
                    <w:t>3.</w:t>
                  </w:r>
                </w:p>
              </w:tc>
              <w:tc>
                <w:tcPr>
                  <w:tcW w:w="1547" w:type="dxa"/>
                  <w:noWrap/>
                  <w:tcMar>
                    <w:top w:w="0" w:type="dxa"/>
                    <w:left w:w="108" w:type="dxa"/>
                    <w:bottom w:w="0" w:type="dxa"/>
                    <w:right w:w="108" w:type="dxa"/>
                  </w:tcMar>
                  <w:vAlign w:val="center"/>
                  <w:hideMark/>
                </w:tcPr>
                <w:p w:rsidR="00B44018" w:rsidRPr="00016BED" w:rsidRDefault="00B44018" w:rsidP="003022CB">
                  <w:pPr>
                    <w:rPr>
                      <w:rFonts w:eastAsiaTheme="minorHAnsi" w:cs="Times New Roman"/>
                      <w:color w:val="000000"/>
                      <w:sz w:val="16"/>
                      <w:szCs w:val="16"/>
                    </w:rPr>
                  </w:pPr>
                  <w:r w:rsidRPr="00016BED">
                    <w:rPr>
                      <w:rFonts w:cs="Times New Roman"/>
                      <w:color w:val="000000"/>
                      <w:sz w:val="16"/>
                      <w:szCs w:val="16"/>
                    </w:rPr>
                    <w:t>Ar informācijas tehnoloģijām (IT) saistītie izdevumi;</w:t>
                  </w:r>
                </w:p>
              </w:tc>
              <w:tc>
                <w:tcPr>
                  <w:tcW w:w="850" w:type="dxa"/>
                  <w:noWrap/>
                  <w:tcMar>
                    <w:top w:w="0" w:type="dxa"/>
                    <w:left w:w="108" w:type="dxa"/>
                    <w:bottom w:w="0" w:type="dxa"/>
                    <w:right w:w="108" w:type="dxa"/>
                  </w:tcMar>
                  <w:vAlign w:val="center"/>
                  <w:hideMark/>
                </w:tcPr>
                <w:p w:rsidR="00B44018" w:rsidRPr="00016BED" w:rsidRDefault="00B44018" w:rsidP="003022CB">
                  <w:pPr>
                    <w:ind w:left="-108" w:right="-108"/>
                    <w:jc w:val="center"/>
                    <w:rPr>
                      <w:rFonts w:eastAsia="Times New Roman" w:cs="Times New Roman"/>
                      <w:sz w:val="16"/>
                      <w:szCs w:val="16"/>
                    </w:rPr>
                  </w:pPr>
                  <w:r w:rsidRPr="00016BED">
                    <w:rPr>
                      <w:rFonts w:cs="Times New Roman"/>
                      <w:sz w:val="16"/>
                      <w:szCs w:val="16"/>
                    </w:rPr>
                    <w:t>112 497</w:t>
                  </w:r>
                </w:p>
              </w:tc>
              <w:tc>
                <w:tcPr>
                  <w:tcW w:w="851" w:type="dxa"/>
                  <w:noWrap/>
                  <w:tcMar>
                    <w:top w:w="0" w:type="dxa"/>
                    <w:left w:w="108" w:type="dxa"/>
                    <w:bottom w:w="0" w:type="dxa"/>
                    <w:right w:w="108" w:type="dxa"/>
                  </w:tcMar>
                  <w:vAlign w:val="center"/>
                  <w:hideMark/>
                </w:tcPr>
                <w:p w:rsidR="00B44018" w:rsidRPr="00016BED" w:rsidRDefault="00B44018" w:rsidP="003022CB">
                  <w:pPr>
                    <w:ind w:left="-108" w:right="-108"/>
                    <w:jc w:val="center"/>
                    <w:rPr>
                      <w:rFonts w:eastAsia="Times New Roman" w:cs="Times New Roman"/>
                      <w:sz w:val="16"/>
                      <w:szCs w:val="16"/>
                    </w:rPr>
                  </w:pPr>
                </w:p>
              </w:tc>
              <w:tc>
                <w:tcPr>
                  <w:tcW w:w="851" w:type="dxa"/>
                  <w:vAlign w:val="center"/>
                </w:tcPr>
                <w:p w:rsidR="00B44018" w:rsidRPr="00016BED" w:rsidRDefault="00B44018" w:rsidP="003022CB">
                  <w:pPr>
                    <w:ind w:left="-108" w:right="-108"/>
                    <w:jc w:val="center"/>
                    <w:rPr>
                      <w:rFonts w:eastAsia="Times New Roman" w:cs="Times New Roman"/>
                      <w:sz w:val="16"/>
                      <w:szCs w:val="16"/>
                    </w:rPr>
                  </w:pPr>
                  <w:r w:rsidRPr="00016BED">
                    <w:rPr>
                      <w:rFonts w:cs="Times New Roman"/>
                      <w:sz w:val="16"/>
                      <w:szCs w:val="16"/>
                      <w:lang w:eastAsia="lv-LV"/>
                    </w:rPr>
                    <w:t>160 068</w:t>
                  </w:r>
                </w:p>
              </w:tc>
              <w:tc>
                <w:tcPr>
                  <w:tcW w:w="851" w:type="dxa"/>
                  <w:vAlign w:val="center"/>
                </w:tcPr>
                <w:p w:rsidR="00B44018" w:rsidRPr="00016BED" w:rsidRDefault="00B44018" w:rsidP="003022CB">
                  <w:pPr>
                    <w:ind w:left="-108" w:right="-108"/>
                    <w:jc w:val="center"/>
                    <w:rPr>
                      <w:rFonts w:eastAsia="Times New Roman" w:cs="Times New Roman"/>
                      <w:sz w:val="16"/>
                      <w:szCs w:val="16"/>
                    </w:rPr>
                  </w:pPr>
                </w:p>
              </w:tc>
            </w:tr>
            <w:tr w:rsidR="00B44018" w:rsidRPr="00016BED" w:rsidTr="00DB119E">
              <w:trPr>
                <w:trHeight w:val="70"/>
              </w:trPr>
              <w:tc>
                <w:tcPr>
                  <w:tcW w:w="425" w:type="dxa"/>
                  <w:vAlign w:val="center"/>
                </w:tcPr>
                <w:p w:rsidR="00B44018" w:rsidRPr="00016BED" w:rsidRDefault="00B44018" w:rsidP="003022CB">
                  <w:pPr>
                    <w:jc w:val="center"/>
                    <w:rPr>
                      <w:rFonts w:cs="Times New Roman"/>
                      <w:color w:val="000000"/>
                      <w:sz w:val="16"/>
                      <w:szCs w:val="16"/>
                    </w:rPr>
                  </w:pPr>
                  <w:r w:rsidRPr="00016BED">
                    <w:rPr>
                      <w:rFonts w:cs="Times New Roman"/>
                      <w:color w:val="000000"/>
                      <w:sz w:val="16"/>
                      <w:szCs w:val="16"/>
                    </w:rPr>
                    <w:t>4.</w:t>
                  </w:r>
                </w:p>
              </w:tc>
              <w:tc>
                <w:tcPr>
                  <w:tcW w:w="1547" w:type="dxa"/>
                  <w:noWrap/>
                  <w:tcMar>
                    <w:top w:w="0" w:type="dxa"/>
                    <w:left w:w="108" w:type="dxa"/>
                    <w:bottom w:w="0" w:type="dxa"/>
                    <w:right w:w="108" w:type="dxa"/>
                  </w:tcMar>
                  <w:vAlign w:val="center"/>
                  <w:hideMark/>
                </w:tcPr>
                <w:p w:rsidR="00B44018" w:rsidRPr="00016BED" w:rsidRDefault="00B44018" w:rsidP="003022CB">
                  <w:pPr>
                    <w:rPr>
                      <w:rFonts w:eastAsiaTheme="minorHAnsi" w:cs="Times New Roman"/>
                      <w:color w:val="000000"/>
                      <w:sz w:val="16"/>
                      <w:szCs w:val="16"/>
                    </w:rPr>
                  </w:pPr>
                  <w:r w:rsidRPr="00016BED">
                    <w:rPr>
                      <w:rFonts w:cs="Times New Roman"/>
                      <w:color w:val="000000"/>
                      <w:sz w:val="16"/>
                      <w:szCs w:val="16"/>
                    </w:rPr>
                    <w:t>Izdevumi aprīkojuma un mēbeļu iegādei;</w:t>
                  </w:r>
                </w:p>
              </w:tc>
              <w:tc>
                <w:tcPr>
                  <w:tcW w:w="850" w:type="dxa"/>
                  <w:noWrap/>
                  <w:tcMar>
                    <w:top w:w="0" w:type="dxa"/>
                    <w:left w:w="108" w:type="dxa"/>
                    <w:bottom w:w="0" w:type="dxa"/>
                    <w:right w:w="108" w:type="dxa"/>
                  </w:tcMar>
                  <w:vAlign w:val="center"/>
                  <w:hideMark/>
                </w:tcPr>
                <w:p w:rsidR="00B44018" w:rsidRPr="00016BED" w:rsidRDefault="00B44018" w:rsidP="003022CB">
                  <w:pPr>
                    <w:ind w:left="-108" w:right="-108"/>
                    <w:jc w:val="center"/>
                    <w:rPr>
                      <w:rFonts w:eastAsia="Times New Roman" w:cs="Times New Roman"/>
                      <w:sz w:val="16"/>
                      <w:szCs w:val="16"/>
                    </w:rPr>
                  </w:pPr>
                  <w:r w:rsidRPr="00016BED">
                    <w:rPr>
                      <w:rFonts w:cs="Times New Roman"/>
                      <w:sz w:val="16"/>
                      <w:szCs w:val="16"/>
                    </w:rPr>
                    <w:t>306 173</w:t>
                  </w:r>
                </w:p>
              </w:tc>
              <w:tc>
                <w:tcPr>
                  <w:tcW w:w="851" w:type="dxa"/>
                  <w:noWrap/>
                  <w:tcMar>
                    <w:top w:w="0" w:type="dxa"/>
                    <w:left w:w="108" w:type="dxa"/>
                    <w:bottom w:w="0" w:type="dxa"/>
                    <w:right w:w="108" w:type="dxa"/>
                  </w:tcMar>
                  <w:vAlign w:val="center"/>
                  <w:hideMark/>
                </w:tcPr>
                <w:p w:rsidR="00B44018" w:rsidRPr="00016BED" w:rsidRDefault="00B44018" w:rsidP="003022CB">
                  <w:pPr>
                    <w:ind w:left="-108" w:right="-108"/>
                    <w:jc w:val="center"/>
                    <w:rPr>
                      <w:rFonts w:eastAsia="Times New Roman" w:cs="Times New Roman"/>
                      <w:sz w:val="16"/>
                      <w:szCs w:val="16"/>
                    </w:rPr>
                  </w:pPr>
                </w:p>
              </w:tc>
              <w:tc>
                <w:tcPr>
                  <w:tcW w:w="851" w:type="dxa"/>
                  <w:vAlign w:val="center"/>
                </w:tcPr>
                <w:p w:rsidR="00B44018" w:rsidRPr="00016BED" w:rsidRDefault="00B44018" w:rsidP="003022CB">
                  <w:pPr>
                    <w:ind w:left="-108" w:right="-108"/>
                    <w:jc w:val="center"/>
                    <w:rPr>
                      <w:rFonts w:eastAsia="Times New Roman" w:cs="Times New Roman"/>
                      <w:sz w:val="16"/>
                      <w:szCs w:val="16"/>
                    </w:rPr>
                  </w:pPr>
                  <w:r w:rsidRPr="00016BED">
                    <w:rPr>
                      <w:rFonts w:cs="Times New Roman"/>
                      <w:sz w:val="16"/>
                      <w:szCs w:val="16"/>
                    </w:rPr>
                    <w:t>435 645</w:t>
                  </w:r>
                </w:p>
              </w:tc>
              <w:tc>
                <w:tcPr>
                  <w:tcW w:w="851" w:type="dxa"/>
                  <w:vAlign w:val="center"/>
                </w:tcPr>
                <w:p w:rsidR="00B44018" w:rsidRPr="00016BED" w:rsidRDefault="00B44018" w:rsidP="003022CB">
                  <w:pPr>
                    <w:ind w:left="-108" w:right="-108"/>
                    <w:jc w:val="center"/>
                    <w:rPr>
                      <w:rFonts w:eastAsia="Times New Roman" w:cs="Times New Roman"/>
                      <w:sz w:val="16"/>
                      <w:szCs w:val="16"/>
                    </w:rPr>
                  </w:pPr>
                </w:p>
              </w:tc>
            </w:tr>
            <w:tr w:rsidR="00B44018" w:rsidRPr="00016BED" w:rsidTr="00DB119E">
              <w:trPr>
                <w:trHeight w:val="60"/>
              </w:trPr>
              <w:tc>
                <w:tcPr>
                  <w:tcW w:w="425" w:type="dxa"/>
                  <w:shd w:val="clear" w:color="auto" w:fill="D9D9D9" w:themeFill="background1" w:themeFillShade="D9"/>
                  <w:vAlign w:val="center"/>
                </w:tcPr>
                <w:p w:rsidR="00B44018" w:rsidRPr="00016BED" w:rsidRDefault="00B44018" w:rsidP="003022CB">
                  <w:pPr>
                    <w:jc w:val="center"/>
                    <w:rPr>
                      <w:rFonts w:cs="Times New Roman"/>
                      <w:b/>
                      <w:color w:val="000000"/>
                      <w:sz w:val="16"/>
                      <w:szCs w:val="16"/>
                    </w:rPr>
                  </w:pPr>
                </w:p>
              </w:tc>
              <w:tc>
                <w:tcPr>
                  <w:tcW w:w="1547" w:type="dxa"/>
                  <w:shd w:val="clear" w:color="auto" w:fill="D9D9D9" w:themeFill="background1" w:themeFillShade="D9"/>
                  <w:noWrap/>
                  <w:tcMar>
                    <w:top w:w="0" w:type="dxa"/>
                    <w:left w:w="108" w:type="dxa"/>
                    <w:bottom w:w="0" w:type="dxa"/>
                    <w:right w:w="108" w:type="dxa"/>
                  </w:tcMar>
                  <w:vAlign w:val="center"/>
                  <w:hideMark/>
                </w:tcPr>
                <w:p w:rsidR="00B44018" w:rsidRPr="00016BED" w:rsidRDefault="00B44018" w:rsidP="003022CB">
                  <w:pPr>
                    <w:jc w:val="center"/>
                    <w:rPr>
                      <w:rFonts w:eastAsiaTheme="minorHAnsi" w:cs="Times New Roman"/>
                      <w:b/>
                      <w:color w:val="000000"/>
                      <w:sz w:val="16"/>
                      <w:szCs w:val="16"/>
                    </w:rPr>
                  </w:pPr>
                  <w:r w:rsidRPr="00016BED">
                    <w:rPr>
                      <w:rFonts w:cs="Times New Roman"/>
                      <w:b/>
                      <w:color w:val="000000"/>
                      <w:sz w:val="16"/>
                      <w:szCs w:val="16"/>
                    </w:rPr>
                    <w:t>Kopā VB:</w:t>
                  </w:r>
                </w:p>
              </w:tc>
              <w:tc>
                <w:tcPr>
                  <w:tcW w:w="850" w:type="dxa"/>
                  <w:shd w:val="clear" w:color="auto" w:fill="D9D9D9" w:themeFill="background1" w:themeFillShade="D9"/>
                  <w:noWrap/>
                  <w:tcMar>
                    <w:top w:w="0" w:type="dxa"/>
                    <w:left w:w="108" w:type="dxa"/>
                    <w:bottom w:w="0" w:type="dxa"/>
                    <w:right w:w="108" w:type="dxa"/>
                  </w:tcMar>
                  <w:vAlign w:val="center"/>
                  <w:hideMark/>
                </w:tcPr>
                <w:p w:rsidR="00B44018" w:rsidRPr="00016BED" w:rsidRDefault="00E33AAA" w:rsidP="003022CB">
                  <w:pPr>
                    <w:ind w:left="-108" w:right="-108"/>
                    <w:jc w:val="center"/>
                    <w:rPr>
                      <w:rFonts w:cs="Times New Roman"/>
                      <w:b/>
                      <w:sz w:val="16"/>
                      <w:szCs w:val="16"/>
                    </w:rPr>
                  </w:pPr>
                  <w:r w:rsidRPr="00016BED">
                    <w:rPr>
                      <w:rFonts w:cs="Times New Roman"/>
                      <w:b/>
                      <w:sz w:val="16"/>
                      <w:szCs w:val="16"/>
                    </w:rPr>
                    <w:t>555 562</w:t>
                  </w:r>
                </w:p>
              </w:tc>
              <w:tc>
                <w:tcPr>
                  <w:tcW w:w="851" w:type="dxa"/>
                  <w:shd w:val="clear" w:color="auto" w:fill="D9D9D9" w:themeFill="background1" w:themeFillShade="D9"/>
                  <w:noWrap/>
                  <w:tcMar>
                    <w:top w:w="0" w:type="dxa"/>
                    <w:left w:w="108" w:type="dxa"/>
                    <w:bottom w:w="0" w:type="dxa"/>
                    <w:right w:w="108" w:type="dxa"/>
                  </w:tcMar>
                  <w:vAlign w:val="center"/>
                  <w:hideMark/>
                </w:tcPr>
                <w:p w:rsidR="00B44018" w:rsidRPr="00016BED" w:rsidRDefault="00B44018" w:rsidP="003022CB">
                  <w:pPr>
                    <w:ind w:left="-108" w:right="-108"/>
                    <w:jc w:val="center"/>
                    <w:rPr>
                      <w:rFonts w:cs="Times New Roman"/>
                      <w:b/>
                      <w:sz w:val="16"/>
                      <w:szCs w:val="16"/>
                    </w:rPr>
                  </w:pPr>
                  <w:r w:rsidRPr="00016BED">
                    <w:rPr>
                      <w:rFonts w:cs="Times New Roman"/>
                      <w:b/>
                      <w:sz w:val="16"/>
                      <w:szCs w:val="16"/>
                    </w:rPr>
                    <w:t>590 827</w:t>
                  </w:r>
                </w:p>
              </w:tc>
              <w:tc>
                <w:tcPr>
                  <w:tcW w:w="851" w:type="dxa"/>
                  <w:shd w:val="clear" w:color="auto" w:fill="D9D9D9" w:themeFill="background1" w:themeFillShade="D9"/>
                  <w:vAlign w:val="center"/>
                </w:tcPr>
                <w:p w:rsidR="00B44018" w:rsidRPr="00016BED" w:rsidRDefault="00B44018" w:rsidP="003022CB">
                  <w:pPr>
                    <w:ind w:left="-108" w:right="-108"/>
                    <w:jc w:val="center"/>
                    <w:rPr>
                      <w:rFonts w:cs="Times New Roman"/>
                      <w:b/>
                      <w:sz w:val="16"/>
                      <w:szCs w:val="16"/>
                    </w:rPr>
                  </w:pPr>
                  <w:r w:rsidRPr="00016BED">
                    <w:rPr>
                      <w:rFonts w:cs="Times New Roman"/>
                      <w:b/>
                      <w:sz w:val="16"/>
                      <w:szCs w:val="16"/>
                    </w:rPr>
                    <w:t>790 493</w:t>
                  </w:r>
                </w:p>
              </w:tc>
              <w:tc>
                <w:tcPr>
                  <w:tcW w:w="851" w:type="dxa"/>
                  <w:shd w:val="clear" w:color="auto" w:fill="D9D9D9" w:themeFill="background1" w:themeFillShade="D9"/>
                  <w:vAlign w:val="center"/>
                </w:tcPr>
                <w:p w:rsidR="00B44018" w:rsidRPr="00016BED" w:rsidRDefault="00B44018" w:rsidP="003022CB">
                  <w:pPr>
                    <w:ind w:left="-108" w:right="-108"/>
                    <w:jc w:val="center"/>
                    <w:rPr>
                      <w:rFonts w:cs="Times New Roman"/>
                      <w:b/>
                      <w:sz w:val="16"/>
                      <w:szCs w:val="16"/>
                    </w:rPr>
                  </w:pPr>
                  <w:r w:rsidRPr="00016BED">
                    <w:rPr>
                      <w:rFonts w:cs="Times New Roman"/>
                      <w:b/>
                      <w:sz w:val="16"/>
                      <w:szCs w:val="16"/>
                    </w:rPr>
                    <w:t>840 672</w:t>
                  </w:r>
                </w:p>
              </w:tc>
            </w:tr>
          </w:tbl>
          <w:p w:rsidR="00B44018" w:rsidRPr="00016BED" w:rsidRDefault="00B44018" w:rsidP="003022CB">
            <w:pPr>
              <w:rPr>
                <w:rFonts w:cs="Times New Roman"/>
                <w:sz w:val="24"/>
                <w:szCs w:val="24"/>
              </w:rPr>
            </w:pPr>
          </w:p>
          <w:p w:rsidR="00A45B37" w:rsidRPr="00016BED" w:rsidRDefault="00B44018" w:rsidP="00BC75E3">
            <w:pPr>
              <w:pStyle w:val="NormalWeb"/>
              <w:spacing w:before="0" w:beforeAutospacing="0" w:after="0" w:afterAutospacing="0"/>
              <w:ind w:left="61" w:right="125"/>
              <w:jc w:val="both"/>
            </w:pPr>
            <w:r w:rsidRPr="00016BED">
              <w:t xml:space="preserve">Ņemot vērā to, ka nomas maksas </w:t>
            </w:r>
            <w:r w:rsidR="001436E4" w:rsidRPr="00016BED">
              <w:t>apmēri</w:t>
            </w:r>
            <w:r w:rsidRPr="00016BED">
              <w:t xml:space="preserve"> ir balstīti uz provizoriskiem aprēķiniem, t.sk. </w:t>
            </w:r>
            <w:r w:rsidR="00BC75E3" w:rsidRPr="00016BED">
              <w:t>izdevumu</w:t>
            </w:r>
            <w:r w:rsidRPr="00016BED">
              <w:t xml:space="preserve"> komponente rekonstrukcijas darbu kapitālieguldījumi (K)</w:t>
            </w:r>
            <w:r w:rsidR="001436E4" w:rsidRPr="00016BED">
              <w:t>, apsaimniekošana u.c.</w:t>
            </w:r>
            <w:r w:rsidRPr="00016BED">
              <w:t>, Ministru kabineta rīkojumā projektā</w:t>
            </w:r>
            <w:r w:rsidR="001436E4" w:rsidRPr="00016BED">
              <w:t xml:space="preserve"> ir paredzēts sistēmisks </w:t>
            </w:r>
            <w:r w:rsidRPr="00016BED">
              <w:t>uzdevums Finanšu ministrijai (VNĪ) un VARAM pēc objektīvu apstākļu iestāšanās, t.i. pēc būvniecības tehniskā projekta izstrādes, pēc būvniecības līguma noslēgšanas, būvniecības darbu laikā, kā arī pēc būvniecības darbu pabeigšanas</w:t>
            </w:r>
            <w:r w:rsidR="001436E4" w:rsidRPr="00016BED">
              <w:t xml:space="preserve">, precizēt Ministru kabineta rīkojumā </w:t>
            </w:r>
            <w:r w:rsidR="000B5365" w:rsidRPr="00016BED">
              <w:t xml:space="preserve">projektā </w:t>
            </w:r>
            <w:r w:rsidR="001436E4" w:rsidRPr="00016BED">
              <w:t>paredzētos finanšu apmērus atbilstoši VNĪ faktiskaj</w:t>
            </w:r>
            <w:r w:rsidR="00BC75E3" w:rsidRPr="00016BED">
              <w:t xml:space="preserve">iem </w:t>
            </w:r>
            <w:r w:rsidR="001436E4" w:rsidRPr="00016BED">
              <w:t xml:space="preserve">būvniecības un </w:t>
            </w:r>
            <w:r w:rsidR="00BC75E3" w:rsidRPr="00016BED">
              <w:t xml:space="preserve">citiem </w:t>
            </w:r>
            <w:r w:rsidR="001436E4" w:rsidRPr="00016BED">
              <w:t xml:space="preserve">pārvaldīšanas </w:t>
            </w:r>
            <w:r w:rsidR="00BC75E3" w:rsidRPr="00016BED">
              <w:t>izdevumiem</w:t>
            </w:r>
            <w:r w:rsidR="001436E4" w:rsidRPr="00016BED">
              <w:t>.</w:t>
            </w:r>
          </w:p>
        </w:tc>
      </w:tr>
      <w:tr w:rsidR="00A45B37" w:rsidRPr="00016BED" w:rsidTr="00F229F9">
        <w:tc>
          <w:tcPr>
            <w:tcW w:w="350" w:type="pct"/>
            <w:tcBorders>
              <w:right w:val="dotted" w:sz="4" w:space="0" w:color="auto"/>
            </w:tcBorders>
          </w:tcPr>
          <w:p w:rsidR="00A45B37" w:rsidRPr="00016BED" w:rsidRDefault="00A45B37" w:rsidP="003022CB">
            <w:pPr>
              <w:pStyle w:val="naiskr"/>
              <w:tabs>
                <w:tab w:val="left" w:pos="366"/>
              </w:tabs>
              <w:spacing w:before="0" w:beforeAutospacing="0" w:after="0" w:afterAutospacing="0"/>
              <w:ind w:left="61" w:right="158"/>
              <w:jc w:val="both"/>
              <w:rPr>
                <w:b/>
                <w:bCs/>
              </w:rPr>
            </w:pPr>
          </w:p>
        </w:tc>
        <w:tc>
          <w:tcPr>
            <w:tcW w:w="4650" w:type="pct"/>
            <w:gridSpan w:val="8"/>
            <w:tcBorders>
              <w:left w:val="dotted" w:sz="4" w:space="0" w:color="auto"/>
            </w:tcBorders>
          </w:tcPr>
          <w:p w:rsidR="00A45B37" w:rsidRPr="00016BED" w:rsidRDefault="00A45B37" w:rsidP="003022CB">
            <w:pPr>
              <w:pStyle w:val="naiskr"/>
              <w:tabs>
                <w:tab w:val="left" w:pos="366"/>
              </w:tabs>
              <w:spacing w:before="0" w:beforeAutospacing="0" w:after="0" w:afterAutospacing="0"/>
              <w:ind w:left="61" w:right="158"/>
              <w:jc w:val="both"/>
              <w:rPr>
                <w:bCs/>
              </w:rPr>
            </w:pPr>
            <w:r w:rsidRPr="00016BED">
              <w:rPr>
                <w:b/>
                <w:bCs/>
              </w:rPr>
              <w:t>VII. Tiesību akta projekta izpildes nodrošināšana un tās ietekme uz institūcijām</w:t>
            </w:r>
          </w:p>
        </w:tc>
      </w:tr>
      <w:tr w:rsidR="00A45B37" w:rsidRPr="00016BED" w:rsidTr="0085774C">
        <w:tc>
          <w:tcPr>
            <w:tcW w:w="350" w:type="pct"/>
            <w:tcBorders>
              <w:right w:val="dotted" w:sz="4" w:space="0" w:color="auto"/>
            </w:tcBorders>
          </w:tcPr>
          <w:p w:rsidR="00A45B37" w:rsidRPr="00016BED" w:rsidRDefault="00A45B37" w:rsidP="003022CB">
            <w:pPr>
              <w:pStyle w:val="naiskr"/>
              <w:spacing w:before="0" w:beforeAutospacing="0" w:after="0" w:afterAutospacing="0"/>
              <w:jc w:val="center"/>
            </w:pPr>
            <w:r w:rsidRPr="00016BED">
              <w:t>1.</w:t>
            </w:r>
          </w:p>
        </w:tc>
        <w:tc>
          <w:tcPr>
            <w:tcW w:w="2221" w:type="pct"/>
            <w:gridSpan w:val="4"/>
            <w:tcBorders>
              <w:left w:val="dotted" w:sz="4" w:space="0" w:color="auto"/>
              <w:right w:val="dotted" w:sz="4" w:space="0" w:color="auto"/>
            </w:tcBorders>
          </w:tcPr>
          <w:p w:rsidR="00A45B37" w:rsidRPr="00016BED" w:rsidRDefault="00A45B37" w:rsidP="003022CB">
            <w:pPr>
              <w:pStyle w:val="naiskr"/>
              <w:spacing w:before="0" w:beforeAutospacing="0" w:after="0" w:afterAutospacing="0"/>
            </w:pPr>
            <w:r w:rsidRPr="00016BED">
              <w:t> Projekta izpildē iesaistītās institūcijas</w:t>
            </w:r>
          </w:p>
        </w:tc>
        <w:tc>
          <w:tcPr>
            <w:tcW w:w="2429" w:type="pct"/>
            <w:gridSpan w:val="4"/>
            <w:tcBorders>
              <w:left w:val="dotted" w:sz="4" w:space="0" w:color="auto"/>
            </w:tcBorders>
          </w:tcPr>
          <w:p w:rsidR="00A45B37" w:rsidRPr="00016BED" w:rsidRDefault="00E23122" w:rsidP="003022CB">
            <w:pPr>
              <w:pStyle w:val="naiskr"/>
              <w:tabs>
                <w:tab w:val="left" w:pos="366"/>
              </w:tabs>
              <w:spacing w:before="0" w:beforeAutospacing="0" w:after="0" w:afterAutospacing="0"/>
              <w:ind w:left="113" w:right="113"/>
              <w:jc w:val="both"/>
            </w:pPr>
            <w:r w:rsidRPr="00016BED">
              <w:rPr>
                <w:rStyle w:val="spelle"/>
              </w:rPr>
              <w:t>VARAM</w:t>
            </w:r>
            <w:r w:rsidRPr="00016BED">
              <w:rPr>
                <w:bCs/>
              </w:rPr>
              <w:t>, Finanšu ministrija (VNĪ).</w:t>
            </w:r>
          </w:p>
        </w:tc>
      </w:tr>
      <w:tr w:rsidR="00A45B37" w:rsidRPr="00016BED" w:rsidTr="0085774C">
        <w:tc>
          <w:tcPr>
            <w:tcW w:w="350" w:type="pct"/>
            <w:tcBorders>
              <w:right w:val="dotted" w:sz="4" w:space="0" w:color="auto"/>
            </w:tcBorders>
          </w:tcPr>
          <w:p w:rsidR="00A45B37" w:rsidRPr="00016BED" w:rsidRDefault="00A45B37" w:rsidP="003022CB">
            <w:pPr>
              <w:pStyle w:val="naiskr"/>
              <w:spacing w:before="0" w:beforeAutospacing="0" w:after="0" w:afterAutospacing="0"/>
              <w:jc w:val="center"/>
            </w:pPr>
            <w:r w:rsidRPr="00016BED">
              <w:t>2.</w:t>
            </w:r>
          </w:p>
        </w:tc>
        <w:tc>
          <w:tcPr>
            <w:tcW w:w="2221" w:type="pct"/>
            <w:gridSpan w:val="4"/>
            <w:tcBorders>
              <w:left w:val="dotted" w:sz="4" w:space="0" w:color="auto"/>
              <w:right w:val="dotted" w:sz="4" w:space="0" w:color="auto"/>
            </w:tcBorders>
          </w:tcPr>
          <w:p w:rsidR="00A45B37" w:rsidRPr="00016BED" w:rsidRDefault="00A45B37" w:rsidP="003022CB">
            <w:pPr>
              <w:pStyle w:val="naiskr"/>
              <w:spacing w:before="0" w:beforeAutospacing="0" w:after="0" w:afterAutospacing="0"/>
            </w:pPr>
            <w:r w:rsidRPr="00016BED">
              <w:t> Projekta izpildes ietekme uz pārvaldes funkcijām</w:t>
            </w:r>
          </w:p>
        </w:tc>
        <w:tc>
          <w:tcPr>
            <w:tcW w:w="2429" w:type="pct"/>
            <w:gridSpan w:val="4"/>
            <w:tcBorders>
              <w:left w:val="dotted" w:sz="4" w:space="0" w:color="auto"/>
            </w:tcBorders>
          </w:tcPr>
          <w:p w:rsidR="00A45B37" w:rsidRPr="00016BED" w:rsidRDefault="00A45B37" w:rsidP="003022CB">
            <w:pPr>
              <w:pStyle w:val="naiskr"/>
              <w:tabs>
                <w:tab w:val="left" w:pos="366"/>
              </w:tabs>
              <w:spacing w:before="0" w:beforeAutospacing="0" w:after="0" w:afterAutospacing="0"/>
              <w:ind w:left="113" w:right="113"/>
              <w:jc w:val="both"/>
            </w:pPr>
            <w:r w:rsidRPr="00016BED">
              <w:rPr>
                <w:bCs/>
              </w:rPr>
              <w:t>Ministru kabineta rīkojuma projekts šo jomu neskar.</w:t>
            </w:r>
          </w:p>
        </w:tc>
      </w:tr>
      <w:tr w:rsidR="00A45B37" w:rsidRPr="00016BED" w:rsidTr="0085774C">
        <w:tc>
          <w:tcPr>
            <w:tcW w:w="350" w:type="pct"/>
            <w:tcBorders>
              <w:right w:val="dotted" w:sz="4" w:space="0" w:color="auto"/>
            </w:tcBorders>
          </w:tcPr>
          <w:p w:rsidR="00A45B37" w:rsidRPr="00016BED" w:rsidRDefault="00A45B37" w:rsidP="003022CB">
            <w:pPr>
              <w:pStyle w:val="naiskr"/>
              <w:spacing w:before="0" w:beforeAutospacing="0" w:after="0" w:afterAutospacing="0"/>
              <w:jc w:val="center"/>
            </w:pPr>
            <w:r w:rsidRPr="00016BED">
              <w:t>3.</w:t>
            </w:r>
          </w:p>
        </w:tc>
        <w:tc>
          <w:tcPr>
            <w:tcW w:w="2221" w:type="pct"/>
            <w:gridSpan w:val="4"/>
            <w:tcBorders>
              <w:left w:val="dotted" w:sz="4" w:space="0" w:color="auto"/>
              <w:right w:val="dotted" w:sz="4" w:space="0" w:color="auto"/>
            </w:tcBorders>
          </w:tcPr>
          <w:p w:rsidR="00A45B37" w:rsidRPr="00016BED" w:rsidRDefault="00A45B37" w:rsidP="003022CB">
            <w:pPr>
              <w:pStyle w:val="naiskr"/>
              <w:spacing w:before="0" w:beforeAutospacing="0" w:after="0" w:afterAutospacing="0"/>
            </w:pPr>
            <w:r w:rsidRPr="00016BED">
              <w:t> Projekta izpildes ietekme uz pārvaldes institucionālo struktūru.</w:t>
            </w:r>
          </w:p>
          <w:p w:rsidR="00A45B37" w:rsidRPr="00016BED" w:rsidRDefault="00A45B37" w:rsidP="003022CB">
            <w:pPr>
              <w:pStyle w:val="naiskr"/>
              <w:spacing w:before="0" w:beforeAutospacing="0" w:after="0" w:afterAutospacing="0"/>
            </w:pPr>
            <w:r w:rsidRPr="00016BED">
              <w:t>Jaunu institūciju izveide</w:t>
            </w:r>
          </w:p>
        </w:tc>
        <w:tc>
          <w:tcPr>
            <w:tcW w:w="2429" w:type="pct"/>
            <w:gridSpan w:val="4"/>
            <w:tcBorders>
              <w:left w:val="dotted" w:sz="4" w:space="0" w:color="auto"/>
            </w:tcBorders>
          </w:tcPr>
          <w:p w:rsidR="00A45B37" w:rsidRPr="00016BED" w:rsidRDefault="00A45B37" w:rsidP="003022CB">
            <w:pPr>
              <w:pStyle w:val="naiskr"/>
              <w:tabs>
                <w:tab w:val="left" w:pos="366"/>
              </w:tabs>
              <w:spacing w:before="0" w:beforeAutospacing="0" w:after="0" w:afterAutospacing="0"/>
              <w:ind w:left="113" w:right="113"/>
              <w:jc w:val="both"/>
            </w:pPr>
            <w:r w:rsidRPr="00016BED">
              <w:rPr>
                <w:bCs/>
              </w:rPr>
              <w:t>Ministru kabineta rīkojuma projekts šo jomu neskar.</w:t>
            </w:r>
          </w:p>
        </w:tc>
      </w:tr>
      <w:tr w:rsidR="00A45B37" w:rsidRPr="00016BED" w:rsidTr="0085774C">
        <w:tc>
          <w:tcPr>
            <w:tcW w:w="350" w:type="pct"/>
            <w:tcBorders>
              <w:right w:val="dotted" w:sz="4" w:space="0" w:color="auto"/>
            </w:tcBorders>
          </w:tcPr>
          <w:p w:rsidR="00A45B37" w:rsidRPr="00016BED" w:rsidRDefault="00A45B37" w:rsidP="003022CB">
            <w:pPr>
              <w:pStyle w:val="naiskr"/>
              <w:spacing w:before="0" w:beforeAutospacing="0" w:after="0" w:afterAutospacing="0"/>
              <w:jc w:val="center"/>
            </w:pPr>
            <w:r w:rsidRPr="00016BED">
              <w:t>4.</w:t>
            </w:r>
          </w:p>
        </w:tc>
        <w:tc>
          <w:tcPr>
            <w:tcW w:w="2221" w:type="pct"/>
            <w:gridSpan w:val="4"/>
            <w:tcBorders>
              <w:left w:val="dotted" w:sz="4" w:space="0" w:color="auto"/>
              <w:right w:val="dotted" w:sz="4" w:space="0" w:color="auto"/>
            </w:tcBorders>
          </w:tcPr>
          <w:p w:rsidR="00A45B37" w:rsidRPr="00016BED" w:rsidRDefault="00A45B37" w:rsidP="003022CB">
            <w:pPr>
              <w:pStyle w:val="naiskr"/>
              <w:spacing w:before="0" w:beforeAutospacing="0" w:after="0" w:afterAutospacing="0"/>
            </w:pPr>
            <w:r w:rsidRPr="00016BED">
              <w:t> Projekta izpildes ietekme uz pārvaldes institucionālo struktūru.</w:t>
            </w:r>
          </w:p>
          <w:p w:rsidR="00A45B37" w:rsidRPr="00016BED" w:rsidRDefault="00A45B37" w:rsidP="003022CB">
            <w:pPr>
              <w:pStyle w:val="naiskr"/>
              <w:spacing w:before="0" w:beforeAutospacing="0" w:after="0" w:afterAutospacing="0"/>
            </w:pPr>
            <w:r w:rsidRPr="00016BED">
              <w:t>Esošu institūciju likvidācija</w:t>
            </w:r>
          </w:p>
        </w:tc>
        <w:tc>
          <w:tcPr>
            <w:tcW w:w="2429" w:type="pct"/>
            <w:gridSpan w:val="4"/>
            <w:tcBorders>
              <w:left w:val="dotted" w:sz="4" w:space="0" w:color="auto"/>
            </w:tcBorders>
          </w:tcPr>
          <w:p w:rsidR="00A45B37" w:rsidRPr="00016BED" w:rsidRDefault="00A45B37" w:rsidP="003022CB">
            <w:pPr>
              <w:pStyle w:val="naiskr"/>
              <w:tabs>
                <w:tab w:val="left" w:pos="366"/>
              </w:tabs>
              <w:spacing w:before="0" w:beforeAutospacing="0" w:after="0" w:afterAutospacing="0"/>
              <w:ind w:left="113" w:right="113"/>
              <w:jc w:val="both"/>
            </w:pPr>
            <w:r w:rsidRPr="00016BED">
              <w:rPr>
                <w:bCs/>
              </w:rPr>
              <w:t>Ministru kabineta rīkojuma projekts šo jomu neskar.</w:t>
            </w:r>
          </w:p>
        </w:tc>
      </w:tr>
      <w:tr w:rsidR="00A45B37" w:rsidRPr="00016BED" w:rsidTr="0085774C">
        <w:tc>
          <w:tcPr>
            <w:tcW w:w="350" w:type="pct"/>
            <w:tcBorders>
              <w:right w:val="dotted" w:sz="4" w:space="0" w:color="auto"/>
            </w:tcBorders>
          </w:tcPr>
          <w:p w:rsidR="00A45B37" w:rsidRPr="00016BED" w:rsidRDefault="00A45B37" w:rsidP="003022CB">
            <w:pPr>
              <w:pStyle w:val="naiskr"/>
              <w:spacing w:before="0" w:beforeAutospacing="0" w:after="0" w:afterAutospacing="0"/>
              <w:jc w:val="center"/>
            </w:pPr>
            <w:r w:rsidRPr="00016BED">
              <w:t>5.</w:t>
            </w:r>
          </w:p>
        </w:tc>
        <w:tc>
          <w:tcPr>
            <w:tcW w:w="2221" w:type="pct"/>
            <w:gridSpan w:val="4"/>
            <w:tcBorders>
              <w:left w:val="dotted" w:sz="4" w:space="0" w:color="auto"/>
              <w:right w:val="dotted" w:sz="4" w:space="0" w:color="auto"/>
            </w:tcBorders>
          </w:tcPr>
          <w:p w:rsidR="00A45B37" w:rsidRPr="00016BED" w:rsidRDefault="00A45B37" w:rsidP="003022CB">
            <w:pPr>
              <w:pStyle w:val="naiskr"/>
              <w:spacing w:before="0" w:beforeAutospacing="0" w:after="0" w:afterAutospacing="0"/>
            </w:pPr>
            <w:r w:rsidRPr="00016BED">
              <w:t> Projekta izpildes ietekme uz pārvaldes institucionālo struktūru.</w:t>
            </w:r>
          </w:p>
          <w:p w:rsidR="00A45B37" w:rsidRPr="00016BED" w:rsidRDefault="00A45B37" w:rsidP="003022CB">
            <w:pPr>
              <w:pStyle w:val="naiskr"/>
              <w:spacing w:before="0" w:beforeAutospacing="0" w:after="0" w:afterAutospacing="0"/>
            </w:pPr>
            <w:r w:rsidRPr="00016BED">
              <w:t>Esošu institūciju reorganizācija</w:t>
            </w:r>
          </w:p>
        </w:tc>
        <w:tc>
          <w:tcPr>
            <w:tcW w:w="2429" w:type="pct"/>
            <w:gridSpan w:val="4"/>
            <w:tcBorders>
              <w:left w:val="dotted" w:sz="4" w:space="0" w:color="auto"/>
            </w:tcBorders>
          </w:tcPr>
          <w:p w:rsidR="00A45B37" w:rsidRPr="00016BED" w:rsidRDefault="00A45B37" w:rsidP="003022CB">
            <w:pPr>
              <w:pStyle w:val="naiskr"/>
              <w:tabs>
                <w:tab w:val="left" w:pos="366"/>
              </w:tabs>
              <w:spacing w:before="0" w:beforeAutospacing="0" w:after="0" w:afterAutospacing="0"/>
              <w:ind w:left="113" w:right="113"/>
              <w:jc w:val="both"/>
            </w:pPr>
            <w:r w:rsidRPr="00016BED">
              <w:rPr>
                <w:bCs/>
              </w:rPr>
              <w:t>Ministru kabineta rīkojuma projekts šo jomu neskar.</w:t>
            </w:r>
          </w:p>
        </w:tc>
      </w:tr>
      <w:tr w:rsidR="00A45B37" w:rsidRPr="00016BED" w:rsidTr="0085774C">
        <w:tc>
          <w:tcPr>
            <w:tcW w:w="350" w:type="pct"/>
            <w:tcBorders>
              <w:right w:val="dotted" w:sz="4" w:space="0" w:color="auto"/>
            </w:tcBorders>
          </w:tcPr>
          <w:p w:rsidR="00A45B37" w:rsidRPr="00016BED" w:rsidRDefault="00A45B37" w:rsidP="003022CB">
            <w:pPr>
              <w:pStyle w:val="naiskr"/>
              <w:spacing w:before="0" w:beforeAutospacing="0" w:after="0" w:afterAutospacing="0"/>
              <w:jc w:val="center"/>
            </w:pPr>
            <w:r w:rsidRPr="00016BED">
              <w:t>6.</w:t>
            </w:r>
          </w:p>
        </w:tc>
        <w:tc>
          <w:tcPr>
            <w:tcW w:w="2221" w:type="pct"/>
            <w:gridSpan w:val="4"/>
            <w:tcBorders>
              <w:left w:val="dotted" w:sz="4" w:space="0" w:color="auto"/>
              <w:right w:val="dotted" w:sz="4" w:space="0" w:color="auto"/>
            </w:tcBorders>
          </w:tcPr>
          <w:p w:rsidR="00A45B37" w:rsidRPr="00016BED" w:rsidRDefault="00A45B37" w:rsidP="003022CB">
            <w:pPr>
              <w:pStyle w:val="naiskr"/>
              <w:spacing w:before="0" w:beforeAutospacing="0" w:after="0" w:afterAutospacing="0"/>
            </w:pPr>
            <w:r w:rsidRPr="00016BED">
              <w:t> Cita informācija</w:t>
            </w:r>
          </w:p>
        </w:tc>
        <w:tc>
          <w:tcPr>
            <w:tcW w:w="2429" w:type="pct"/>
            <w:gridSpan w:val="4"/>
            <w:tcBorders>
              <w:left w:val="dotted" w:sz="4" w:space="0" w:color="auto"/>
            </w:tcBorders>
          </w:tcPr>
          <w:p w:rsidR="00A45B37" w:rsidRPr="00016BED" w:rsidRDefault="00A45B37" w:rsidP="003022CB">
            <w:pPr>
              <w:pStyle w:val="naiskr"/>
              <w:tabs>
                <w:tab w:val="left" w:pos="366"/>
              </w:tabs>
              <w:spacing w:before="0" w:beforeAutospacing="0" w:after="0" w:afterAutospacing="0"/>
              <w:ind w:left="113" w:right="113"/>
              <w:jc w:val="both"/>
            </w:pPr>
            <w:r w:rsidRPr="00016BED">
              <w:t> </w:t>
            </w:r>
            <w:r w:rsidRPr="00016BED">
              <w:rPr>
                <w:bCs/>
              </w:rPr>
              <w:t>Nav.</w:t>
            </w:r>
          </w:p>
        </w:tc>
      </w:tr>
    </w:tbl>
    <w:p w:rsidR="000D60E5" w:rsidRPr="00016BED" w:rsidRDefault="000D60E5" w:rsidP="003022CB">
      <w:pPr>
        <w:rPr>
          <w:rFonts w:cs="Times New Roman"/>
          <w:bCs/>
          <w:sz w:val="24"/>
          <w:szCs w:val="24"/>
        </w:rPr>
      </w:pPr>
    </w:p>
    <w:p w:rsidR="0085774C" w:rsidRPr="00016BED" w:rsidRDefault="0085774C" w:rsidP="00A14C75">
      <w:pPr>
        <w:spacing w:after="120"/>
        <w:rPr>
          <w:rFonts w:cs="Times New Roman"/>
          <w:bCs/>
          <w:sz w:val="24"/>
          <w:szCs w:val="24"/>
        </w:rPr>
      </w:pPr>
    </w:p>
    <w:p w:rsidR="000D60E5" w:rsidRPr="00016BED" w:rsidRDefault="000D60E5" w:rsidP="00A14C75">
      <w:pPr>
        <w:pStyle w:val="naiskr"/>
        <w:tabs>
          <w:tab w:val="left" w:pos="366"/>
        </w:tabs>
        <w:spacing w:before="0" w:beforeAutospacing="0" w:after="120" w:afterAutospacing="0"/>
        <w:ind w:right="-29"/>
        <w:jc w:val="both"/>
      </w:pPr>
      <w:r w:rsidRPr="00016BED">
        <w:t>Anotācijas II, IV, V un VI sadaļa – Ministru kabineta rīkojuma projekts šīs jomas neskar.</w:t>
      </w:r>
    </w:p>
    <w:p w:rsidR="0085774C" w:rsidRPr="00016BED" w:rsidRDefault="0085774C" w:rsidP="00A14C75">
      <w:pPr>
        <w:tabs>
          <w:tab w:val="left" w:pos="6804"/>
        </w:tabs>
        <w:autoSpaceDE w:val="0"/>
        <w:autoSpaceDN w:val="0"/>
        <w:spacing w:after="120"/>
        <w:rPr>
          <w:rFonts w:cs="Times New Roman"/>
          <w:sz w:val="24"/>
          <w:szCs w:val="24"/>
        </w:rPr>
      </w:pPr>
    </w:p>
    <w:p w:rsidR="0085774C" w:rsidRPr="00016BED" w:rsidRDefault="0085774C" w:rsidP="00A14C75">
      <w:pPr>
        <w:tabs>
          <w:tab w:val="left" w:pos="6804"/>
        </w:tabs>
        <w:autoSpaceDE w:val="0"/>
        <w:autoSpaceDN w:val="0"/>
        <w:spacing w:after="120"/>
        <w:rPr>
          <w:rFonts w:cs="Times New Roman"/>
          <w:sz w:val="24"/>
          <w:szCs w:val="24"/>
        </w:rPr>
      </w:pPr>
    </w:p>
    <w:p w:rsidR="0085774C" w:rsidRPr="00016BED" w:rsidRDefault="0085774C" w:rsidP="00A14C75">
      <w:pPr>
        <w:tabs>
          <w:tab w:val="left" w:pos="6804"/>
        </w:tabs>
        <w:autoSpaceDE w:val="0"/>
        <w:autoSpaceDN w:val="0"/>
        <w:spacing w:after="120"/>
        <w:rPr>
          <w:rFonts w:cs="Times New Roman"/>
          <w:sz w:val="24"/>
          <w:szCs w:val="24"/>
        </w:rPr>
      </w:pPr>
    </w:p>
    <w:p w:rsidR="000D60E5" w:rsidRPr="00016BED" w:rsidRDefault="00D104B6" w:rsidP="00A14C75">
      <w:pPr>
        <w:tabs>
          <w:tab w:val="left" w:pos="6804"/>
        </w:tabs>
        <w:autoSpaceDE w:val="0"/>
        <w:autoSpaceDN w:val="0"/>
        <w:spacing w:after="120"/>
        <w:rPr>
          <w:rFonts w:cs="Times New Roman"/>
          <w:sz w:val="24"/>
          <w:szCs w:val="24"/>
        </w:rPr>
      </w:pPr>
      <w:r w:rsidRPr="00016BED">
        <w:rPr>
          <w:rFonts w:cs="Times New Roman"/>
          <w:sz w:val="24"/>
          <w:szCs w:val="24"/>
        </w:rPr>
        <w:t>Vides aizsardzības un reģionālās attīstības</w:t>
      </w:r>
      <w:r w:rsidR="000D60E5" w:rsidRPr="00016BED">
        <w:rPr>
          <w:rFonts w:cs="Times New Roman"/>
          <w:sz w:val="24"/>
          <w:szCs w:val="24"/>
        </w:rPr>
        <w:t xml:space="preserve"> ministrs</w:t>
      </w:r>
      <w:r w:rsidR="000D60E5" w:rsidRPr="00016BED">
        <w:rPr>
          <w:rFonts w:cs="Times New Roman"/>
          <w:sz w:val="24"/>
          <w:szCs w:val="24"/>
        </w:rPr>
        <w:tab/>
      </w:r>
      <w:r w:rsidR="002C1CED" w:rsidRPr="00016BED">
        <w:rPr>
          <w:rFonts w:cs="Times New Roman"/>
          <w:sz w:val="24"/>
          <w:szCs w:val="24"/>
        </w:rPr>
        <w:t>E.Cilinskis</w:t>
      </w:r>
      <w:r w:rsidR="000D60E5" w:rsidRPr="00016BED">
        <w:rPr>
          <w:rFonts w:cs="Times New Roman"/>
          <w:sz w:val="24"/>
          <w:szCs w:val="24"/>
        </w:rPr>
        <w:t xml:space="preserve"> </w:t>
      </w:r>
    </w:p>
    <w:p w:rsidR="004235A6" w:rsidRPr="00016BED" w:rsidRDefault="004235A6" w:rsidP="004E00A8">
      <w:pPr>
        <w:rPr>
          <w:rFonts w:cs="Times New Roman"/>
          <w:sz w:val="24"/>
          <w:szCs w:val="24"/>
        </w:rPr>
      </w:pPr>
    </w:p>
    <w:p w:rsidR="0085774C" w:rsidRPr="00016BED" w:rsidRDefault="0085774C" w:rsidP="004E00A8">
      <w:pPr>
        <w:rPr>
          <w:rFonts w:cs="Times New Roman"/>
          <w:sz w:val="24"/>
          <w:szCs w:val="24"/>
        </w:rPr>
      </w:pPr>
    </w:p>
    <w:p w:rsidR="0085774C" w:rsidRPr="00016BED" w:rsidRDefault="0085774C" w:rsidP="004E00A8">
      <w:pPr>
        <w:rPr>
          <w:rFonts w:cs="Times New Roman"/>
          <w:sz w:val="24"/>
          <w:szCs w:val="24"/>
        </w:rPr>
      </w:pPr>
    </w:p>
    <w:p w:rsidR="0085774C" w:rsidRPr="00016BED" w:rsidRDefault="0085774C" w:rsidP="004E00A8">
      <w:pPr>
        <w:rPr>
          <w:rFonts w:cs="Times New Roman"/>
          <w:sz w:val="24"/>
          <w:szCs w:val="24"/>
        </w:rPr>
      </w:pPr>
    </w:p>
    <w:p w:rsidR="00A248F3" w:rsidRPr="00016BED" w:rsidRDefault="00C00C73" w:rsidP="004E00A8">
      <w:pPr>
        <w:rPr>
          <w:rFonts w:cs="Times New Roman"/>
          <w:sz w:val="20"/>
          <w:szCs w:val="20"/>
        </w:rPr>
      </w:pPr>
      <w:r w:rsidRPr="00016BED">
        <w:rPr>
          <w:rFonts w:cs="Times New Roman"/>
          <w:sz w:val="20"/>
          <w:szCs w:val="20"/>
        </w:rPr>
        <w:fldChar w:fldCharType="begin"/>
      </w:r>
      <w:r w:rsidR="00A248F3" w:rsidRPr="00016BED">
        <w:rPr>
          <w:rFonts w:cs="Times New Roman"/>
          <w:sz w:val="20"/>
          <w:szCs w:val="20"/>
        </w:rPr>
        <w:instrText xml:space="preserve"> TIME \@ "dd.MM.yyyy H:mm" </w:instrText>
      </w:r>
      <w:r w:rsidRPr="00016BED">
        <w:rPr>
          <w:rFonts w:cs="Times New Roman"/>
          <w:sz w:val="20"/>
          <w:szCs w:val="20"/>
        </w:rPr>
        <w:fldChar w:fldCharType="separate"/>
      </w:r>
      <w:r w:rsidR="00C400D8">
        <w:rPr>
          <w:rFonts w:cs="Times New Roman"/>
          <w:noProof/>
          <w:sz w:val="20"/>
          <w:szCs w:val="20"/>
        </w:rPr>
        <w:t>03.02.2014 12:44</w:t>
      </w:r>
      <w:r w:rsidRPr="00016BED">
        <w:rPr>
          <w:rFonts w:cs="Times New Roman"/>
          <w:sz w:val="20"/>
          <w:szCs w:val="20"/>
        </w:rPr>
        <w:fldChar w:fldCharType="end"/>
      </w:r>
    </w:p>
    <w:p w:rsidR="007B0E5E" w:rsidRPr="00016BED" w:rsidRDefault="004235A6" w:rsidP="004E00A8">
      <w:pPr>
        <w:rPr>
          <w:rFonts w:cs="Times New Roman"/>
          <w:sz w:val="20"/>
          <w:szCs w:val="20"/>
        </w:rPr>
      </w:pPr>
      <w:r w:rsidRPr="00016BED">
        <w:rPr>
          <w:rFonts w:cs="Times New Roman"/>
          <w:sz w:val="20"/>
          <w:szCs w:val="20"/>
        </w:rPr>
        <w:t>2</w:t>
      </w:r>
      <w:r w:rsidR="008860DE" w:rsidRPr="00016BED">
        <w:rPr>
          <w:rFonts w:cs="Times New Roman"/>
          <w:sz w:val="20"/>
          <w:szCs w:val="20"/>
        </w:rPr>
        <w:t>57</w:t>
      </w:r>
      <w:r w:rsidR="009F1381" w:rsidRPr="00016BED">
        <w:rPr>
          <w:rFonts w:cs="Times New Roman"/>
          <w:sz w:val="20"/>
          <w:szCs w:val="20"/>
        </w:rPr>
        <w:t>5</w:t>
      </w:r>
    </w:p>
    <w:p w:rsidR="000D60E5" w:rsidRPr="00016BED" w:rsidRDefault="007713B7" w:rsidP="004E00A8">
      <w:pPr>
        <w:rPr>
          <w:rFonts w:cs="Times New Roman"/>
          <w:sz w:val="20"/>
          <w:szCs w:val="20"/>
        </w:rPr>
      </w:pPr>
      <w:r w:rsidRPr="00016BED">
        <w:rPr>
          <w:rFonts w:cs="Times New Roman"/>
          <w:sz w:val="20"/>
          <w:szCs w:val="20"/>
        </w:rPr>
        <w:t>I.Āboliņa</w:t>
      </w:r>
    </w:p>
    <w:p w:rsidR="000D60E5" w:rsidRPr="00016BED" w:rsidRDefault="000D60E5" w:rsidP="004E00A8">
      <w:pPr>
        <w:tabs>
          <w:tab w:val="left" w:pos="5541"/>
        </w:tabs>
        <w:rPr>
          <w:rFonts w:cs="Times New Roman"/>
          <w:sz w:val="24"/>
          <w:szCs w:val="24"/>
        </w:rPr>
      </w:pPr>
      <w:bookmarkStart w:id="20" w:name="OLE_LINK20"/>
      <w:bookmarkStart w:id="21" w:name="OLE_LINK21"/>
      <w:r w:rsidRPr="00016BED">
        <w:rPr>
          <w:rFonts w:cs="Times New Roman"/>
          <w:sz w:val="20"/>
          <w:szCs w:val="20"/>
        </w:rPr>
        <w:t>6702</w:t>
      </w:r>
      <w:r w:rsidR="007713B7" w:rsidRPr="00016BED">
        <w:rPr>
          <w:rFonts w:cs="Times New Roman"/>
          <w:sz w:val="20"/>
          <w:szCs w:val="20"/>
        </w:rPr>
        <w:t>6465</w:t>
      </w:r>
      <w:r w:rsidR="00506A9C" w:rsidRPr="00016BED">
        <w:rPr>
          <w:rFonts w:cs="Times New Roman"/>
          <w:sz w:val="20"/>
          <w:szCs w:val="20"/>
        </w:rPr>
        <w:t xml:space="preserve">, </w:t>
      </w:r>
      <w:hyperlink r:id="rId8" w:history="1">
        <w:r w:rsidR="007713B7" w:rsidRPr="00016BED">
          <w:rPr>
            <w:rStyle w:val="Hyperlink"/>
            <w:sz w:val="20"/>
            <w:szCs w:val="20"/>
          </w:rPr>
          <w:t>ilze.abolina@varam.gov.lv</w:t>
        </w:r>
      </w:hyperlink>
      <w:r w:rsidRPr="00016BED">
        <w:rPr>
          <w:rFonts w:cs="Times New Roman"/>
          <w:sz w:val="24"/>
          <w:szCs w:val="24"/>
        </w:rPr>
        <w:t xml:space="preserve"> </w:t>
      </w:r>
      <w:bookmarkEnd w:id="20"/>
      <w:bookmarkEnd w:id="21"/>
      <w:r w:rsidR="00264377" w:rsidRPr="00016BED">
        <w:rPr>
          <w:rFonts w:cs="Times New Roman"/>
          <w:sz w:val="24"/>
          <w:szCs w:val="24"/>
        </w:rPr>
        <w:tab/>
      </w:r>
    </w:p>
    <w:sectPr w:rsidR="000D60E5" w:rsidRPr="00016BED" w:rsidSect="00A44CFD">
      <w:headerReference w:type="default" r:id="rId9"/>
      <w:footerReference w:type="default" r:id="rId10"/>
      <w:footerReference w:type="first" r:id="rId11"/>
      <w:pgSz w:w="11906" w:h="16838"/>
      <w:pgMar w:top="1134" w:right="1134" w:bottom="993" w:left="1701" w:header="709" w:footer="83"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149D14" w15:done="0"/>
  <w15:commentEx w15:paraId="54DAFFC6" w15:done="0"/>
  <w15:commentEx w15:paraId="7093445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E00" w:rsidRDefault="00FF4E00" w:rsidP="00F711C0">
      <w:r>
        <w:separator/>
      </w:r>
    </w:p>
  </w:endnote>
  <w:endnote w:type="continuationSeparator" w:id="0">
    <w:p w:rsidR="00FF4E00" w:rsidRDefault="00FF4E00" w:rsidP="00F711C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67A" w:rsidRPr="00A44CFD" w:rsidRDefault="00C00C73" w:rsidP="00A44CFD">
    <w:pPr>
      <w:jc w:val="both"/>
      <w:outlineLvl w:val="3"/>
      <w:rPr>
        <w:noProof/>
        <w:sz w:val="16"/>
        <w:szCs w:val="16"/>
      </w:rPr>
    </w:pPr>
    <w:fldSimple w:instr=" FILENAME   \* MERGEFORMAT ">
      <w:r w:rsidR="00EC0F82" w:rsidRPr="00EC0F82">
        <w:rPr>
          <w:noProof/>
          <w:sz w:val="16"/>
          <w:szCs w:val="16"/>
        </w:rPr>
        <w:t>VARAMAnot_</w:t>
      </w:r>
      <w:r w:rsidR="00016BED">
        <w:rPr>
          <w:noProof/>
          <w:sz w:val="16"/>
          <w:szCs w:val="16"/>
        </w:rPr>
        <w:t>30012014</w:t>
      </w:r>
      <w:r w:rsidR="00EC0F82" w:rsidRPr="00EC0F82">
        <w:rPr>
          <w:noProof/>
          <w:sz w:val="16"/>
          <w:szCs w:val="16"/>
        </w:rPr>
        <w:t>_Kronvalda 6.docx</w:t>
      </w:r>
    </w:fldSimple>
    <w:r w:rsidR="003F667A" w:rsidRPr="00A44CFD">
      <w:rPr>
        <w:noProof/>
        <w:sz w:val="16"/>
        <w:szCs w:val="16"/>
      </w:rPr>
      <w:t xml:space="preserve">; </w:t>
    </w:r>
    <w:bookmarkStart w:id="22" w:name="OLE_LINK8"/>
    <w:bookmarkStart w:id="23" w:name="OLE_LINK11"/>
    <w:r w:rsidR="003F667A" w:rsidRPr="00A44CFD">
      <w:rPr>
        <w:noProof/>
        <w:sz w:val="16"/>
        <w:szCs w:val="16"/>
      </w:rPr>
      <w:t xml:space="preserve">Ministru kabineta rīkojuma projekta „Par finansējuma piešķiršanu Vides aizsardzības un reģionālās attīstības ministrijai nekustamā īpašuma Kronvalda bulvārī 6, Rīgā, nomas maksas, aprīkojuma un mēbeļu iegādes, pārcelšanās un citu saistīto izdevumu segšanai” sākotnējās ietekmes novērtējuma </w:t>
    </w:r>
    <w:smartTag w:uri="schemas-tilde-lv/tildestengine" w:element="veidnes">
      <w:smartTagPr>
        <w:attr w:name="id" w:val="-1"/>
        <w:attr w:name="baseform" w:val="ziņojums"/>
        <w:attr w:name="text" w:val="ziņojums"/>
      </w:smartTagPr>
      <w:r w:rsidR="003F667A" w:rsidRPr="00A44CFD">
        <w:rPr>
          <w:noProof/>
          <w:sz w:val="16"/>
          <w:szCs w:val="16"/>
        </w:rPr>
        <w:t>ziņojums</w:t>
      </w:r>
    </w:smartTag>
    <w:r w:rsidR="003F667A" w:rsidRPr="00A44CFD">
      <w:rPr>
        <w:noProof/>
        <w:sz w:val="16"/>
        <w:szCs w:val="16"/>
      </w:rPr>
      <w:t xml:space="preserve"> (anotācija)</w:t>
    </w:r>
    <w:bookmarkEnd w:id="22"/>
    <w:bookmarkEnd w:id="23"/>
    <w:r w:rsidR="003F667A" w:rsidRPr="00A44CFD">
      <w:rPr>
        <w:noProof/>
        <w:sz w:val="16"/>
        <w:szCs w:val="16"/>
      </w:rPr>
      <w:t>.</w:t>
    </w:r>
  </w:p>
  <w:p w:rsidR="003F667A" w:rsidRPr="00D443D4" w:rsidRDefault="003F667A" w:rsidP="00D443D4">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67A" w:rsidRPr="00A44CFD" w:rsidRDefault="00C00C73" w:rsidP="00AC483F">
    <w:pPr>
      <w:jc w:val="both"/>
      <w:outlineLvl w:val="3"/>
      <w:rPr>
        <w:noProof/>
        <w:sz w:val="16"/>
        <w:szCs w:val="16"/>
      </w:rPr>
    </w:pPr>
    <w:fldSimple w:instr=" FILENAME   \* MERGEFORMAT ">
      <w:r w:rsidR="00EC0F82" w:rsidRPr="00EC0F82">
        <w:rPr>
          <w:noProof/>
          <w:sz w:val="16"/>
          <w:szCs w:val="16"/>
        </w:rPr>
        <w:t>VARAMAnot_</w:t>
      </w:r>
      <w:r w:rsidR="00016BED">
        <w:rPr>
          <w:noProof/>
          <w:sz w:val="16"/>
          <w:szCs w:val="16"/>
        </w:rPr>
        <w:t>30012014</w:t>
      </w:r>
      <w:r w:rsidR="00EC0F82" w:rsidRPr="00EC0F82">
        <w:rPr>
          <w:noProof/>
          <w:sz w:val="16"/>
          <w:szCs w:val="16"/>
        </w:rPr>
        <w:t>_Kronvalda 6</w:t>
      </w:r>
      <w:r w:rsidR="00EC0F82">
        <w:rPr>
          <w:noProof/>
        </w:rPr>
        <w:t>.</w:t>
      </w:r>
      <w:r w:rsidR="00EC0F82" w:rsidRPr="00016BED">
        <w:rPr>
          <w:noProof/>
          <w:sz w:val="20"/>
          <w:szCs w:val="20"/>
        </w:rPr>
        <w:t>docx</w:t>
      </w:r>
    </w:fldSimple>
    <w:r w:rsidR="003F667A" w:rsidRPr="00A44CFD">
      <w:rPr>
        <w:noProof/>
        <w:sz w:val="16"/>
        <w:szCs w:val="16"/>
      </w:rPr>
      <w:t xml:space="preserve">; Ministru kabineta rīkojuma projekta „Par finansējuma piešķiršanu Vides aizsardzības un reģionālās attīstības ministrijai nekustamā īpašuma Kronvalda bulvārī 6, Rīgā, nomas maksas, aprīkojuma un mēbeļu iegādes, pārcelšanās un citu saistīto izdevumu segšanai” sākotnējās ietekmes novērtējuma </w:t>
    </w:r>
    <w:smartTag w:uri="schemas-tilde-lv/tildestengine" w:element="veidnes">
      <w:smartTagPr>
        <w:attr w:name="text" w:val="ziņojums"/>
        <w:attr w:name="baseform" w:val="ziņojums"/>
        <w:attr w:name="id" w:val="-1"/>
      </w:smartTagPr>
      <w:r w:rsidR="003F667A" w:rsidRPr="00A44CFD">
        <w:rPr>
          <w:noProof/>
          <w:sz w:val="16"/>
          <w:szCs w:val="16"/>
        </w:rPr>
        <w:t>ziņojums</w:t>
      </w:r>
    </w:smartTag>
    <w:r w:rsidR="003F667A" w:rsidRPr="00A44CFD">
      <w:rPr>
        <w:noProof/>
        <w:sz w:val="16"/>
        <w:szCs w:val="16"/>
      </w:rPr>
      <w:t xml:space="preserve"> (anotācija).</w:t>
    </w:r>
  </w:p>
  <w:p w:rsidR="003F667A" w:rsidRPr="00AC483F" w:rsidRDefault="003F667A" w:rsidP="00AC483F">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E00" w:rsidRDefault="00FF4E00" w:rsidP="00F711C0">
      <w:r>
        <w:separator/>
      </w:r>
    </w:p>
  </w:footnote>
  <w:footnote w:type="continuationSeparator" w:id="0">
    <w:p w:rsidR="00FF4E00" w:rsidRDefault="00FF4E00" w:rsidP="00F71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67A" w:rsidRPr="003C39C4" w:rsidRDefault="00C00C73">
    <w:pPr>
      <w:pStyle w:val="Header"/>
      <w:jc w:val="center"/>
      <w:rPr>
        <w:sz w:val="24"/>
        <w:szCs w:val="24"/>
      </w:rPr>
    </w:pPr>
    <w:r w:rsidRPr="003C39C4">
      <w:rPr>
        <w:sz w:val="24"/>
        <w:szCs w:val="24"/>
      </w:rPr>
      <w:fldChar w:fldCharType="begin"/>
    </w:r>
    <w:r w:rsidR="003F667A" w:rsidRPr="003C39C4">
      <w:rPr>
        <w:sz w:val="24"/>
        <w:szCs w:val="24"/>
      </w:rPr>
      <w:instrText xml:space="preserve"> PAGE   \* MERGEFORMAT </w:instrText>
    </w:r>
    <w:r w:rsidRPr="003C39C4">
      <w:rPr>
        <w:sz w:val="24"/>
        <w:szCs w:val="24"/>
      </w:rPr>
      <w:fldChar w:fldCharType="separate"/>
    </w:r>
    <w:r w:rsidR="00C400D8">
      <w:rPr>
        <w:noProof/>
        <w:sz w:val="24"/>
        <w:szCs w:val="24"/>
      </w:rPr>
      <w:t>8</w:t>
    </w:r>
    <w:r w:rsidRPr="003C39C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749C7"/>
    <w:multiLevelType w:val="hybridMultilevel"/>
    <w:tmpl w:val="C35A09B2"/>
    <w:lvl w:ilvl="0" w:tplc="C4EE7524">
      <w:start w:val="1"/>
      <w:numFmt w:val="bullet"/>
      <w:lvlText w:val="-"/>
      <w:lvlJc w:val="left"/>
      <w:pPr>
        <w:ind w:left="781" w:hanging="360"/>
      </w:pPr>
      <w:rPr>
        <w:rFonts w:ascii="Arial" w:hAnsi="Arial" w:hint="default"/>
      </w:rPr>
    </w:lvl>
    <w:lvl w:ilvl="1" w:tplc="B8AC23E6">
      <w:start w:val="1"/>
      <w:numFmt w:val="bullet"/>
      <w:lvlText w:val="-"/>
      <w:lvlJc w:val="left"/>
      <w:pPr>
        <w:tabs>
          <w:tab w:val="num" w:pos="1861"/>
        </w:tabs>
        <w:ind w:left="1861" w:hanging="720"/>
      </w:pPr>
      <w:rPr>
        <w:rFonts w:ascii="Times New Roman" w:eastAsia="Times New Roman" w:hAnsi="Times New Roman"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
    <w:nsid w:val="31E73380"/>
    <w:multiLevelType w:val="hybridMultilevel"/>
    <w:tmpl w:val="DEF03E56"/>
    <w:lvl w:ilvl="0" w:tplc="C4EE7524">
      <w:start w:val="1"/>
      <w:numFmt w:val="bullet"/>
      <w:lvlText w:val="-"/>
      <w:lvlJc w:val="left"/>
      <w:pPr>
        <w:ind w:left="841" w:hanging="360"/>
      </w:pPr>
      <w:rPr>
        <w:rFonts w:ascii="Arial" w:hAnsi="Arial" w:hint="default"/>
      </w:rPr>
    </w:lvl>
    <w:lvl w:ilvl="1" w:tplc="04260003" w:tentative="1">
      <w:start w:val="1"/>
      <w:numFmt w:val="bullet"/>
      <w:lvlText w:val="o"/>
      <w:lvlJc w:val="left"/>
      <w:pPr>
        <w:ind w:left="1561" w:hanging="360"/>
      </w:pPr>
      <w:rPr>
        <w:rFonts w:ascii="Courier New" w:hAnsi="Courier New" w:cs="Courier New" w:hint="default"/>
      </w:rPr>
    </w:lvl>
    <w:lvl w:ilvl="2" w:tplc="04260005" w:tentative="1">
      <w:start w:val="1"/>
      <w:numFmt w:val="bullet"/>
      <w:lvlText w:val=""/>
      <w:lvlJc w:val="left"/>
      <w:pPr>
        <w:ind w:left="2281" w:hanging="360"/>
      </w:pPr>
      <w:rPr>
        <w:rFonts w:ascii="Wingdings" w:hAnsi="Wingdings" w:hint="default"/>
      </w:rPr>
    </w:lvl>
    <w:lvl w:ilvl="3" w:tplc="04260001" w:tentative="1">
      <w:start w:val="1"/>
      <w:numFmt w:val="bullet"/>
      <w:lvlText w:val=""/>
      <w:lvlJc w:val="left"/>
      <w:pPr>
        <w:ind w:left="3001" w:hanging="360"/>
      </w:pPr>
      <w:rPr>
        <w:rFonts w:ascii="Symbol" w:hAnsi="Symbol" w:hint="default"/>
      </w:rPr>
    </w:lvl>
    <w:lvl w:ilvl="4" w:tplc="04260003" w:tentative="1">
      <w:start w:val="1"/>
      <w:numFmt w:val="bullet"/>
      <w:lvlText w:val="o"/>
      <w:lvlJc w:val="left"/>
      <w:pPr>
        <w:ind w:left="3721" w:hanging="360"/>
      </w:pPr>
      <w:rPr>
        <w:rFonts w:ascii="Courier New" w:hAnsi="Courier New" w:cs="Courier New" w:hint="default"/>
      </w:rPr>
    </w:lvl>
    <w:lvl w:ilvl="5" w:tplc="04260005" w:tentative="1">
      <w:start w:val="1"/>
      <w:numFmt w:val="bullet"/>
      <w:lvlText w:val=""/>
      <w:lvlJc w:val="left"/>
      <w:pPr>
        <w:ind w:left="4441" w:hanging="360"/>
      </w:pPr>
      <w:rPr>
        <w:rFonts w:ascii="Wingdings" w:hAnsi="Wingdings" w:hint="default"/>
      </w:rPr>
    </w:lvl>
    <w:lvl w:ilvl="6" w:tplc="04260001" w:tentative="1">
      <w:start w:val="1"/>
      <w:numFmt w:val="bullet"/>
      <w:lvlText w:val=""/>
      <w:lvlJc w:val="left"/>
      <w:pPr>
        <w:ind w:left="5161" w:hanging="360"/>
      </w:pPr>
      <w:rPr>
        <w:rFonts w:ascii="Symbol" w:hAnsi="Symbol" w:hint="default"/>
      </w:rPr>
    </w:lvl>
    <w:lvl w:ilvl="7" w:tplc="04260003" w:tentative="1">
      <w:start w:val="1"/>
      <w:numFmt w:val="bullet"/>
      <w:lvlText w:val="o"/>
      <w:lvlJc w:val="left"/>
      <w:pPr>
        <w:ind w:left="5881" w:hanging="360"/>
      </w:pPr>
      <w:rPr>
        <w:rFonts w:ascii="Courier New" w:hAnsi="Courier New" w:cs="Courier New" w:hint="default"/>
      </w:rPr>
    </w:lvl>
    <w:lvl w:ilvl="8" w:tplc="04260005" w:tentative="1">
      <w:start w:val="1"/>
      <w:numFmt w:val="bullet"/>
      <w:lvlText w:val=""/>
      <w:lvlJc w:val="left"/>
      <w:pPr>
        <w:ind w:left="6601" w:hanging="360"/>
      </w:pPr>
      <w:rPr>
        <w:rFonts w:ascii="Wingdings" w:hAnsi="Wingdings" w:hint="default"/>
      </w:rPr>
    </w:lvl>
  </w:abstractNum>
  <w:abstractNum w:abstractNumId="2">
    <w:nsid w:val="3D522292"/>
    <w:multiLevelType w:val="hybridMultilevel"/>
    <w:tmpl w:val="FC2023E0"/>
    <w:lvl w:ilvl="0" w:tplc="A2029B36">
      <w:start w:val="1"/>
      <w:numFmt w:val="decimal"/>
      <w:lvlText w:val="3.%1."/>
      <w:lvlJc w:val="left"/>
      <w:pPr>
        <w:ind w:left="1146" w:hanging="360"/>
      </w:pPr>
      <w:rPr>
        <w:rFonts w:cs="Times New Roman" w:hint="default"/>
        <w:b w:val="0"/>
        <w:color w:val="auto"/>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nsid w:val="414666BA"/>
    <w:multiLevelType w:val="hybridMultilevel"/>
    <w:tmpl w:val="65026E2A"/>
    <w:lvl w:ilvl="0" w:tplc="D87456F2">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6AD1DDC"/>
    <w:multiLevelType w:val="hybridMultilevel"/>
    <w:tmpl w:val="69F68CD4"/>
    <w:lvl w:ilvl="0" w:tplc="4A24A1D6">
      <w:start w:val="2012"/>
      <w:numFmt w:val="bullet"/>
      <w:lvlText w:val="-"/>
      <w:lvlJc w:val="left"/>
      <w:pPr>
        <w:ind w:left="541" w:hanging="360"/>
      </w:pPr>
      <w:rPr>
        <w:rFonts w:ascii="Times New Roman" w:eastAsia="Times New Roman" w:hAnsi="Times New Roman" w:cs="Times New Roman" w:hint="default"/>
        <w:color w:val="auto"/>
      </w:rPr>
    </w:lvl>
    <w:lvl w:ilvl="1" w:tplc="04260003" w:tentative="1">
      <w:start w:val="1"/>
      <w:numFmt w:val="bullet"/>
      <w:lvlText w:val="o"/>
      <w:lvlJc w:val="left"/>
      <w:pPr>
        <w:ind w:left="1261" w:hanging="360"/>
      </w:pPr>
      <w:rPr>
        <w:rFonts w:ascii="Courier New" w:hAnsi="Courier New" w:cs="Courier New" w:hint="default"/>
      </w:rPr>
    </w:lvl>
    <w:lvl w:ilvl="2" w:tplc="04260005" w:tentative="1">
      <w:start w:val="1"/>
      <w:numFmt w:val="bullet"/>
      <w:lvlText w:val=""/>
      <w:lvlJc w:val="left"/>
      <w:pPr>
        <w:ind w:left="1981" w:hanging="360"/>
      </w:pPr>
      <w:rPr>
        <w:rFonts w:ascii="Wingdings" w:hAnsi="Wingdings" w:hint="default"/>
      </w:rPr>
    </w:lvl>
    <w:lvl w:ilvl="3" w:tplc="04260001" w:tentative="1">
      <w:start w:val="1"/>
      <w:numFmt w:val="bullet"/>
      <w:lvlText w:val=""/>
      <w:lvlJc w:val="left"/>
      <w:pPr>
        <w:ind w:left="2701" w:hanging="360"/>
      </w:pPr>
      <w:rPr>
        <w:rFonts w:ascii="Symbol" w:hAnsi="Symbol" w:hint="default"/>
      </w:rPr>
    </w:lvl>
    <w:lvl w:ilvl="4" w:tplc="04260003" w:tentative="1">
      <w:start w:val="1"/>
      <w:numFmt w:val="bullet"/>
      <w:lvlText w:val="o"/>
      <w:lvlJc w:val="left"/>
      <w:pPr>
        <w:ind w:left="3421" w:hanging="360"/>
      </w:pPr>
      <w:rPr>
        <w:rFonts w:ascii="Courier New" w:hAnsi="Courier New" w:cs="Courier New" w:hint="default"/>
      </w:rPr>
    </w:lvl>
    <w:lvl w:ilvl="5" w:tplc="04260005" w:tentative="1">
      <w:start w:val="1"/>
      <w:numFmt w:val="bullet"/>
      <w:lvlText w:val=""/>
      <w:lvlJc w:val="left"/>
      <w:pPr>
        <w:ind w:left="4141" w:hanging="360"/>
      </w:pPr>
      <w:rPr>
        <w:rFonts w:ascii="Wingdings" w:hAnsi="Wingdings" w:hint="default"/>
      </w:rPr>
    </w:lvl>
    <w:lvl w:ilvl="6" w:tplc="04260001" w:tentative="1">
      <w:start w:val="1"/>
      <w:numFmt w:val="bullet"/>
      <w:lvlText w:val=""/>
      <w:lvlJc w:val="left"/>
      <w:pPr>
        <w:ind w:left="4861" w:hanging="360"/>
      </w:pPr>
      <w:rPr>
        <w:rFonts w:ascii="Symbol" w:hAnsi="Symbol" w:hint="default"/>
      </w:rPr>
    </w:lvl>
    <w:lvl w:ilvl="7" w:tplc="04260003" w:tentative="1">
      <w:start w:val="1"/>
      <w:numFmt w:val="bullet"/>
      <w:lvlText w:val="o"/>
      <w:lvlJc w:val="left"/>
      <w:pPr>
        <w:ind w:left="5581" w:hanging="360"/>
      </w:pPr>
      <w:rPr>
        <w:rFonts w:ascii="Courier New" w:hAnsi="Courier New" w:cs="Courier New" w:hint="default"/>
      </w:rPr>
    </w:lvl>
    <w:lvl w:ilvl="8" w:tplc="04260005" w:tentative="1">
      <w:start w:val="1"/>
      <w:numFmt w:val="bullet"/>
      <w:lvlText w:val=""/>
      <w:lvlJc w:val="left"/>
      <w:pPr>
        <w:ind w:left="6301" w:hanging="360"/>
      </w:pPr>
      <w:rPr>
        <w:rFonts w:ascii="Wingdings" w:hAnsi="Wingdings" w:hint="default"/>
      </w:rPr>
    </w:lvl>
  </w:abstractNum>
  <w:abstractNum w:abstractNumId="5">
    <w:nsid w:val="48AC3C3E"/>
    <w:multiLevelType w:val="hybridMultilevel"/>
    <w:tmpl w:val="23D05FD8"/>
    <w:lvl w:ilvl="0" w:tplc="9898A3FA">
      <w:start w:val="4"/>
      <w:numFmt w:val="bullet"/>
      <w:lvlText w:val="-"/>
      <w:lvlJc w:val="left"/>
      <w:pPr>
        <w:ind w:left="481" w:hanging="360"/>
      </w:pPr>
      <w:rPr>
        <w:rFonts w:ascii="Times New Roman" w:eastAsia="Times New Roman" w:hAnsi="Times New Roman" w:cs="Times New Roman" w:hint="default"/>
      </w:rPr>
    </w:lvl>
    <w:lvl w:ilvl="1" w:tplc="04260003" w:tentative="1">
      <w:start w:val="1"/>
      <w:numFmt w:val="bullet"/>
      <w:lvlText w:val="o"/>
      <w:lvlJc w:val="left"/>
      <w:pPr>
        <w:ind w:left="1201" w:hanging="360"/>
      </w:pPr>
      <w:rPr>
        <w:rFonts w:ascii="Courier New" w:hAnsi="Courier New" w:cs="Courier New" w:hint="default"/>
      </w:rPr>
    </w:lvl>
    <w:lvl w:ilvl="2" w:tplc="04260005" w:tentative="1">
      <w:start w:val="1"/>
      <w:numFmt w:val="bullet"/>
      <w:lvlText w:val=""/>
      <w:lvlJc w:val="left"/>
      <w:pPr>
        <w:ind w:left="1921" w:hanging="360"/>
      </w:pPr>
      <w:rPr>
        <w:rFonts w:ascii="Wingdings" w:hAnsi="Wingdings" w:hint="default"/>
      </w:rPr>
    </w:lvl>
    <w:lvl w:ilvl="3" w:tplc="04260001" w:tentative="1">
      <w:start w:val="1"/>
      <w:numFmt w:val="bullet"/>
      <w:lvlText w:val=""/>
      <w:lvlJc w:val="left"/>
      <w:pPr>
        <w:ind w:left="2641" w:hanging="360"/>
      </w:pPr>
      <w:rPr>
        <w:rFonts w:ascii="Symbol" w:hAnsi="Symbol" w:hint="default"/>
      </w:rPr>
    </w:lvl>
    <w:lvl w:ilvl="4" w:tplc="04260003" w:tentative="1">
      <w:start w:val="1"/>
      <w:numFmt w:val="bullet"/>
      <w:lvlText w:val="o"/>
      <w:lvlJc w:val="left"/>
      <w:pPr>
        <w:ind w:left="3361" w:hanging="360"/>
      </w:pPr>
      <w:rPr>
        <w:rFonts w:ascii="Courier New" w:hAnsi="Courier New" w:cs="Courier New" w:hint="default"/>
      </w:rPr>
    </w:lvl>
    <w:lvl w:ilvl="5" w:tplc="04260005" w:tentative="1">
      <w:start w:val="1"/>
      <w:numFmt w:val="bullet"/>
      <w:lvlText w:val=""/>
      <w:lvlJc w:val="left"/>
      <w:pPr>
        <w:ind w:left="4081" w:hanging="360"/>
      </w:pPr>
      <w:rPr>
        <w:rFonts w:ascii="Wingdings" w:hAnsi="Wingdings" w:hint="default"/>
      </w:rPr>
    </w:lvl>
    <w:lvl w:ilvl="6" w:tplc="04260001" w:tentative="1">
      <w:start w:val="1"/>
      <w:numFmt w:val="bullet"/>
      <w:lvlText w:val=""/>
      <w:lvlJc w:val="left"/>
      <w:pPr>
        <w:ind w:left="4801" w:hanging="360"/>
      </w:pPr>
      <w:rPr>
        <w:rFonts w:ascii="Symbol" w:hAnsi="Symbol" w:hint="default"/>
      </w:rPr>
    </w:lvl>
    <w:lvl w:ilvl="7" w:tplc="04260003" w:tentative="1">
      <w:start w:val="1"/>
      <w:numFmt w:val="bullet"/>
      <w:lvlText w:val="o"/>
      <w:lvlJc w:val="left"/>
      <w:pPr>
        <w:ind w:left="5521" w:hanging="360"/>
      </w:pPr>
      <w:rPr>
        <w:rFonts w:ascii="Courier New" w:hAnsi="Courier New" w:cs="Courier New" w:hint="default"/>
      </w:rPr>
    </w:lvl>
    <w:lvl w:ilvl="8" w:tplc="04260005" w:tentative="1">
      <w:start w:val="1"/>
      <w:numFmt w:val="bullet"/>
      <w:lvlText w:val=""/>
      <w:lvlJc w:val="left"/>
      <w:pPr>
        <w:ind w:left="6241" w:hanging="360"/>
      </w:pPr>
      <w:rPr>
        <w:rFonts w:ascii="Wingdings" w:hAnsi="Wingdings" w:hint="default"/>
      </w:rPr>
    </w:lvl>
  </w:abstractNum>
  <w:abstractNum w:abstractNumId="6">
    <w:nsid w:val="60904176"/>
    <w:multiLevelType w:val="hybridMultilevel"/>
    <w:tmpl w:val="325440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4B46271"/>
    <w:multiLevelType w:val="hybridMultilevel"/>
    <w:tmpl w:val="AAA4D82A"/>
    <w:lvl w:ilvl="0" w:tplc="C4EE7524">
      <w:start w:val="1"/>
      <w:numFmt w:val="bullet"/>
      <w:lvlText w:val="-"/>
      <w:lvlJc w:val="left"/>
      <w:pPr>
        <w:ind w:left="1126" w:hanging="360"/>
      </w:pPr>
      <w:rPr>
        <w:rFonts w:ascii="Arial" w:hAnsi="Arial" w:hint="default"/>
      </w:rPr>
    </w:lvl>
    <w:lvl w:ilvl="1" w:tplc="04260003" w:tentative="1">
      <w:start w:val="1"/>
      <w:numFmt w:val="bullet"/>
      <w:lvlText w:val="o"/>
      <w:lvlJc w:val="left"/>
      <w:pPr>
        <w:ind w:left="1846" w:hanging="360"/>
      </w:pPr>
      <w:rPr>
        <w:rFonts w:ascii="Courier New" w:hAnsi="Courier New" w:cs="Courier New" w:hint="default"/>
      </w:rPr>
    </w:lvl>
    <w:lvl w:ilvl="2" w:tplc="04260005" w:tentative="1">
      <w:start w:val="1"/>
      <w:numFmt w:val="bullet"/>
      <w:lvlText w:val=""/>
      <w:lvlJc w:val="left"/>
      <w:pPr>
        <w:ind w:left="2566" w:hanging="360"/>
      </w:pPr>
      <w:rPr>
        <w:rFonts w:ascii="Wingdings" w:hAnsi="Wingdings" w:hint="default"/>
      </w:rPr>
    </w:lvl>
    <w:lvl w:ilvl="3" w:tplc="04260001" w:tentative="1">
      <w:start w:val="1"/>
      <w:numFmt w:val="bullet"/>
      <w:lvlText w:val=""/>
      <w:lvlJc w:val="left"/>
      <w:pPr>
        <w:ind w:left="3286" w:hanging="360"/>
      </w:pPr>
      <w:rPr>
        <w:rFonts w:ascii="Symbol" w:hAnsi="Symbol" w:hint="default"/>
      </w:rPr>
    </w:lvl>
    <w:lvl w:ilvl="4" w:tplc="04260003" w:tentative="1">
      <w:start w:val="1"/>
      <w:numFmt w:val="bullet"/>
      <w:lvlText w:val="o"/>
      <w:lvlJc w:val="left"/>
      <w:pPr>
        <w:ind w:left="4006" w:hanging="360"/>
      </w:pPr>
      <w:rPr>
        <w:rFonts w:ascii="Courier New" w:hAnsi="Courier New" w:cs="Courier New" w:hint="default"/>
      </w:rPr>
    </w:lvl>
    <w:lvl w:ilvl="5" w:tplc="04260005" w:tentative="1">
      <w:start w:val="1"/>
      <w:numFmt w:val="bullet"/>
      <w:lvlText w:val=""/>
      <w:lvlJc w:val="left"/>
      <w:pPr>
        <w:ind w:left="4726" w:hanging="360"/>
      </w:pPr>
      <w:rPr>
        <w:rFonts w:ascii="Wingdings" w:hAnsi="Wingdings" w:hint="default"/>
      </w:rPr>
    </w:lvl>
    <w:lvl w:ilvl="6" w:tplc="04260001" w:tentative="1">
      <w:start w:val="1"/>
      <w:numFmt w:val="bullet"/>
      <w:lvlText w:val=""/>
      <w:lvlJc w:val="left"/>
      <w:pPr>
        <w:ind w:left="5446" w:hanging="360"/>
      </w:pPr>
      <w:rPr>
        <w:rFonts w:ascii="Symbol" w:hAnsi="Symbol" w:hint="default"/>
      </w:rPr>
    </w:lvl>
    <w:lvl w:ilvl="7" w:tplc="04260003" w:tentative="1">
      <w:start w:val="1"/>
      <w:numFmt w:val="bullet"/>
      <w:lvlText w:val="o"/>
      <w:lvlJc w:val="left"/>
      <w:pPr>
        <w:ind w:left="6166" w:hanging="360"/>
      </w:pPr>
      <w:rPr>
        <w:rFonts w:ascii="Courier New" w:hAnsi="Courier New" w:cs="Courier New" w:hint="default"/>
      </w:rPr>
    </w:lvl>
    <w:lvl w:ilvl="8" w:tplc="04260005" w:tentative="1">
      <w:start w:val="1"/>
      <w:numFmt w:val="bullet"/>
      <w:lvlText w:val=""/>
      <w:lvlJc w:val="left"/>
      <w:pPr>
        <w:ind w:left="6886" w:hanging="360"/>
      </w:pPr>
      <w:rPr>
        <w:rFonts w:ascii="Wingdings" w:hAnsi="Wingdings" w:hint="default"/>
      </w:rPr>
    </w:lvl>
  </w:abstractNum>
  <w:abstractNum w:abstractNumId="8">
    <w:nsid w:val="7AF13861"/>
    <w:multiLevelType w:val="hybridMultilevel"/>
    <w:tmpl w:val="2A186760"/>
    <w:lvl w:ilvl="0" w:tplc="09A2CF52">
      <w:start w:val="1"/>
      <w:numFmt w:val="decimal"/>
      <w:lvlText w:val="%1)"/>
      <w:lvlJc w:val="left"/>
      <w:pPr>
        <w:ind w:left="481" w:hanging="360"/>
      </w:pPr>
      <w:rPr>
        <w:rFonts w:hint="default"/>
      </w:rPr>
    </w:lvl>
    <w:lvl w:ilvl="1" w:tplc="04260019" w:tentative="1">
      <w:start w:val="1"/>
      <w:numFmt w:val="lowerLetter"/>
      <w:lvlText w:val="%2."/>
      <w:lvlJc w:val="left"/>
      <w:pPr>
        <w:ind w:left="1201" w:hanging="360"/>
      </w:pPr>
    </w:lvl>
    <w:lvl w:ilvl="2" w:tplc="0426001B" w:tentative="1">
      <w:start w:val="1"/>
      <w:numFmt w:val="lowerRoman"/>
      <w:lvlText w:val="%3."/>
      <w:lvlJc w:val="right"/>
      <w:pPr>
        <w:ind w:left="1921" w:hanging="180"/>
      </w:pPr>
    </w:lvl>
    <w:lvl w:ilvl="3" w:tplc="0426000F" w:tentative="1">
      <w:start w:val="1"/>
      <w:numFmt w:val="decimal"/>
      <w:lvlText w:val="%4."/>
      <w:lvlJc w:val="left"/>
      <w:pPr>
        <w:ind w:left="2641" w:hanging="360"/>
      </w:pPr>
    </w:lvl>
    <w:lvl w:ilvl="4" w:tplc="04260019" w:tentative="1">
      <w:start w:val="1"/>
      <w:numFmt w:val="lowerLetter"/>
      <w:lvlText w:val="%5."/>
      <w:lvlJc w:val="left"/>
      <w:pPr>
        <w:ind w:left="3361" w:hanging="360"/>
      </w:pPr>
    </w:lvl>
    <w:lvl w:ilvl="5" w:tplc="0426001B" w:tentative="1">
      <w:start w:val="1"/>
      <w:numFmt w:val="lowerRoman"/>
      <w:lvlText w:val="%6."/>
      <w:lvlJc w:val="right"/>
      <w:pPr>
        <w:ind w:left="4081" w:hanging="180"/>
      </w:pPr>
    </w:lvl>
    <w:lvl w:ilvl="6" w:tplc="0426000F" w:tentative="1">
      <w:start w:val="1"/>
      <w:numFmt w:val="decimal"/>
      <w:lvlText w:val="%7."/>
      <w:lvlJc w:val="left"/>
      <w:pPr>
        <w:ind w:left="4801" w:hanging="360"/>
      </w:pPr>
    </w:lvl>
    <w:lvl w:ilvl="7" w:tplc="04260019" w:tentative="1">
      <w:start w:val="1"/>
      <w:numFmt w:val="lowerLetter"/>
      <w:lvlText w:val="%8."/>
      <w:lvlJc w:val="left"/>
      <w:pPr>
        <w:ind w:left="5521" w:hanging="360"/>
      </w:pPr>
    </w:lvl>
    <w:lvl w:ilvl="8" w:tplc="0426001B" w:tentative="1">
      <w:start w:val="1"/>
      <w:numFmt w:val="lowerRoman"/>
      <w:lvlText w:val="%9."/>
      <w:lvlJc w:val="right"/>
      <w:pPr>
        <w:ind w:left="6241" w:hanging="180"/>
      </w:pPr>
    </w:lvl>
  </w:abstractNum>
  <w:abstractNum w:abstractNumId="9">
    <w:nsid w:val="7C842865"/>
    <w:multiLevelType w:val="hybridMultilevel"/>
    <w:tmpl w:val="534620C4"/>
    <w:lvl w:ilvl="0" w:tplc="9FC4AB98">
      <w:start w:val="35"/>
      <w:numFmt w:val="bullet"/>
      <w:lvlText w:val="-"/>
      <w:lvlJc w:val="left"/>
      <w:pPr>
        <w:ind w:left="465" w:hanging="360"/>
      </w:pPr>
      <w:rPr>
        <w:rFonts w:ascii="Times New Roman" w:eastAsia="Times New Roman" w:hAnsi="Times New Roman" w:cs="Times New Roman" w:hint="default"/>
      </w:rPr>
    </w:lvl>
    <w:lvl w:ilvl="1" w:tplc="04260003" w:tentative="1">
      <w:start w:val="1"/>
      <w:numFmt w:val="bullet"/>
      <w:lvlText w:val="o"/>
      <w:lvlJc w:val="left"/>
      <w:pPr>
        <w:ind w:left="1185" w:hanging="360"/>
      </w:pPr>
      <w:rPr>
        <w:rFonts w:ascii="Courier New" w:hAnsi="Courier New" w:cs="Courier New" w:hint="default"/>
      </w:rPr>
    </w:lvl>
    <w:lvl w:ilvl="2" w:tplc="04260005" w:tentative="1">
      <w:start w:val="1"/>
      <w:numFmt w:val="bullet"/>
      <w:lvlText w:val=""/>
      <w:lvlJc w:val="left"/>
      <w:pPr>
        <w:ind w:left="1905" w:hanging="360"/>
      </w:pPr>
      <w:rPr>
        <w:rFonts w:ascii="Wingdings" w:hAnsi="Wingdings" w:hint="default"/>
      </w:rPr>
    </w:lvl>
    <w:lvl w:ilvl="3" w:tplc="04260001" w:tentative="1">
      <w:start w:val="1"/>
      <w:numFmt w:val="bullet"/>
      <w:lvlText w:val=""/>
      <w:lvlJc w:val="left"/>
      <w:pPr>
        <w:ind w:left="2625" w:hanging="360"/>
      </w:pPr>
      <w:rPr>
        <w:rFonts w:ascii="Symbol" w:hAnsi="Symbol" w:hint="default"/>
      </w:rPr>
    </w:lvl>
    <w:lvl w:ilvl="4" w:tplc="04260003" w:tentative="1">
      <w:start w:val="1"/>
      <w:numFmt w:val="bullet"/>
      <w:lvlText w:val="o"/>
      <w:lvlJc w:val="left"/>
      <w:pPr>
        <w:ind w:left="3345" w:hanging="360"/>
      </w:pPr>
      <w:rPr>
        <w:rFonts w:ascii="Courier New" w:hAnsi="Courier New" w:cs="Courier New" w:hint="default"/>
      </w:rPr>
    </w:lvl>
    <w:lvl w:ilvl="5" w:tplc="04260005" w:tentative="1">
      <w:start w:val="1"/>
      <w:numFmt w:val="bullet"/>
      <w:lvlText w:val=""/>
      <w:lvlJc w:val="left"/>
      <w:pPr>
        <w:ind w:left="4065" w:hanging="360"/>
      </w:pPr>
      <w:rPr>
        <w:rFonts w:ascii="Wingdings" w:hAnsi="Wingdings" w:hint="default"/>
      </w:rPr>
    </w:lvl>
    <w:lvl w:ilvl="6" w:tplc="04260001" w:tentative="1">
      <w:start w:val="1"/>
      <w:numFmt w:val="bullet"/>
      <w:lvlText w:val=""/>
      <w:lvlJc w:val="left"/>
      <w:pPr>
        <w:ind w:left="4785" w:hanging="360"/>
      </w:pPr>
      <w:rPr>
        <w:rFonts w:ascii="Symbol" w:hAnsi="Symbol" w:hint="default"/>
      </w:rPr>
    </w:lvl>
    <w:lvl w:ilvl="7" w:tplc="04260003" w:tentative="1">
      <w:start w:val="1"/>
      <w:numFmt w:val="bullet"/>
      <w:lvlText w:val="o"/>
      <w:lvlJc w:val="left"/>
      <w:pPr>
        <w:ind w:left="5505" w:hanging="360"/>
      </w:pPr>
      <w:rPr>
        <w:rFonts w:ascii="Courier New" w:hAnsi="Courier New" w:cs="Courier New" w:hint="default"/>
      </w:rPr>
    </w:lvl>
    <w:lvl w:ilvl="8" w:tplc="04260005" w:tentative="1">
      <w:start w:val="1"/>
      <w:numFmt w:val="bullet"/>
      <w:lvlText w:val=""/>
      <w:lvlJc w:val="left"/>
      <w:pPr>
        <w:ind w:left="6225"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5"/>
  </w:num>
  <w:num w:numId="6">
    <w:abstractNumId w:val="3"/>
  </w:num>
  <w:num w:numId="7">
    <w:abstractNumId w:val="7"/>
  </w:num>
  <w:num w:numId="8">
    <w:abstractNumId w:val="2"/>
  </w:num>
  <w:num w:numId="9">
    <w:abstractNumId w:val="1"/>
  </w:num>
  <w:num w:numId="10">
    <w:abstractNumId w:val="9"/>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ubača Taisa">
    <w15:presenceInfo w15:providerId="None" w15:userId="Trubača Tais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hideSpellingErrors/>
  <w:hideGrammaticalErrors/>
  <w:documentProtection w:edit="readOnly" w:enforcement="0"/>
  <w:defaultTabStop w:val="720"/>
  <w:drawingGridHorizontalSpacing w:val="140"/>
  <w:drawingGridVerticalSpacing w:val="381"/>
  <w:displayHorizontalDrawingGridEvery w:val="2"/>
  <w:doNotShadeFormData/>
  <w:characterSpacingControl w:val="doNotCompress"/>
  <w:footnotePr>
    <w:footnote w:id="-1"/>
    <w:footnote w:id="0"/>
  </w:footnotePr>
  <w:endnotePr>
    <w:endnote w:id="-1"/>
    <w:endnote w:id="0"/>
  </w:endnotePr>
  <w:compat/>
  <w:rsids>
    <w:rsidRoot w:val="004C18F7"/>
    <w:rsid w:val="000000D3"/>
    <w:rsid w:val="000008B3"/>
    <w:rsid w:val="00001652"/>
    <w:rsid w:val="000025AE"/>
    <w:rsid w:val="000030A1"/>
    <w:rsid w:val="00005D25"/>
    <w:rsid w:val="0001173A"/>
    <w:rsid w:val="00012C78"/>
    <w:rsid w:val="0001695C"/>
    <w:rsid w:val="00016BED"/>
    <w:rsid w:val="00021745"/>
    <w:rsid w:val="00021A33"/>
    <w:rsid w:val="000221C8"/>
    <w:rsid w:val="00023C04"/>
    <w:rsid w:val="00025105"/>
    <w:rsid w:val="00025E0D"/>
    <w:rsid w:val="00026F37"/>
    <w:rsid w:val="0003490A"/>
    <w:rsid w:val="00035E10"/>
    <w:rsid w:val="000363D2"/>
    <w:rsid w:val="0003687D"/>
    <w:rsid w:val="00046BF7"/>
    <w:rsid w:val="0005092F"/>
    <w:rsid w:val="00050BCA"/>
    <w:rsid w:val="00051767"/>
    <w:rsid w:val="00051C41"/>
    <w:rsid w:val="00055586"/>
    <w:rsid w:val="00056A62"/>
    <w:rsid w:val="000646F5"/>
    <w:rsid w:val="000656CB"/>
    <w:rsid w:val="000661B3"/>
    <w:rsid w:val="0006756D"/>
    <w:rsid w:val="000677DB"/>
    <w:rsid w:val="00070A69"/>
    <w:rsid w:val="00070FA3"/>
    <w:rsid w:val="000724EA"/>
    <w:rsid w:val="00074D9D"/>
    <w:rsid w:val="00075AC7"/>
    <w:rsid w:val="0008046E"/>
    <w:rsid w:val="000815B8"/>
    <w:rsid w:val="00081CFF"/>
    <w:rsid w:val="00083B09"/>
    <w:rsid w:val="0008634A"/>
    <w:rsid w:val="00087025"/>
    <w:rsid w:val="00090208"/>
    <w:rsid w:val="000914F2"/>
    <w:rsid w:val="00093DD3"/>
    <w:rsid w:val="00096AC2"/>
    <w:rsid w:val="00096EAE"/>
    <w:rsid w:val="00097F55"/>
    <w:rsid w:val="000A14A1"/>
    <w:rsid w:val="000A1600"/>
    <w:rsid w:val="000A27ED"/>
    <w:rsid w:val="000A2D21"/>
    <w:rsid w:val="000A573C"/>
    <w:rsid w:val="000B2426"/>
    <w:rsid w:val="000B2E1F"/>
    <w:rsid w:val="000B338F"/>
    <w:rsid w:val="000B3FFF"/>
    <w:rsid w:val="000B5365"/>
    <w:rsid w:val="000B71C3"/>
    <w:rsid w:val="000C28D3"/>
    <w:rsid w:val="000C2DC7"/>
    <w:rsid w:val="000C3A24"/>
    <w:rsid w:val="000C4144"/>
    <w:rsid w:val="000C5605"/>
    <w:rsid w:val="000D19B8"/>
    <w:rsid w:val="000D29C1"/>
    <w:rsid w:val="000D447D"/>
    <w:rsid w:val="000D56F2"/>
    <w:rsid w:val="000D60E5"/>
    <w:rsid w:val="000E2625"/>
    <w:rsid w:val="000E4356"/>
    <w:rsid w:val="000E726C"/>
    <w:rsid w:val="000F07C9"/>
    <w:rsid w:val="000F1E9C"/>
    <w:rsid w:val="000F20B7"/>
    <w:rsid w:val="000F31D2"/>
    <w:rsid w:val="000F4230"/>
    <w:rsid w:val="000F46B6"/>
    <w:rsid w:val="000F5688"/>
    <w:rsid w:val="000F75CA"/>
    <w:rsid w:val="00101521"/>
    <w:rsid w:val="00102D88"/>
    <w:rsid w:val="00103465"/>
    <w:rsid w:val="0010730F"/>
    <w:rsid w:val="00107431"/>
    <w:rsid w:val="001100B5"/>
    <w:rsid w:val="00113DDA"/>
    <w:rsid w:val="00123FC4"/>
    <w:rsid w:val="001240D5"/>
    <w:rsid w:val="001241D4"/>
    <w:rsid w:val="0012504C"/>
    <w:rsid w:val="0012539F"/>
    <w:rsid w:val="00127804"/>
    <w:rsid w:val="001307E4"/>
    <w:rsid w:val="00130C30"/>
    <w:rsid w:val="0013232F"/>
    <w:rsid w:val="0013768B"/>
    <w:rsid w:val="00137E49"/>
    <w:rsid w:val="001404BA"/>
    <w:rsid w:val="001407B3"/>
    <w:rsid w:val="00141183"/>
    <w:rsid w:val="001436E4"/>
    <w:rsid w:val="00143D34"/>
    <w:rsid w:val="001446AC"/>
    <w:rsid w:val="001450EE"/>
    <w:rsid w:val="00152C8E"/>
    <w:rsid w:val="00154E86"/>
    <w:rsid w:val="00156F82"/>
    <w:rsid w:val="00157159"/>
    <w:rsid w:val="001638F5"/>
    <w:rsid w:val="00164A0A"/>
    <w:rsid w:val="00165B79"/>
    <w:rsid w:val="001700ED"/>
    <w:rsid w:val="00171C07"/>
    <w:rsid w:val="00172546"/>
    <w:rsid w:val="00173902"/>
    <w:rsid w:val="00176B29"/>
    <w:rsid w:val="00177697"/>
    <w:rsid w:val="00183796"/>
    <w:rsid w:val="0018383C"/>
    <w:rsid w:val="00183F58"/>
    <w:rsid w:val="0018555B"/>
    <w:rsid w:val="00186B6F"/>
    <w:rsid w:val="00186EF1"/>
    <w:rsid w:val="00187FD3"/>
    <w:rsid w:val="0019051B"/>
    <w:rsid w:val="001925CE"/>
    <w:rsid w:val="00192D35"/>
    <w:rsid w:val="00193DA6"/>
    <w:rsid w:val="001A49F1"/>
    <w:rsid w:val="001A571F"/>
    <w:rsid w:val="001A62FF"/>
    <w:rsid w:val="001A67BE"/>
    <w:rsid w:val="001B004A"/>
    <w:rsid w:val="001B0950"/>
    <w:rsid w:val="001B0F22"/>
    <w:rsid w:val="001B1547"/>
    <w:rsid w:val="001B4A0A"/>
    <w:rsid w:val="001B6F7B"/>
    <w:rsid w:val="001C3721"/>
    <w:rsid w:val="001C7651"/>
    <w:rsid w:val="001D0555"/>
    <w:rsid w:val="001D2512"/>
    <w:rsid w:val="001D268D"/>
    <w:rsid w:val="001D415C"/>
    <w:rsid w:val="001E25D5"/>
    <w:rsid w:val="001E2E9D"/>
    <w:rsid w:val="001E3DA8"/>
    <w:rsid w:val="001E4100"/>
    <w:rsid w:val="001E6490"/>
    <w:rsid w:val="001E6F07"/>
    <w:rsid w:val="001E7D8E"/>
    <w:rsid w:val="001F4C48"/>
    <w:rsid w:val="001F7A18"/>
    <w:rsid w:val="00200B20"/>
    <w:rsid w:val="002020FD"/>
    <w:rsid w:val="00203FDE"/>
    <w:rsid w:val="002113F3"/>
    <w:rsid w:val="00211427"/>
    <w:rsid w:val="00214107"/>
    <w:rsid w:val="00215CE3"/>
    <w:rsid w:val="00215D6A"/>
    <w:rsid w:val="00217566"/>
    <w:rsid w:val="00222B11"/>
    <w:rsid w:val="002231A6"/>
    <w:rsid w:val="002239C5"/>
    <w:rsid w:val="00223A58"/>
    <w:rsid w:val="00223CB1"/>
    <w:rsid w:val="0022653B"/>
    <w:rsid w:val="00226871"/>
    <w:rsid w:val="00227A2F"/>
    <w:rsid w:val="00231683"/>
    <w:rsid w:val="00233628"/>
    <w:rsid w:val="00233FA9"/>
    <w:rsid w:val="0023414D"/>
    <w:rsid w:val="00236413"/>
    <w:rsid w:val="00245A8B"/>
    <w:rsid w:val="002467EC"/>
    <w:rsid w:val="00250010"/>
    <w:rsid w:val="00251C46"/>
    <w:rsid w:val="00252341"/>
    <w:rsid w:val="0025305E"/>
    <w:rsid w:val="00254188"/>
    <w:rsid w:val="00254D2E"/>
    <w:rsid w:val="00256E66"/>
    <w:rsid w:val="00263B9F"/>
    <w:rsid w:val="00264377"/>
    <w:rsid w:val="002645D7"/>
    <w:rsid w:val="002705D6"/>
    <w:rsid w:val="0027357E"/>
    <w:rsid w:val="00275DFB"/>
    <w:rsid w:val="002804D4"/>
    <w:rsid w:val="00281F97"/>
    <w:rsid w:val="00282316"/>
    <w:rsid w:val="00282361"/>
    <w:rsid w:val="002835F5"/>
    <w:rsid w:val="00285763"/>
    <w:rsid w:val="002873A3"/>
    <w:rsid w:val="002874D0"/>
    <w:rsid w:val="0029066D"/>
    <w:rsid w:val="00290ECC"/>
    <w:rsid w:val="0029243A"/>
    <w:rsid w:val="00292544"/>
    <w:rsid w:val="00296503"/>
    <w:rsid w:val="002A0F8A"/>
    <w:rsid w:val="002A6090"/>
    <w:rsid w:val="002B027E"/>
    <w:rsid w:val="002B080C"/>
    <w:rsid w:val="002B0929"/>
    <w:rsid w:val="002B650D"/>
    <w:rsid w:val="002C01CB"/>
    <w:rsid w:val="002C1CED"/>
    <w:rsid w:val="002C296E"/>
    <w:rsid w:val="002C6D34"/>
    <w:rsid w:val="002C70A6"/>
    <w:rsid w:val="002D29BE"/>
    <w:rsid w:val="002D44D7"/>
    <w:rsid w:val="002E4518"/>
    <w:rsid w:val="002E462B"/>
    <w:rsid w:val="002E52AE"/>
    <w:rsid w:val="002F0B89"/>
    <w:rsid w:val="002F2DB3"/>
    <w:rsid w:val="002F46B6"/>
    <w:rsid w:val="002F6877"/>
    <w:rsid w:val="00300B74"/>
    <w:rsid w:val="003022CB"/>
    <w:rsid w:val="00304CFE"/>
    <w:rsid w:val="00305EDC"/>
    <w:rsid w:val="003131DD"/>
    <w:rsid w:val="00316127"/>
    <w:rsid w:val="0031651A"/>
    <w:rsid w:val="00316DBE"/>
    <w:rsid w:val="00316F7D"/>
    <w:rsid w:val="0031788E"/>
    <w:rsid w:val="00322F63"/>
    <w:rsid w:val="00323067"/>
    <w:rsid w:val="003244EE"/>
    <w:rsid w:val="003250DA"/>
    <w:rsid w:val="00325AD9"/>
    <w:rsid w:val="00331F59"/>
    <w:rsid w:val="003325FC"/>
    <w:rsid w:val="00333BD4"/>
    <w:rsid w:val="00334F0A"/>
    <w:rsid w:val="0034404C"/>
    <w:rsid w:val="00351BD4"/>
    <w:rsid w:val="00355C05"/>
    <w:rsid w:val="00356879"/>
    <w:rsid w:val="00356B70"/>
    <w:rsid w:val="00360C13"/>
    <w:rsid w:val="00364186"/>
    <w:rsid w:val="00364510"/>
    <w:rsid w:val="0036453E"/>
    <w:rsid w:val="00366EEA"/>
    <w:rsid w:val="00374032"/>
    <w:rsid w:val="00376F7F"/>
    <w:rsid w:val="003774A8"/>
    <w:rsid w:val="003819B7"/>
    <w:rsid w:val="003829AF"/>
    <w:rsid w:val="0038733F"/>
    <w:rsid w:val="0038757F"/>
    <w:rsid w:val="0039423E"/>
    <w:rsid w:val="003966A1"/>
    <w:rsid w:val="00396751"/>
    <w:rsid w:val="00397B3D"/>
    <w:rsid w:val="003A188F"/>
    <w:rsid w:val="003A454F"/>
    <w:rsid w:val="003A480A"/>
    <w:rsid w:val="003A4D22"/>
    <w:rsid w:val="003A5E28"/>
    <w:rsid w:val="003B3456"/>
    <w:rsid w:val="003B4C74"/>
    <w:rsid w:val="003B5DEE"/>
    <w:rsid w:val="003B5DF6"/>
    <w:rsid w:val="003B64E5"/>
    <w:rsid w:val="003C293F"/>
    <w:rsid w:val="003C39C4"/>
    <w:rsid w:val="003C466C"/>
    <w:rsid w:val="003C4764"/>
    <w:rsid w:val="003C4CBF"/>
    <w:rsid w:val="003C602F"/>
    <w:rsid w:val="003C7271"/>
    <w:rsid w:val="003D1435"/>
    <w:rsid w:val="003D3C9E"/>
    <w:rsid w:val="003D4597"/>
    <w:rsid w:val="003D6100"/>
    <w:rsid w:val="003D66C9"/>
    <w:rsid w:val="003D709C"/>
    <w:rsid w:val="003D70AB"/>
    <w:rsid w:val="003E511C"/>
    <w:rsid w:val="003F0029"/>
    <w:rsid w:val="003F00F3"/>
    <w:rsid w:val="003F06CB"/>
    <w:rsid w:val="003F2543"/>
    <w:rsid w:val="003F326B"/>
    <w:rsid w:val="003F5914"/>
    <w:rsid w:val="003F5C66"/>
    <w:rsid w:val="003F61EA"/>
    <w:rsid w:val="003F667A"/>
    <w:rsid w:val="003F68D9"/>
    <w:rsid w:val="003F6F8A"/>
    <w:rsid w:val="00400077"/>
    <w:rsid w:val="0040009E"/>
    <w:rsid w:val="00400335"/>
    <w:rsid w:val="00402622"/>
    <w:rsid w:val="00405A38"/>
    <w:rsid w:val="0040730E"/>
    <w:rsid w:val="00410A11"/>
    <w:rsid w:val="004137B5"/>
    <w:rsid w:val="00417678"/>
    <w:rsid w:val="0042262E"/>
    <w:rsid w:val="004235A6"/>
    <w:rsid w:val="00431B31"/>
    <w:rsid w:val="004320A6"/>
    <w:rsid w:val="00432AD0"/>
    <w:rsid w:val="004345A4"/>
    <w:rsid w:val="00434F10"/>
    <w:rsid w:val="004367DF"/>
    <w:rsid w:val="00436AB3"/>
    <w:rsid w:val="004406D0"/>
    <w:rsid w:val="00440B00"/>
    <w:rsid w:val="004410EA"/>
    <w:rsid w:val="004412A6"/>
    <w:rsid w:val="0044314A"/>
    <w:rsid w:val="00444903"/>
    <w:rsid w:val="00445525"/>
    <w:rsid w:val="004502E6"/>
    <w:rsid w:val="0045094E"/>
    <w:rsid w:val="0045159B"/>
    <w:rsid w:val="00452B1A"/>
    <w:rsid w:val="004538ED"/>
    <w:rsid w:val="004538FF"/>
    <w:rsid w:val="004549EA"/>
    <w:rsid w:val="004550C9"/>
    <w:rsid w:val="0045699C"/>
    <w:rsid w:val="00460B11"/>
    <w:rsid w:val="00460D2A"/>
    <w:rsid w:val="00461B3A"/>
    <w:rsid w:val="0046465A"/>
    <w:rsid w:val="00464DBF"/>
    <w:rsid w:val="00465AFA"/>
    <w:rsid w:val="0047075D"/>
    <w:rsid w:val="00470C2E"/>
    <w:rsid w:val="004712DB"/>
    <w:rsid w:val="00471E12"/>
    <w:rsid w:val="00475A68"/>
    <w:rsid w:val="004804F3"/>
    <w:rsid w:val="00480936"/>
    <w:rsid w:val="00482BDA"/>
    <w:rsid w:val="00485350"/>
    <w:rsid w:val="0048553D"/>
    <w:rsid w:val="00487991"/>
    <w:rsid w:val="00492089"/>
    <w:rsid w:val="004931DE"/>
    <w:rsid w:val="004978C5"/>
    <w:rsid w:val="00497963"/>
    <w:rsid w:val="004A6454"/>
    <w:rsid w:val="004B0F03"/>
    <w:rsid w:val="004B17A5"/>
    <w:rsid w:val="004B2A1A"/>
    <w:rsid w:val="004B30FB"/>
    <w:rsid w:val="004B4A03"/>
    <w:rsid w:val="004B55AC"/>
    <w:rsid w:val="004B73C9"/>
    <w:rsid w:val="004B787B"/>
    <w:rsid w:val="004B7EE8"/>
    <w:rsid w:val="004C11C0"/>
    <w:rsid w:val="004C18F7"/>
    <w:rsid w:val="004C2E58"/>
    <w:rsid w:val="004C52DC"/>
    <w:rsid w:val="004C6B96"/>
    <w:rsid w:val="004C7570"/>
    <w:rsid w:val="004D073C"/>
    <w:rsid w:val="004D1142"/>
    <w:rsid w:val="004D1E51"/>
    <w:rsid w:val="004D5427"/>
    <w:rsid w:val="004D5BD7"/>
    <w:rsid w:val="004D7B89"/>
    <w:rsid w:val="004E00A8"/>
    <w:rsid w:val="004E23BC"/>
    <w:rsid w:val="004E305A"/>
    <w:rsid w:val="004E3594"/>
    <w:rsid w:val="004E69C0"/>
    <w:rsid w:val="004F1708"/>
    <w:rsid w:val="004F2C32"/>
    <w:rsid w:val="004F7A1A"/>
    <w:rsid w:val="005005CC"/>
    <w:rsid w:val="005069DB"/>
    <w:rsid w:val="00506A9C"/>
    <w:rsid w:val="005076FE"/>
    <w:rsid w:val="00507838"/>
    <w:rsid w:val="005079DC"/>
    <w:rsid w:val="00507BDC"/>
    <w:rsid w:val="00522B34"/>
    <w:rsid w:val="00523F92"/>
    <w:rsid w:val="0052458C"/>
    <w:rsid w:val="005261EC"/>
    <w:rsid w:val="005262F2"/>
    <w:rsid w:val="00527570"/>
    <w:rsid w:val="0053028D"/>
    <w:rsid w:val="00532466"/>
    <w:rsid w:val="00533617"/>
    <w:rsid w:val="00536618"/>
    <w:rsid w:val="00543B62"/>
    <w:rsid w:val="0054646D"/>
    <w:rsid w:val="00546B43"/>
    <w:rsid w:val="00546EB3"/>
    <w:rsid w:val="00554C9E"/>
    <w:rsid w:val="0055578B"/>
    <w:rsid w:val="005564F1"/>
    <w:rsid w:val="00560528"/>
    <w:rsid w:val="00563A00"/>
    <w:rsid w:val="005726CA"/>
    <w:rsid w:val="00574EF1"/>
    <w:rsid w:val="00576F5A"/>
    <w:rsid w:val="005770C2"/>
    <w:rsid w:val="00577592"/>
    <w:rsid w:val="00581B0D"/>
    <w:rsid w:val="0058565B"/>
    <w:rsid w:val="005858A8"/>
    <w:rsid w:val="00586A0A"/>
    <w:rsid w:val="005900C1"/>
    <w:rsid w:val="00590419"/>
    <w:rsid w:val="00590433"/>
    <w:rsid w:val="00590F69"/>
    <w:rsid w:val="00592D1C"/>
    <w:rsid w:val="0059748B"/>
    <w:rsid w:val="005A0DB3"/>
    <w:rsid w:val="005A4731"/>
    <w:rsid w:val="005A56E0"/>
    <w:rsid w:val="005A667A"/>
    <w:rsid w:val="005B1455"/>
    <w:rsid w:val="005B1C9F"/>
    <w:rsid w:val="005B2D72"/>
    <w:rsid w:val="005B35C1"/>
    <w:rsid w:val="005C1D59"/>
    <w:rsid w:val="005C66FE"/>
    <w:rsid w:val="005C7704"/>
    <w:rsid w:val="005D2263"/>
    <w:rsid w:val="005D2829"/>
    <w:rsid w:val="005D73E7"/>
    <w:rsid w:val="005E0029"/>
    <w:rsid w:val="005E2603"/>
    <w:rsid w:val="005E45A1"/>
    <w:rsid w:val="005E5131"/>
    <w:rsid w:val="005E65B1"/>
    <w:rsid w:val="005E667E"/>
    <w:rsid w:val="005E6A21"/>
    <w:rsid w:val="005F095B"/>
    <w:rsid w:val="005F0F57"/>
    <w:rsid w:val="005F1586"/>
    <w:rsid w:val="005F4837"/>
    <w:rsid w:val="005F5B13"/>
    <w:rsid w:val="005F5FA0"/>
    <w:rsid w:val="005F7979"/>
    <w:rsid w:val="006007AF"/>
    <w:rsid w:val="00600E14"/>
    <w:rsid w:val="00601694"/>
    <w:rsid w:val="00601E86"/>
    <w:rsid w:val="00602076"/>
    <w:rsid w:val="0060746A"/>
    <w:rsid w:val="00607C1D"/>
    <w:rsid w:val="006122A1"/>
    <w:rsid w:val="00613583"/>
    <w:rsid w:val="006137DB"/>
    <w:rsid w:val="006147F2"/>
    <w:rsid w:val="00616C65"/>
    <w:rsid w:val="00617703"/>
    <w:rsid w:val="0062202E"/>
    <w:rsid w:val="00623555"/>
    <w:rsid w:val="00623654"/>
    <w:rsid w:val="006254AD"/>
    <w:rsid w:val="00625738"/>
    <w:rsid w:val="00632BA7"/>
    <w:rsid w:val="006337B9"/>
    <w:rsid w:val="006374F3"/>
    <w:rsid w:val="00637A42"/>
    <w:rsid w:val="00641003"/>
    <w:rsid w:val="00641FC4"/>
    <w:rsid w:val="00646195"/>
    <w:rsid w:val="0064630E"/>
    <w:rsid w:val="006548F3"/>
    <w:rsid w:val="00654BE7"/>
    <w:rsid w:val="0065562C"/>
    <w:rsid w:val="006557C4"/>
    <w:rsid w:val="0066017C"/>
    <w:rsid w:val="00661537"/>
    <w:rsid w:val="00661F66"/>
    <w:rsid w:val="006627D5"/>
    <w:rsid w:val="00662DAB"/>
    <w:rsid w:val="00664563"/>
    <w:rsid w:val="00664992"/>
    <w:rsid w:val="0066550C"/>
    <w:rsid w:val="00673799"/>
    <w:rsid w:val="00673B7E"/>
    <w:rsid w:val="006741A0"/>
    <w:rsid w:val="00683A95"/>
    <w:rsid w:val="00684068"/>
    <w:rsid w:val="006856AF"/>
    <w:rsid w:val="0068728C"/>
    <w:rsid w:val="00692081"/>
    <w:rsid w:val="006922DB"/>
    <w:rsid w:val="0069661D"/>
    <w:rsid w:val="006979E1"/>
    <w:rsid w:val="006A012D"/>
    <w:rsid w:val="006A23F3"/>
    <w:rsid w:val="006A2C07"/>
    <w:rsid w:val="006A45E3"/>
    <w:rsid w:val="006A63C1"/>
    <w:rsid w:val="006B0542"/>
    <w:rsid w:val="006B0661"/>
    <w:rsid w:val="006B0F6C"/>
    <w:rsid w:val="006B39B8"/>
    <w:rsid w:val="006B3D52"/>
    <w:rsid w:val="006B5C11"/>
    <w:rsid w:val="006B654A"/>
    <w:rsid w:val="006B6DF6"/>
    <w:rsid w:val="006B7617"/>
    <w:rsid w:val="006B7EF6"/>
    <w:rsid w:val="006C0672"/>
    <w:rsid w:val="006C0827"/>
    <w:rsid w:val="006C30FF"/>
    <w:rsid w:val="006C35ED"/>
    <w:rsid w:val="006C7538"/>
    <w:rsid w:val="006D1C1C"/>
    <w:rsid w:val="006D1D9B"/>
    <w:rsid w:val="006D1E55"/>
    <w:rsid w:val="006D281B"/>
    <w:rsid w:val="006D4503"/>
    <w:rsid w:val="006E10C5"/>
    <w:rsid w:val="006E1144"/>
    <w:rsid w:val="006E19F2"/>
    <w:rsid w:val="006E25F3"/>
    <w:rsid w:val="006E3BAF"/>
    <w:rsid w:val="006E5316"/>
    <w:rsid w:val="006E5605"/>
    <w:rsid w:val="006E6925"/>
    <w:rsid w:val="006E6CF7"/>
    <w:rsid w:val="006E765B"/>
    <w:rsid w:val="006F052E"/>
    <w:rsid w:val="006F4117"/>
    <w:rsid w:val="007020AA"/>
    <w:rsid w:val="00702328"/>
    <w:rsid w:val="00705916"/>
    <w:rsid w:val="00707A33"/>
    <w:rsid w:val="0071127E"/>
    <w:rsid w:val="0071242A"/>
    <w:rsid w:val="007128BF"/>
    <w:rsid w:val="007137A9"/>
    <w:rsid w:val="007157B0"/>
    <w:rsid w:val="00715E2E"/>
    <w:rsid w:val="007169D9"/>
    <w:rsid w:val="00720391"/>
    <w:rsid w:val="007221D7"/>
    <w:rsid w:val="0073298E"/>
    <w:rsid w:val="00733724"/>
    <w:rsid w:val="0073497C"/>
    <w:rsid w:val="00736E63"/>
    <w:rsid w:val="00737E63"/>
    <w:rsid w:val="007403E1"/>
    <w:rsid w:val="00740C56"/>
    <w:rsid w:val="0074157A"/>
    <w:rsid w:val="00743CC6"/>
    <w:rsid w:val="007445F0"/>
    <w:rsid w:val="00745E29"/>
    <w:rsid w:val="00746327"/>
    <w:rsid w:val="00750280"/>
    <w:rsid w:val="00755E8A"/>
    <w:rsid w:val="00756C56"/>
    <w:rsid w:val="00760352"/>
    <w:rsid w:val="00766E9E"/>
    <w:rsid w:val="007713B7"/>
    <w:rsid w:val="007817E0"/>
    <w:rsid w:val="00781C70"/>
    <w:rsid w:val="00783D69"/>
    <w:rsid w:val="00785EA3"/>
    <w:rsid w:val="007867BE"/>
    <w:rsid w:val="00786F87"/>
    <w:rsid w:val="00794258"/>
    <w:rsid w:val="007A0005"/>
    <w:rsid w:val="007A10B8"/>
    <w:rsid w:val="007A2787"/>
    <w:rsid w:val="007A4ED6"/>
    <w:rsid w:val="007A620A"/>
    <w:rsid w:val="007A77E3"/>
    <w:rsid w:val="007B0961"/>
    <w:rsid w:val="007B0E5E"/>
    <w:rsid w:val="007B191C"/>
    <w:rsid w:val="007B2DC6"/>
    <w:rsid w:val="007B55AA"/>
    <w:rsid w:val="007B6232"/>
    <w:rsid w:val="007B642E"/>
    <w:rsid w:val="007B6446"/>
    <w:rsid w:val="007B6541"/>
    <w:rsid w:val="007C0830"/>
    <w:rsid w:val="007C4D34"/>
    <w:rsid w:val="007C6276"/>
    <w:rsid w:val="007C6734"/>
    <w:rsid w:val="007C6963"/>
    <w:rsid w:val="007C7510"/>
    <w:rsid w:val="007D0E22"/>
    <w:rsid w:val="007D11D0"/>
    <w:rsid w:val="007D294E"/>
    <w:rsid w:val="007D2CC3"/>
    <w:rsid w:val="007D47F6"/>
    <w:rsid w:val="007D6737"/>
    <w:rsid w:val="007D7679"/>
    <w:rsid w:val="007E3E19"/>
    <w:rsid w:val="007E4028"/>
    <w:rsid w:val="007E4AD9"/>
    <w:rsid w:val="007E5CF9"/>
    <w:rsid w:val="007E7637"/>
    <w:rsid w:val="007F2F04"/>
    <w:rsid w:val="007F30B0"/>
    <w:rsid w:val="007F32CD"/>
    <w:rsid w:val="007F362F"/>
    <w:rsid w:val="007F4BF1"/>
    <w:rsid w:val="007F4D53"/>
    <w:rsid w:val="007F5AC8"/>
    <w:rsid w:val="007F646E"/>
    <w:rsid w:val="00802C70"/>
    <w:rsid w:val="00805A84"/>
    <w:rsid w:val="0080606B"/>
    <w:rsid w:val="00806687"/>
    <w:rsid w:val="00807286"/>
    <w:rsid w:val="00814F21"/>
    <w:rsid w:val="00815C30"/>
    <w:rsid w:val="00823ECB"/>
    <w:rsid w:val="0082584D"/>
    <w:rsid w:val="00825E4F"/>
    <w:rsid w:val="00826233"/>
    <w:rsid w:val="00834994"/>
    <w:rsid w:val="00835283"/>
    <w:rsid w:val="0083553B"/>
    <w:rsid w:val="00836178"/>
    <w:rsid w:val="008369E3"/>
    <w:rsid w:val="00837A16"/>
    <w:rsid w:val="00841C05"/>
    <w:rsid w:val="0084308C"/>
    <w:rsid w:val="0085272A"/>
    <w:rsid w:val="00852FFB"/>
    <w:rsid w:val="0085774C"/>
    <w:rsid w:val="00860502"/>
    <w:rsid w:val="0086116D"/>
    <w:rsid w:val="00861ED9"/>
    <w:rsid w:val="00863051"/>
    <w:rsid w:val="00863BA4"/>
    <w:rsid w:val="00867215"/>
    <w:rsid w:val="00867358"/>
    <w:rsid w:val="00871058"/>
    <w:rsid w:val="00872C82"/>
    <w:rsid w:val="00874B24"/>
    <w:rsid w:val="00874EC1"/>
    <w:rsid w:val="008754CF"/>
    <w:rsid w:val="00875501"/>
    <w:rsid w:val="00875AFB"/>
    <w:rsid w:val="0087654B"/>
    <w:rsid w:val="00876E0C"/>
    <w:rsid w:val="00877DCB"/>
    <w:rsid w:val="008831FC"/>
    <w:rsid w:val="008854D0"/>
    <w:rsid w:val="008860DE"/>
    <w:rsid w:val="008916E8"/>
    <w:rsid w:val="008935F9"/>
    <w:rsid w:val="00893FB9"/>
    <w:rsid w:val="008971D1"/>
    <w:rsid w:val="008973B7"/>
    <w:rsid w:val="00897797"/>
    <w:rsid w:val="008A0A57"/>
    <w:rsid w:val="008A1E9F"/>
    <w:rsid w:val="008A43E9"/>
    <w:rsid w:val="008A4F10"/>
    <w:rsid w:val="008A6FB5"/>
    <w:rsid w:val="008A71CB"/>
    <w:rsid w:val="008A7EE3"/>
    <w:rsid w:val="008B1659"/>
    <w:rsid w:val="008B2942"/>
    <w:rsid w:val="008B2E1C"/>
    <w:rsid w:val="008B38B1"/>
    <w:rsid w:val="008B4794"/>
    <w:rsid w:val="008B62BA"/>
    <w:rsid w:val="008C505E"/>
    <w:rsid w:val="008C7FDE"/>
    <w:rsid w:val="008D13D9"/>
    <w:rsid w:val="008D50F7"/>
    <w:rsid w:val="008D664E"/>
    <w:rsid w:val="008D72FC"/>
    <w:rsid w:val="008E00DE"/>
    <w:rsid w:val="008E0C6F"/>
    <w:rsid w:val="008E6556"/>
    <w:rsid w:val="008F39BD"/>
    <w:rsid w:val="008F4141"/>
    <w:rsid w:val="008F416A"/>
    <w:rsid w:val="008F4634"/>
    <w:rsid w:val="00901987"/>
    <w:rsid w:val="00907388"/>
    <w:rsid w:val="00910A76"/>
    <w:rsid w:val="009114D7"/>
    <w:rsid w:val="00915438"/>
    <w:rsid w:val="009167B8"/>
    <w:rsid w:val="00916B20"/>
    <w:rsid w:val="00916EF1"/>
    <w:rsid w:val="00920706"/>
    <w:rsid w:val="009229E3"/>
    <w:rsid w:val="00923E21"/>
    <w:rsid w:val="0093099D"/>
    <w:rsid w:val="0093166F"/>
    <w:rsid w:val="009316C2"/>
    <w:rsid w:val="009317B1"/>
    <w:rsid w:val="00931CDA"/>
    <w:rsid w:val="00933136"/>
    <w:rsid w:val="00933F6F"/>
    <w:rsid w:val="00940991"/>
    <w:rsid w:val="0094106B"/>
    <w:rsid w:val="00944854"/>
    <w:rsid w:val="00944C16"/>
    <w:rsid w:val="009452D3"/>
    <w:rsid w:val="009456D2"/>
    <w:rsid w:val="00945FEB"/>
    <w:rsid w:val="00946CB5"/>
    <w:rsid w:val="0094720D"/>
    <w:rsid w:val="00947F37"/>
    <w:rsid w:val="00956F35"/>
    <w:rsid w:val="00961083"/>
    <w:rsid w:val="00961E58"/>
    <w:rsid w:val="00962C75"/>
    <w:rsid w:val="009647FB"/>
    <w:rsid w:val="00964A6E"/>
    <w:rsid w:val="0096528F"/>
    <w:rsid w:val="009666B2"/>
    <w:rsid w:val="00972AD5"/>
    <w:rsid w:val="00973288"/>
    <w:rsid w:val="00973B7F"/>
    <w:rsid w:val="009754AB"/>
    <w:rsid w:val="00976692"/>
    <w:rsid w:val="00977429"/>
    <w:rsid w:val="0098214C"/>
    <w:rsid w:val="00983E3F"/>
    <w:rsid w:val="00985E60"/>
    <w:rsid w:val="00991910"/>
    <w:rsid w:val="00993A86"/>
    <w:rsid w:val="0099415B"/>
    <w:rsid w:val="0099615E"/>
    <w:rsid w:val="009A4957"/>
    <w:rsid w:val="009A4CA7"/>
    <w:rsid w:val="009B44AE"/>
    <w:rsid w:val="009B469F"/>
    <w:rsid w:val="009B64F8"/>
    <w:rsid w:val="009B7B3D"/>
    <w:rsid w:val="009C00BA"/>
    <w:rsid w:val="009C2781"/>
    <w:rsid w:val="009C71FF"/>
    <w:rsid w:val="009D15DF"/>
    <w:rsid w:val="009D3496"/>
    <w:rsid w:val="009D43CC"/>
    <w:rsid w:val="009D582E"/>
    <w:rsid w:val="009D6DAC"/>
    <w:rsid w:val="009D7961"/>
    <w:rsid w:val="009E11BA"/>
    <w:rsid w:val="009E17E7"/>
    <w:rsid w:val="009E1AD8"/>
    <w:rsid w:val="009E2B1B"/>
    <w:rsid w:val="009E2F8C"/>
    <w:rsid w:val="009E51AE"/>
    <w:rsid w:val="009E7227"/>
    <w:rsid w:val="009F1381"/>
    <w:rsid w:val="009F3304"/>
    <w:rsid w:val="009F5FCE"/>
    <w:rsid w:val="009F6214"/>
    <w:rsid w:val="00A01077"/>
    <w:rsid w:val="00A011E4"/>
    <w:rsid w:val="00A05591"/>
    <w:rsid w:val="00A10A00"/>
    <w:rsid w:val="00A14C75"/>
    <w:rsid w:val="00A15497"/>
    <w:rsid w:val="00A157DE"/>
    <w:rsid w:val="00A16B49"/>
    <w:rsid w:val="00A21712"/>
    <w:rsid w:val="00A22536"/>
    <w:rsid w:val="00A23780"/>
    <w:rsid w:val="00A241C3"/>
    <w:rsid w:val="00A24307"/>
    <w:rsid w:val="00A24600"/>
    <w:rsid w:val="00A248F3"/>
    <w:rsid w:val="00A24917"/>
    <w:rsid w:val="00A262B8"/>
    <w:rsid w:val="00A2698A"/>
    <w:rsid w:val="00A27470"/>
    <w:rsid w:val="00A27DEE"/>
    <w:rsid w:val="00A30CC1"/>
    <w:rsid w:val="00A33A98"/>
    <w:rsid w:val="00A34D72"/>
    <w:rsid w:val="00A34E6F"/>
    <w:rsid w:val="00A35019"/>
    <w:rsid w:val="00A36D9B"/>
    <w:rsid w:val="00A42B82"/>
    <w:rsid w:val="00A43D8C"/>
    <w:rsid w:val="00A43EB5"/>
    <w:rsid w:val="00A44CFD"/>
    <w:rsid w:val="00A45B37"/>
    <w:rsid w:val="00A50049"/>
    <w:rsid w:val="00A51AC6"/>
    <w:rsid w:val="00A54477"/>
    <w:rsid w:val="00A54886"/>
    <w:rsid w:val="00A54C26"/>
    <w:rsid w:val="00A5513C"/>
    <w:rsid w:val="00A560F6"/>
    <w:rsid w:val="00A578C7"/>
    <w:rsid w:val="00A60D4B"/>
    <w:rsid w:val="00A6224D"/>
    <w:rsid w:val="00A631AF"/>
    <w:rsid w:val="00A65F61"/>
    <w:rsid w:val="00A71CA2"/>
    <w:rsid w:val="00A74F84"/>
    <w:rsid w:val="00A80731"/>
    <w:rsid w:val="00A814B0"/>
    <w:rsid w:val="00A908FF"/>
    <w:rsid w:val="00A975C2"/>
    <w:rsid w:val="00AA0A1A"/>
    <w:rsid w:val="00AA3720"/>
    <w:rsid w:val="00AA3721"/>
    <w:rsid w:val="00AA55F3"/>
    <w:rsid w:val="00AA6724"/>
    <w:rsid w:val="00AA6A77"/>
    <w:rsid w:val="00AA6A99"/>
    <w:rsid w:val="00AA7EDE"/>
    <w:rsid w:val="00AB19B7"/>
    <w:rsid w:val="00AB3955"/>
    <w:rsid w:val="00AB4925"/>
    <w:rsid w:val="00AC3355"/>
    <w:rsid w:val="00AC401A"/>
    <w:rsid w:val="00AC483F"/>
    <w:rsid w:val="00AC76C2"/>
    <w:rsid w:val="00AD0DBF"/>
    <w:rsid w:val="00AD1A3F"/>
    <w:rsid w:val="00AD553F"/>
    <w:rsid w:val="00AD5FA2"/>
    <w:rsid w:val="00AD77B3"/>
    <w:rsid w:val="00AD788A"/>
    <w:rsid w:val="00AE0925"/>
    <w:rsid w:val="00AE3F4F"/>
    <w:rsid w:val="00AE531B"/>
    <w:rsid w:val="00AE6382"/>
    <w:rsid w:val="00AF382B"/>
    <w:rsid w:val="00AF4E28"/>
    <w:rsid w:val="00AF5036"/>
    <w:rsid w:val="00AF6627"/>
    <w:rsid w:val="00AF69A5"/>
    <w:rsid w:val="00AF715C"/>
    <w:rsid w:val="00B06704"/>
    <w:rsid w:val="00B0714A"/>
    <w:rsid w:val="00B07F09"/>
    <w:rsid w:val="00B10380"/>
    <w:rsid w:val="00B119E5"/>
    <w:rsid w:val="00B132DF"/>
    <w:rsid w:val="00B1353F"/>
    <w:rsid w:val="00B1391C"/>
    <w:rsid w:val="00B13BC3"/>
    <w:rsid w:val="00B144D8"/>
    <w:rsid w:val="00B15663"/>
    <w:rsid w:val="00B16F63"/>
    <w:rsid w:val="00B20368"/>
    <w:rsid w:val="00B23179"/>
    <w:rsid w:val="00B247F7"/>
    <w:rsid w:val="00B257E5"/>
    <w:rsid w:val="00B303E9"/>
    <w:rsid w:val="00B3101F"/>
    <w:rsid w:val="00B31192"/>
    <w:rsid w:val="00B311D8"/>
    <w:rsid w:val="00B32200"/>
    <w:rsid w:val="00B347C8"/>
    <w:rsid w:val="00B37450"/>
    <w:rsid w:val="00B40C3B"/>
    <w:rsid w:val="00B42122"/>
    <w:rsid w:val="00B4254D"/>
    <w:rsid w:val="00B44018"/>
    <w:rsid w:val="00B45663"/>
    <w:rsid w:val="00B46B32"/>
    <w:rsid w:val="00B507A3"/>
    <w:rsid w:val="00B52123"/>
    <w:rsid w:val="00B551D4"/>
    <w:rsid w:val="00B5611B"/>
    <w:rsid w:val="00B57161"/>
    <w:rsid w:val="00B57E57"/>
    <w:rsid w:val="00B6066B"/>
    <w:rsid w:val="00B61043"/>
    <w:rsid w:val="00B618EF"/>
    <w:rsid w:val="00B6284E"/>
    <w:rsid w:val="00B629C8"/>
    <w:rsid w:val="00B679A0"/>
    <w:rsid w:val="00B738ED"/>
    <w:rsid w:val="00B75A77"/>
    <w:rsid w:val="00B76661"/>
    <w:rsid w:val="00B80718"/>
    <w:rsid w:val="00B84A6F"/>
    <w:rsid w:val="00B84F5B"/>
    <w:rsid w:val="00B86217"/>
    <w:rsid w:val="00B86832"/>
    <w:rsid w:val="00B86E5D"/>
    <w:rsid w:val="00B905C3"/>
    <w:rsid w:val="00B91D83"/>
    <w:rsid w:val="00B93847"/>
    <w:rsid w:val="00B93C85"/>
    <w:rsid w:val="00B9620E"/>
    <w:rsid w:val="00B971A2"/>
    <w:rsid w:val="00BA2947"/>
    <w:rsid w:val="00BA31AF"/>
    <w:rsid w:val="00BA42D8"/>
    <w:rsid w:val="00BA55B4"/>
    <w:rsid w:val="00BA5D26"/>
    <w:rsid w:val="00BA68B3"/>
    <w:rsid w:val="00BA779A"/>
    <w:rsid w:val="00BB0C4B"/>
    <w:rsid w:val="00BB0F9A"/>
    <w:rsid w:val="00BB27F9"/>
    <w:rsid w:val="00BB334B"/>
    <w:rsid w:val="00BB66F7"/>
    <w:rsid w:val="00BB7751"/>
    <w:rsid w:val="00BC041C"/>
    <w:rsid w:val="00BC1AF4"/>
    <w:rsid w:val="00BC2207"/>
    <w:rsid w:val="00BC45EC"/>
    <w:rsid w:val="00BC543D"/>
    <w:rsid w:val="00BC75E3"/>
    <w:rsid w:val="00BD364C"/>
    <w:rsid w:val="00BD49E9"/>
    <w:rsid w:val="00BD5CDC"/>
    <w:rsid w:val="00BD7EFF"/>
    <w:rsid w:val="00BE194B"/>
    <w:rsid w:val="00BE2433"/>
    <w:rsid w:val="00BE408A"/>
    <w:rsid w:val="00BE6E2D"/>
    <w:rsid w:val="00BF13C8"/>
    <w:rsid w:val="00BF43AE"/>
    <w:rsid w:val="00BF53FD"/>
    <w:rsid w:val="00C00495"/>
    <w:rsid w:val="00C00C73"/>
    <w:rsid w:val="00C01997"/>
    <w:rsid w:val="00C033AD"/>
    <w:rsid w:val="00C03402"/>
    <w:rsid w:val="00C0562A"/>
    <w:rsid w:val="00C06869"/>
    <w:rsid w:val="00C0754E"/>
    <w:rsid w:val="00C07F71"/>
    <w:rsid w:val="00C11073"/>
    <w:rsid w:val="00C11565"/>
    <w:rsid w:val="00C12580"/>
    <w:rsid w:val="00C1348D"/>
    <w:rsid w:val="00C218BD"/>
    <w:rsid w:val="00C21B3C"/>
    <w:rsid w:val="00C22A42"/>
    <w:rsid w:val="00C2677D"/>
    <w:rsid w:val="00C2791D"/>
    <w:rsid w:val="00C279F4"/>
    <w:rsid w:val="00C3184E"/>
    <w:rsid w:val="00C31CD4"/>
    <w:rsid w:val="00C341A1"/>
    <w:rsid w:val="00C343C5"/>
    <w:rsid w:val="00C347D5"/>
    <w:rsid w:val="00C3715E"/>
    <w:rsid w:val="00C372B2"/>
    <w:rsid w:val="00C374A8"/>
    <w:rsid w:val="00C400D8"/>
    <w:rsid w:val="00C410A6"/>
    <w:rsid w:val="00C4111D"/>
    <w:rsid w:val="00C4522E"/>
    <w:rsid w:val="00C47B28"/>
    <w:rsid w:val="00C50C24"/>
    <w:rsid w:val="00C51006"/>
    <w:rsid w:val="00C532A6"/>
    <w:rsid w:val="00C55F5E"/>
    <w:rsid w:val="00C562FD"/>
    <w:rsid w:val="00C57CB6"/>
    <w:rsid w:val="00C57CDF"/>
    <w:rsid w:val="00C62FDB"/>
    <w:rsid w:val="00C66B74"/>
    <w:rsid w:val="00C70265"/>
    <w:rsid w:val="00C7051F"/>
    <w:rsid w:val="00C70A6E"/>
    <w:rsid w:val="00C71064"/>
    <w:rsid w:val="00C73664"/>
    <w:rsid w:val="00C76BD5"/>
    <w:rsid w:val="00C76ECF"/>
    <w:rsid w:val="00C77707"/>
    <w:rsid w:val="00C82475"/>
    <w:rsid w:val="00C8332E"/>
    <w:rsid w:val="00C86311"/>
    <w:rsid w:val="00C86F0C"/>
    <w:rsid w:val="00C93D6F"/>
    <w:rsid w:val="00C941DD"/>
    <w:rsid w:val="00CA3AD6"/>
    <w:rsid w:val="00CA4D66"/>
    <w:rsid w:val="00CA54EA"/>
    <w:rsid w:val="00CB11BB"/>
    <w:rsid w:val="00CB16BB"/>
    <w:rsid w:val="00CB1807"/>
    <w:rsid w:val="00CB3E30"/>
    <w:rsid w:val="00CC0444"/>
    <w:rsid w:val="00CC4ECD"/>
    <w:rsid w:val="00CC50BC"/>
    <w:rsid w:val="00CD0958"/>
    <w:rsid w:val="00CD0EEE"/>
    <w:rsid w:val="00CD161C"/>
    <w:rsid w:val="00CD396A"/>
    <w:rsid w:val="00CD52B4"/>
    <w:rsid w:val="00CD54B1"/>
    <w:rsid w:val="00CD54DA"/>
    <w:rsid w:val="00CD57D4"/>
    <w:rsid w:val="00CD5954"/>
    <w:rsid w:val="00CD6BF9"/>
    <w:rsid w:val="00CD6CFF"/>
    <w:rsid w:val="00CE02F0"/>
    <w:rsid w:val="00CE1A31"/>
    <w:rsid w:val="00CE1B7D"/>
    <w:rsid w:val="00CE26C3"/>
    <w:rsid w:val="00CE4DA2"/>
    <w:rsid w:val="00CF04DA"/>
    <w:rsid w:val="00CF0601"/>
    <w:rsid w:val="00CF0932"/>
    <w:rsid w:val="00CF0F29"/>
    <w:rsid w:val="00CF3107"/>
    <w:rsid w:val="00CF3F2F"/>
    <w:rsid w:val="00CF7163"/>
    <w:rsid w:val="00CF7893"/>
    <w:rsid w:val="00D024C6"/>
    <w:rsid w:val="00D038E1"/>
    <w:rsid w:val="00D104B6"/>
    <w:rsid w:val="00D10931"/>
    <w:rsid w:val="00D1105B"/>
    <w:rsid w:val="00D1442C"/>
    <w:rsid w:val="00D14766"/>
    <w:rsid w:val="00D14859"/>
    <w:rsid w:val="00D2182C"/>
    <w:rsid w:val="00D22823"/>
    <w:rsid w:val="00D22CE9"/>
    <w:rsid w:val="00D235BE"/>
    <w:rsid w:val="00D3043C"/>
    <w:rsid w:val="00D318A2"/>
    <w:rsid w:val="00D31AA6"/>
    <w:rsid w:val="00D3268C"/>
    <w:rsid w:val="00D32A3F"/>
    <w:rsid w:val="00D33EF3"/>
    <w:rsid w:val="00D343EC"/>
    <w:rsid w:val="00D34B0D"/>
    <w:rsid w:val="00D3570D"/>
    <w:rsid w:val="00D41ADD"/>
    <w:rsid w:val="00D41F2A"/>
    <w:rsid w:val="00D431A0"/>
    <w:rsid w:val="00D443D4"/>
    <w:rsid w:val="00D44E65"/>
    <w:rsid w:val="00D47659"/>
    <w:rsid w:val="00D47BB5"/>
    <w:rsid w:val="00D47D47"/>
    <w:rsid w:val="00D5302E"/>
    <w:rsid w:val="00D545D8"/>
    <w:rsid w:val="00D54602"/>
    <w:rsid w:val="00D552EA"/>
    <w:rsid w:val="00D57C85"/>
    <w:rsid w:val="00D62611"/>
    <w:rsid w:val="00D752BA"/>
    <w:rsid w:val="00D75BB2"/>
    <w:rsid w:val="00D825F8"/>
    <w:rsid w:val="00D85538"/>
    <w:rsid w:val="00D85607"/>
    <w:rsid w:val="00D8617E"/>
    <w:rsid w:val="00D91570"/>
    <w:rsid w:val="00D92A25"/>
    <w:rsid w:val="00D92DFA"/>
    <w:rsid w:val="00D938EA"/>
    <w:rsid w:val="00D94353"/>
    <w:rsid w:val="00DA5991"/>
    <w:rsid w:val="00DA6991"/>
    <w:rsid w:val="00DA7A58"/>
    <w:rsid w:val="00DB01B4"/>
    <w:rsid w:val="00DB119E"/>
    <w:rsid w:val="00DB29BC"/>
    <w:rsid w:val="00DB64ED"/>
    <w:rsid w:val="00DB7664"/>
    <w:rsid w:val="00DC10F1"/>
    <w:rsid w:val="00DC1D68"/>
    <w:rsid w:val="00DC1FB7"/>
    <w:rsid w:val="00DC2A77"/>
    <w:rsid w:val="00DC52F8"/>
    <w:rsid w:val="00DC6B07"/>
    <w:rsid w:val="00DD1068"/>
    <w:rsid w:val="00DD1DB2"/>
    <w:rsid w:val="00DD59CB"/>
    <w:rsid w:val="00DE233E"/>
    <w:rsid w:val="00DE3BFC"/>
    <w:rsid w:val="00DE4C29"/>
    <w:rsid w:val="00DE7B16"/>
    <w:rsid w:val="00DF0A3D"/>
    <w:rsid w:val="00DF0A4C"/>
    <w:rsid w:val="00DF2279"/>
    <w:rsid w:val="00E02B46"/>
    <w:rsid w:val="00E0518B"/>
    <w:rsid w:val="00E07F91"/>
    <w:rsid w:val="00E10518"/>
    <w:rsid w:val="00E112E7"/>
    <w:rsid w:val="00E12A96"/>
    <w:rsid w:val="00E1392E"/>
    <w:rsid w:val="00E14DFC"/>
    <w:rsid w:val="00E16C38"/>
    <w:rsid w:val="00E20A43"/>
    <w:rsid w:val="00E224FE"/>
    <w:rsid w:val="00E23122"/>
    <w:rsid w:val="00E2442B"/>
    <w:rsid w:val="00E2572D"/>
    <w:rsid w:val="00E30776"/>
    <w:rsid w:val="00E328B4"/>
    <w:rsid w:val="00E32912"/>
    <w:rsid w:val="00E32F72"/>
    <w:rsid w:val="00E33AAA"/>
    <w:rsid w:val="00E3467C"/>
    <w:rsid w:val="00E358E6"/>
    <w:rsid w:val="00E40040"/>
    <w:rsid w:val="00E4037F"/>
    <w:rsid w:val="00E41523"/>
    <w:rsid w:val="00E42A32"/>
    <w:rsid w:val="00E42C15"/>
    <w:rsid w:val="00E44045"/>
    <w:rsid w:val="00E463FE"/>
    <w:rsid w:val="00E46D25"/>
    <w:rsid w:val="00E53D62"/>
    <w:rsid w:val="00E5441D"/>
    <w:rsid w:val="00E54636"/>
    <w:rsid w:val="00E664FD"/>
    <w:rsid w:val="00E67515"/>
    <w:rsid w:val="00E73408"/>
    <w:rsid w:val="00E7443D"/>
    <w:rsid w:val="00E746AC"/>
    <w:rsid w:val="00E80D71"/>
    <w:rsid w:val="00E830B5"/>
    <w:rsid w:val="00E834F2"/>
    <w:rsid w:val="00E848B3"/>
    <w:rsid w:val="00E8774B"/>
    <w:rsid w:val="00E87B51"/>
    <w:rsid w:val="00E90C9E"/>
    <w:rsid w:val="00E936AE"/>
    <w:rsid w:val="00E94D4F"/>
    <w:rsid w:val="00E97DC9"/>
    <w:rsid w:val="00EA1446"/>
    <w:rsid w:val="00EA2227"/>
    <w:rsid w:val="00EA2797"/>
    <w:rsid w:val="00EA4BCA"/>
    <w:rsid w:val="00EB0947"/>
    <w:rsid w:val="00EB10BB"/>
    <w:rsid w:val="00EB2A2A"/>
    <w:rsid w:val="00EC0F82"/>
    <w:rsid w:val="00EC1841"/>
    <w:rsid w:val="00EC4668"/>
    <w:rsid w:val="00EC5F77"/>
    <w:rsid w:val="00EC765B"/>
    <w:rsid w:val="00EC7D32"/>
    <w:rsid w:val="00EC7ECC"/>
    <w:rsid w:val="00ED0E1D"/>
    <w:rsid w:val="00ED1211"/>
    <w:rsid w:val="00ED2940"/>
    <w:rsid w:val="00ED314E"/>
    <w:rsid w:val="00ED59B3"/>
    <w:rsid w:val="00ED7354"/>
    <w:rsid w:val="00ED79C7"/>
    <w:rsid w:val="00ED7E99"/>
    <w:rsid w:val="00EE1987"/>
    <w:rsid w:val="00EE3733"/>
    <w:rsid w:val="00EE3A0A"/>
    <w:rsid w:val="00EE4300"/>
    <w:rsid w:val="00EE4DC8"/>
    <w:rsid w:val="00EE5C73"/>
    <w:rsid w:val="00EF22E9"/>
    <w:rsid w:val="00F024E5"/>
    <w:rsid w:val="00F02F9A"/>
    <w:rsid w:val="00F051E4"/>
    <w:rsid w:val="00F05943"/>
    <w:rsid w:val="00F061B5"/>
    <w:rsid w:val="00F074A5"/>
    <w:rsid w:val="00F07C1C"/>
    <w:rsid w:val="00F07E72"/>
    <w:rsid w:val="00F11B39"/>
    <w:rsid w:val="00F12B75"/>
    <w:rsid w:val="00F169A1"/>
    <w:rsid w:val="00F1732B"/>
    <w:rsid w:val="00F229F9"/>
    <w:rsid w:val="00F25080"/>
    <w:rsid w:val="00F269C2"/>
    <w:rsid w:val="00F2730F"/>
    <w:rsid w:val="00F27579"/>
    <w:rsid w:val="00F30E52"/>
    <w:rsid w:val="00F323B7"/>
    <w:rsid w:val="00F33286"/>
    <w:rsid w:val="00F3388D"/>
    <w:rsid w:val="00F36DF5"/>
    <w:rsid w:val="00F375D4"/>
    <w:rsid w:val="00F40589"/>
    <w:rsid w:val="00F407D9"/>
    <w:rsid w:val="00F43B6E"/>
    <w:rsid w:val="00F471BB"/>
    <w:rsid w:val="00F47B96"/>
    <w:rsid w:val="00F50CCB"/>
    <w:rsid w:val="00F51500"/>
    <w:rsid w:val="00F51ACA"/>
    <w:rsid w:val="00F54C62"/>
    <w:rsid w:val="00F56E4E"/>
    <w:rsid w:val="00F56ED0"/>
    <w:rsid w:val="00F56F19"/>
    <w:rsid w:val="00F57048"/>
    <w:rsid w:val="00F571D6"/>
    <w:rsid w:val="00F61C6F"/>
    <w:rsid w:val="00F6248B"/>
    <w:rsid w:val="00F63BD3"/>
    <w:rsid w:val="00F64686"/>
    <w:rsid w:val="00F6552D"/>
    <w:rsid w:val="00F674EA"/>
    <w:rsid w:val="00F67702"/>
    <w:rsid w:val="00F67BA0"/>
    <w:rsid w:val="00F67E33"/>
    <w:rsid w:val="00F70382"/>
    <w:rsid w:val="00F709FC"/>
    <w:rsid w:val="00F70FB6"/>
    <w:rsid w:val="00F711C0"/>
    <w:rsid w:val="00F72186"/>
    <w:rsid w:val="00F73163"/>
    <w:rsid w:val="00F73881"/>
    <w:rsid w:val="00F759B5"/>
    <w:rsid w:val="00F77999"/>
    <w:rsid w:val="00F77C7F"/>
    <w:rsid w:val="00F811E9"/>
    <w:rsid w:val="00F835FC"/>
    <w:rsid w:val="00F83A7E"/>
    <w:rsid w:val="00F84AF7"/>
    <w:rsid w:val="00F84C33"/>
    <w:rsid w:val="00F853B3"/>
    <w:rsid w:val="00F92EF7"/>
    <w:rsid w:val="00F93890"/>
    <w:rsid w:val="00F93CBD"/>
    <w:rsid w:val="00F94334"/>
    <w:rsid w:val="00F976E2"/>
    <w:rsid w:val="00FA0E3D"/>
    <w:rsid w:val="00FA38FD"/>
    <w:rsid w:val="00FB2E92"/>
    <w:rsid w:val="00FB40AF"/>
    <w:rsid w:val="00FB4DDF"/>
    <w:rsid w:val="00FB500D"/>
    <w:rsid w:val="00FB5742"/>
    <w:rsid w:val="00FB5D40"/>
    <w:rsid w:val="00FB5E18"/>
    <w:rsid w:val="00FB6CD3"/>
    <w:rsid w:val="00FB78E2"/>
    <w:rsid w:val="00FC1884"/>
    <w:rsid w:val="00FC405C"/>
    <w:rsid w:val="00FC71FE"/>
    <w:rsid w:val="00FC7E13"/>
    <w:rsid w:val="00FD0186"/>
    <w:rsid w:val="00FD54B1"/>
    <w:rsid w:val="00FD6122"/>
    <w:rsid w:val="00FE0DDF"/>
    <w:rsid w:val="00FE1A59"/>
    <w:rsid w:val="00FE41AC"/>
    <w:rsid w:val="00FE5EEB"/>
    <w:rsid w:val="00FE6EAF"/>
    <w:rsid w:val="00FE7439"/>
    <w:rsid w:val="00FF0A15"/>
    <w:rsid w:val="00FF1D41"/>
    <w:rsid w:val="00FF2589"/>
    <w:rsid w:val="00FF2841"/>
    <w:rsid w:val="00FF31B8"/>
    <w:rsid w:val="00FF4E00"/>
    <w:rsid w:val="00FF4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DokChampa"/>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32"/>
    <w:rPr>
      <w:sz w:val="28"/>
      <w:lang w:eastAsia="en-US"/>
    </w:rPr>
  </w:style>
  <w:style w:type="paragraph" w:styleId="Heading1">
    <w:name w:val="heading 1"/>
    <w:basedOn w:val="Normal"/>
    <w:link w:val="Heading1Char"/>
    <w:uiPriority w:val="99"/>
    <w:qFormat/>
    <w:rsid w:val="001A62FF"/>
    <w:pPr>
      <w:outlineLvl w:val="0"/>
    </w:pPr>
    <w:rPr>
      <w:rFonts w:ascii="Tahoma" w:eastAsia="Times New Roman" w:hAnsi="Tahoma" w:cs="Tahoma"/>
      <w:b/>
      <w:bCs/>
      <w:kern w:val="36"/>
      <w:sz w:val="38"/>
      <w:szCs w:val="38"/>
      <w:lang w:eastAsia="lv-LV"/>
    </w:rPr>
  </w:style>
  <w:style w:type="paragraph" w:styleId="Heading4">
    <w:name w:val="heading 4"/>
    <w:basedOn w:val="Normal"/>
    <w:next w:val="Normal"/>
    <w:link w:val="Heading4Char"/>
    <w:uiPriority w:val="99"/>
    <w:qFormat/>
    <w:rsid w:val="00654BE7"/>
    <w:pPr>
      <w:keepNext/>
      <w:spacing w:before="240" w:after="60"/>
      <w:outlineLvl w:val="3"/>
    </w:pPr>
    <w:rPr>
      <w:rFonts w:ascii="Calibri" w:eastAsia="Times New Roman" w:hAnsi="Calibri"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62FF"/>
    <w:rPr>
      <w:rFonts w:ascii="Tahoma" w:hAnsi="Tahoma" w:cs="Tahoma"/>
      <w:b/>
      <w:bCs/>
      <w:kern w:val="36"/>
      <w:sz w:val="38"/>
      <w:szCs w:val="38"/>
      <w:lang w:eastAsia="lv-LV"/>
    </w:rPr>
  </w:style>
  <w:style w:type="character" w:customStyle="1" w:styleId="Heading4Char">
    <w:name w:val="Heading 4 Char"/>
    <w:basedOn w:val="DefaultParagraphFont"/>
    <w:link w:val="Heading4"/>
    <w:uiPriority w:val="99"/>
    <w:semiHidden/>
    <w:locked/>
    <w:rsid w:val="00654BE7"/>
    <w:rPr>
      <w:rFonts w:ascii="Calibri" w:hAnsi="Calibri" w:cs="Times New Roman"/>
      <w:b/>
      <w:bCs/>
      <w:sz w:val="28"/>
      <w:szCs w:val="28"/>
      <w:lang w:eastAsia="en-US"/>
    </w:rPr>
  </w:style>
  <w:style w:type="paragraph" w:customStyle="1" w:styleId="naislab">
    <w:name w:val="naislab"/>
    <w:basedOn w:val="Normal"/>
    <w:uiPriority w:val="99"/>
    <w:rsid w:val="004C18F7"/>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uiPriority w:val="99"/>
    <w:rsid w:val="004C18F7"/>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uiPriority w:val="99"/>
    <w:rsid w:val="004C18F7"/>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uiPriority w:val="99"/>
    <w:rsid w:val="004C18F7"/>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uiPriority w:val="99"/>
    <w:rsid w:val="004C18F7"/>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iPriority w:val="99"/>
    <w:rsid w:val="00637A42"/>
    <w:rPr>
      <w:rFonts w:cs="Times New Roman"/>
      <w:color w:val="0000FF"/>
      <w:u w:val="single"/>
    </w:rPr>
  </w:style>
  <w:style w:type="paragraph" w:styleId="Header">
    <w:name w:val="header"/>
    <w:basedOn w:val="Normal"/>
    <w:link w:val="HeaderChar"/>
    <w:uiPriority w:val="99"/>
    <w:rsid w:val="00F711C0"/>
    <w:pPr>
      <w:tabs>
        <w:tab w:val="center" w:pos="4153"/>
        <w:tab w:val="right" w:pos="8306"/>
      </w:tabs>
    </w:pPr>
  </w:style>
  <w:style w:type="character" w:customStyle="1" w:styleId="HeaderChar">
    <w:name w:val="Header Char"/>
    <w:basedOn w:val="DefaultParagraphFont"/>
    <w:link w:val="Header"/>
    <w:uiPriority w:val="99"/>
    <w:locked/>
    <w:rsid w:val="00F711C0"/>
    <w:rPr>
      <w:rFonts w:cs="Times New Roman"/>
    </w:rPr>
  </w:style>
  <w:style w:type="paragraph" w:styleId="Footer">
    <w:name w:val="footer"/>
    <w:basedOn w:val="Normal"/>
    <w:link w:val="FooterChar"/>
    <w:uiPriority w:val="99"/>
    <w:semiHidden/>
    <w:rsid w:val="00F711C0"/>
    <w:pPr>
      <w:tabs>
        <w:tab w:val="center" w:pos="4153"/>
        <w:tab w:val="right" w:pos="8306"/>
      </w:tabs>
    </w:pPr>
  </w:style>
  <w:style w:type="character" w:customStyle="1" w:styleId="FooterChar">
    <w:name w:val="Footer Char"/>
    <w:basedOn w:val="DefaultParagraphFont"/>
    <w:link w:val="Footer"/>
    <w:uiPriority w:val="99"/>
    <w:semiHidden/>
    <w:locked/>
    <w:rsid w:val="00F711C0"/>
    <w:rPr>
      <w:rFonts w:cs="Times New Roman"/>
    </w:rPr>
  </w:style>
  <w:style w:type="paragraph" w:styleId="NormalWeb">
    <w:name w:val="Normal (Web)"/>
    <w:basedOn w:val="Normal"/>
    <w:uiPriority w:val="99"/>
    <w:rsid w:val="00FB40AF"/>
    <w:pPr>
      <w:spacing w:before="100" w:beforeAutospacing="1" w:after="100" w:afterAutospacing="1"/>
    </w:pPr>
    <w:rPr>
      <w:rFonts w:eastAsia="Times New Roman" w:cs="Times New Roman"/>
      <w:sz w:val="24"/>
      <w:szCs w:val="24"/>
      <w:lang w:eastAsia="lv-LV"/>
    </w:rPr>
  </w:style>
  <w:style w:type="paragraph" w:customStyle="1" w:styleId="CharChar1RakstzRakstzRakstzRakstzRakstzRakstz">
    <w:name w:val="Char Char1 Rakstz. Rakstz. Rakstz. Rakstz. Rakstz. Rakstz."/>
    <w:basedOn w:val="Normal"/>
    <w:uiPriority w:val="99"/>
    <w:rsid w:val="00251C46"/>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99"/>
    <w:rsid w:val="0053361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074D9D"/>
    <w:rPr>
      <w:rFonts w:cs="Times New Roman"/>
      <w:szCs w:val="28"/>
    </w:rPr>
  </w:style>
  <w:style w:type="character" w:customStyle="1" w:styleId="PlainTextChar">
    <w:name w:val="Plain Text Char"/>
    <w:basedOn w:val="DefaultParagraphFont"/>
    <w:link w:val="PlainText"/>
    <w:uiPriority w:val="99"/>
    <w:semiHidden/>
    <w:locked/>
    <w:rsid w:val="00074D9D"/>
    <w:rPr>
      <w:rFonts w:eastAsia="Times New Roman" w:cs="Times New Roman"/>
      <w:sz w:val="28"/>
      <w:szCs w:val="28"/>
      <w:lang w:eastAsia="en-US"/>
    </w:rPr>
  </w:style>
  <w:style w:type="paragraph" w:styleId="CommentText">
    <w:name w:val="annotation text"/>
    <w:basedOn w:val="Normal"/>
    <w:link w:val="CommentTextChar"/>
    <w:uiPriority w:val="99"/>
    <w:semiHidden/>
    <w:rsid w:val="0042262E"/>
    <w:rPr>
      <w:rFonts w:eastAsia="Times New Roman" w:cs="Times New Roman"/>
      <w:sz w:val="20"/>
      <w:szCs w:val="20"/>
      <w:lang w:eastAsia="lv-LV"/>
    </w:rPr>
  </w:style>
  <w:style w:type="character" w:customStyle="1" w:styleId="CommentTextChar">
    <w:name w:val="Comment Text Char"/>
    <w:basedOn w:val="DefaultParagraphFont"/>
    <w:link w:val="CommentText"/>
    <w:uiPriority w:val="99"/>
    <w:semiHidden/>
    <w:locked/>
    <w:rsid w:val="0042262E"/>
    <w:rPr>
      <w:rFonts w:eastAsia="Times New Roman" w:cs="Times New Roman"/>
    </w:rPr>
  </w:style>
  <w:style w:type="paragraph" w:customStyle="1" w:styleId="RakstzRakstz7Char">
    <w:name w:val="Rakstz. Rakstz.7 Char"/>
    <w:basedOn w:val="Normal"/>
    <w:uiPriority w:val="99"/>
    <w:rsid w:val="005770C2"/>
    <w:pPr>
      <w:spacing w:after="160" w:line="240" w:lineRule="exact"/>
    </w:pPr>
    <w:rPr>
      <w:rFonts w:ascii="Tahoma" w:eastAsia="Times New Roman" w:hAnsi="Tahoma" w:cs="Times New Roman"/>
      <w:sz w:val="20"/>
      <w:szCs w:val="20"/>
      <w:lang w:val="en-US"/>
    </w:rPr>
  </w:style>
  <w:style w:type="paragraph" w:customStyle="1" w:styleId="RakstzCharChar">
    <w:name w:val="Rakstz. Char Char"/>
    <w:basedOn w:val="Normal"/>
    <w:uiPriority w:val="99"/>
    <w:rsid w:val="00874B24"/>
    <w:pPr>
      <w:spacing w:after="160" w:line="240" w:lineRule="exact"/>
    </w:pPr>
    <w:rPr>
      <w:rFonts w:ascii="Tahoma" w:eastAsia="Times New Roman" w:hAnsi="Tahoma" w:cs="Times New Roman"/>
      <w:sz w:val="20"/>
      <w:szCs w:val="20"/>
      <w:lang w:val="en-US"/>
    </w:rPr>
  </w:style>
  <w:style w:type="paragraph" w:styleId="FootnoteText">
    <w:name w:val="footnote text"/>
    <w:basedOn w:val="Normal"/>
    <w:link w:val="FootnoteTextChar"/>
    <w:uiPriority w:val="99"/>
    <w:rsid w:val="008E0C6F"/>
    <w:rPr>
      <w:rFonts w:cs="Times New Roman"/>
      <w:sz w:val="20"/>
      <w:szCs w:val="20"/>
      <w:lang w:eastAsia="lv-LV"/>
    </w:rPr>
  </w:style>
  <w:style w:type="character" w:customStyle="1" w:styleId="FootnoteTextChar">
    <w:name w:val="Footnote Text Char"/>
    <w:basedOn w:val="DefaultParagraphFont"/>
    <w:link w:val="FootnoteText"/>
    <w:uiPriority w:val="99"/>
    <w:locked/>
    <w:rsid w:val="008E0C6F"/>
    <w:rPr>
      <w:rFonts w:cs="Times New Roman"/>
    </w:rPr>
  </w:style>
  <w:style w:type="paragraph" w:styleId="ListParagraph">
    <w:name w:val="List Paragraph"/>
    <w:basedOn w:val="Normal"/>
    <w:uiPriority w:val="34"/>
    <w:qFormat/>
    <w:rsid w:val="00245A8B"/>
    <w:pPr>
      <w:suppressAutoHyphens/>
      <w:ind w:left="720"/>
    </w:pPr>
    <w:rPr>
      <w:rFonts w:eastAsia="Times New Roman" w:cs="Times New Roman"/>
      <w:kern w:val="1"/>
      <w:sz w:val="24"/>
      <w:szCs w:val="24"/>
      <w:lang w:eastAsia="ar-SA"/>
    </w:rPr>
  </w:style>
  <w:style w:type="character" w:customStyle="1" w:styleId="spelle">
    <w:name w:val="spelle"/>
    <w:basedOn w:val="DefaultParagraphFont"/>
    <w:uiPriority w:val="99"/>
    <w:rsid w:val="00B16F63"/>
    <w:rPr>
      <w:rFonts w:cs="Times New Roman"/>
    </w:rPr>
  </w:style>
  <w:style w:type="paragraph" w:styleId="NoSpacing">
    <w:name w:val="No Spacing"/>
    <w:uiPriority w:val="99"/>
    <w:qFormat/>
    <w:rsid w:val="007F32CD"/>
    <w:rPr>
      <w:rFonts w:eastAsia="Times New Roman" w:cs="Times New Roman"/>
      <w:sz w:val="24"/>
      <w:szCs w:val="24"/>
      <w:lang w:val="en-US" w:eastAsia="en-US"/>
    </w:rPr>
  </w:style>
  <w:style w:type="paragraph" w:styleId="BalloonText">
    <w:name w:val="Balloon Text"/>
    <w:basedOn w:val="Normal"/>
    <w:link w:val="BalloonTextChar"/>
    <w:uiPriority w:val="99"/>
    <w:semiHidden/>
    <w:rsid w:val="00E463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63FE"/>
    <w:rPr>
      <w:rFonts w:ascii="Tahoma" w:hAnsi="Tahoma" w:cs="Tahoma"/>
      <w:sz w:val="16"/>
      <w:szCs w:val="16"/>
      <w:lang w:eastAsia="en-US"/>
    </w:rPr>
  </w:style>
  <w:style w:type="paragraph" w:styleId="BodyText">
    <w:name w:val="Body Text"/>
    <w:basedOn w:val="Normal"/>
    <w:link w:val="BodyTextChar"/>
    <w:uiPriority w:val="99"/>
    <w:rsid w:val="004F2C32"/>
    <w:pPr>
      <w:spacing w:after="120"/>
    </w:pPr>
    <w:rPr>
      <w:rFonts w:eastAsia="Times New Roman" w:cs="Times New Roman"/>
      <w:sz w:val="24"/>
      <w:szCs w:val="24"/>
      <w:lang w:val="en-US"/>
    </w:rPr>
  </w:style>
  <w:style w:type="character" w:customStyle="1" w:styleId="BodyTextChar">
    <w:name w:val="Body Text Char"/>
    <w:basedOn w:val="DefaultParagraphFont"/>
    <w:link w:val="BodyText"/>
    <w:uiPriority w:val="99"/>
    <w:rsid w:val="004F2C32"/>
    <w:rPr>
      <w:rFonts w:eastAsia="Times New Roman" w:cs="Times New Roman"/>
      <w:sz w:val="24"/>
      <w:szCs w:val="24"/>
      <w:lang w:val="en-US" w:eastAsia="en-US"/>
    </w:rPr>
  </w:style>
  <w:style w:type="character" w:styleId="PageNumber">
    <w:name w:val="page number"/>
    <w:basedOn w:val="DefaultParagraphFont"/>
    <w:uiPriority w:val="99"/>
    <w:rsid w:val="004978C5"/>
    <w:rPr>
      <w:rFonts w:cs="Times New Roman"/>
    </w:rPr>
  </w:style>
  <w:style w:type="paragraph" w:customStyle="1" w:styleId="Default">
    <w:name w:val="Default"/>
    <w:rsid w:val="00A14C75"/>
    <w:pPr>
      <w:autoSpaceDE w:val="0"/>
      <w:autoSpaceDN w:val="0"/>
      <w:adjustRightInd w:val="0"/>
    </w:pPr>
    <w:rPr>
      <w:rFonts w:cs="Times New Roman"/>
      <w:color w:val="000000"/>
      <w:sz w:val="24"/>
      <w:szCs w:val="24"/>
    </w:rPr>
  </w:style>
  <w:style w:type="paragraph" w:customStyle="1" w:styleId="CM16">
    <w:name w:val="CM16"/>
    <w:basedOn w:val="Default"/>
    <w:next w:val="Default"/>
    <w:uiPriority w:val="99"/>
    <w:rsid w:val="00A14C75"/>
    <w:rPr>
      <w:color w:val="auto"/>
    </w:rPr>
  </w:style>
  <w:style w:type="character" w:styleId="FootnoteReference">
    <w:name w:val="footnote reference"/>
    <w:basedOn w:val="DefaultParagraphFont"/>
    <w:uiPriority w:val="99"/>
    <w:semiHidden/>
    <w:unhideWhenUsed/>
    <w:rsid w:val="00AC483F"/>
    <w:rPr>
      <w:vertAlign w:val="superscript"/>
    </w:rPr>
  </w:style>
  <w:style w:type="character" w:styleId="CommentReference">
    <w:name w:val="annotation reference"/>
    <w:basedOn w:val="DefaultParagraphFont"/>
    <w:uiPriority w:val="99"/>
    <w:semiHidden/>
    <w:unhideWhenUsed/>
    <w:rsid w:val="000A14A1"/>
    <w:rPr>
      <w:sz w:val="16"/>
      <w:szCs w:val="16"/>
    </w:rPr>
  </w:style>
  <w:style w:type="paragraph" w:styleId="CommentSubject">
    <w:name w:val="annotation subject"/>
    <w:basedOn w:val="CommentText"/>
    <w:next w:val="CommentText"/>
    <w:link w:val="CommentSubjectChar"/>
    <w:uiPriority w:val="99"/>
    <w:semiHidden/>
    <w:unhideWhenUsed/>
    <w:rsid w:val="005262F2"/>
    <w:rPr>
      <w:rFonts w:eastAsia="Calibri" w:cs="DokChampa"/>
      <w:b/>
      <w:bCs/>
      <w:lang w:eastAsia="en-US"/>
    </w:rPr>
  </w:style>
  <w:style w:type="character" w:customStyle="1" w:styleId="CommentSubjectChar">
    <w:name w:val="Comment Subject Char"/>
    <w:basedOn w:val="CommentTextChar"/>
    <w:link w:val="CommentSubject"/>
    <w:uiPriority w:val="99"/>
    <w:semiHidden/>
    <w:rsid w:val="005262F2"/>
    <w:rPr>
      <w:rFonts w:eastAsia="Times New Roman"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227425708">
      <w:bodyDiv w:val="1"/>
      <w:marLeft w:val="0"/>
      <w:marRight w:val="0"/>
      <w:marTop w:val="0"/>
      <w:marBottom w:val="0"/>
      <w:divBdr>
        <w:top w:val="none" w:sz="0" w:space="0" w:color="auto"/>
        <w:left w:val="none" w:sz="0" w:space="0" w:color="auto"/>
        <w:bottom w:val="none" w:sz="0" w:space="0" w:color="auto"/>
        <w:right w:val="none" w:sz="0" w:space="0" w:color="auto"/>
      </w:divBdr>
    </w:div>
    <w:div w:id="482087931">
      <w:bodyDiv w:val="1"/>
      <w:marLeft w:val="0"/>
      <w:marRight w:val="0"/>
      <w:marTop w:val="0"/>
      <w:marBottom w:val="0"/>
      <w:divBdr>
        <w:top w:val="none" w:sz="0" w:space="0" w:color="auto"/>
        <w:left w:val="none" w:sz="0" w:space="0" w:color="auto"/>
        <w:bottom w:val="none" w:sz="0" w:space="0" w:color="auto"/>
        <w:right w:val="none" w:sz="0" w:space="0" w:color="auto"/>
      </w:divBdr>
    </w:div>
    <w:div w:id="581068173">
      <w:bodyDiv w:val="1"/>
      <w:marLeft w:val="0"/>
      <w:marRight w:val="0"/>
      <w:marTop w:val="0"/>
      <w:marBottom w:val="0"/>
      <w:divBdr>
        <w:top w:val="none" w:sz="0" w:space="0" w:color="auto"/>
        <w:left w:val="none" w:sz="0" w:space="0" w:color="auto"/>
        <w:bottom w:val="none" w:sz="0" w:space="0" w:color="auto"/>
        <w:right w:val="none" w:sz="0" w:space="0" w:color="auto"/>
      </w:divBdr>
    </w:div>
    <w:div w:id="819425800">
      <w:bodyDiv w:val="1"/>
      <w:marLeft w:val="0"/>
      <w:marRight w:val="0"/>
      <w:marTop w:val="0"/>
      <w:marBottom w:val="0"/>
      <w:divBdr>
        <w:top w:val="none" w:sz="0" w:space="0" w:color="auto"/>
        <w:left w:val="none" w:sz="0" w:space="0" w:color="auto"/>
        <w:bottom w:val="none" w:sz="0" w:space="0" w:color="auto"/>
        <w:right w:val="none" w:sz="0" w:space="0" w:color="auto"/>
      </w:divBdr>
    </w:div>
    <w:div w:id="929896265">
      <w:bodyDiv w:val="1"/>
      <w:marLeft w:val="0"/>
      <w:marRight w:val="0"/>
      <w:marTop w:val="0"/>
      <w:marBottom w:val="0"/>
      <w:divBdr>
        <w:top w:val="none" w:sz="0" w:space="0" w:color="auto"/>
        <w:left w:val="none" w:sz="0" w:space="0" w:color="auto"/>
        <w:bottom w:val="none" w:sz="0" w:space="0" w:color="auto"/>
        <w:right w:val="none" w:sz="0" w:space="0" w:color="auto"/>
      </w:divBdr>
    </w:div>
    <w:div w:id="1000431202">
      <w:bodyDiv w:val="1"/>
      <w:marLeft w:val="0"/>
      <w:marRight w:val="0"/>
      <w:marTop w:val="0"/>
      <w:marBottom w:val="0"/>
      <w:divBdr>
        <w:top w:val="none" w:sz="0" w:space="0" w:color="auto"/>
        <w:left w:val="none" w:sz="0" w:space="0" w:color="auto"/>
        <w:bottom w:val="none" w:sz="0" w:space="0" w:color="auto"/>
        <w:right w:val="none" w:sz="0" w:space="0" w:color="auto"/>
      </w:divBdr>
    </w:div>
    <w:div w:id="1233661135">
      <w:marLeft w:val="0"/>
      <w:marRight w:val="0"/>
      <w:marTop w:val="0"/>
      <w:marBottom w:val="0"/>
      <w:divBdr>
        <w:top w:val="none" w:sz="0" w:space="0" w:color="auto"/>
        <w:left w:val="none" w:sz="0" w:space="0" w:color="auto"/>
        <w:bottom w:val="none" w:sz="0" w:space="0" w:color="auto"/>
        <w:right w:val="none" w:sz="0" w:space="0" w:color="auto"/>
      </w:divBdr>
    </w:div>
    <w:div w:id="1233661136">
      <w:marLeft w:val="0"/>
      <w:marRight w:val="0"/>
      <w:marTop w:val="0"/>
      <w:marBottom w:val="0"/>
      <w:divBdr>
        <w:top w:val="none" w:sz="0" w:space="0" w:color="auto"/>
        <w:left w:val="none" w:sz="0" w:space="0" w:color="auto"/>
        <w:bottom w:val="none" w:sz="0" w:space="0" w:color="auto"/>
        <w:right w:val="none" w:sz="0" w:space="0" w:color="auto"/>
      </w:divBdr>
    </w:div>
    <w:div w:id="1233661137">
      <w:marLeft w:val="0"/>
      <w:marRight w:val="0"/>
      <w:marTop w:val="0"/>
      <w:marBottom w:val="0"/>
      <w:divBdr>
        <w:top w:val="none" w:sz="0" w:space="0" w:color="auto"/>
        <w:left w:val="none" w:sz="0" w:space="0" w:color="auto"/>
        <w:bottom w:val="none" w:sz="0" w:space="0" w:color="auto"/>
        <w:right w:val="none" w:sz="0" w:space="0" w:color="auto"/>
      </w:divBdr>
    </w:div>
    <w:div w:id="1233661138">
      <w:marLeft w:val="0"/>
      <w:marRight w:val="0"/>
      <w:marTop w:val="0"/>
      <w:marBottom w:val="0"/>
      <w:divBdr>
        <w:top w:val="none" w:sz="0" w:space="0" w:color="auto"/>
        <w:left w:val="none" w:sz="0" w:space="0" w:color="auto"/>
        <w:bottom w:val="none" w:sz="0" w:space="0" w:color="auto"/>
        <w:right w:val="none" w:sz="0" w:space="0" w:color="auto"/>
      </w:divBdr>
    </w:div>
    <w:div w:id="1233661139">
      <w:marLeft w:val="0"/>
      <w:marRight w:val="0"/>
      <w:marTop w:val="0"/>
      <w:marBottom w:val="0"/>
      <w:divBdr>
        <w:top w:val="none" w:sz="0" w:space="0" w:color="auto"/>
        <w:left w:val="none" w:sz="0" w:space="0" w:color="auto"/>
        <w:bottom w:val="none" w:sz="0" w:space="0" w:color="auto"/>
        <w:right w:val="none" w:sz="0" w:space="0" w:color="auto"/>
      </w:divBdr>
    </w:div>
    <w:div w:id="1233661140">
      <w:marLeft w:val="0"/>
      <w:marRight w:val="0"/>
      <w:marTop w:val="0"/>
      <w:marBottom w:val="0"/>
      <w:divBdr>
        <w:top w:val="none" w:sz="0" w:space="0" w:color="auto"/>
        <w:left w:val="none" w:sz="0" w:space="0" w:color="auto"/>
        <w:bottom w:val="none" w:sz="0" w:space="0" w:color="auto"/>
        <w:right w:val="none" w:sz="0" w:space="0" w:color="auto"/>
      </w:divBdr>
    </w:div>
    <w:div w:id="1233661141">
      <w:marLeft w:val="0"/>
      <w:marRight w:val="0"/>
      <w:marTop w:val="0"/>
      <w:marBottom w:val="0"/>
      <w:divBdr>
        <w:top w:val="none" w:sz="0" w:space="0" w:color="auto"/>
        <w:left w:val="none" w:sz="0" w:space="0" w:color="auto"/>
        <w:bottom w:val="none" w:sz="0" w:space="0" w:color="auto"/>
        <w:right w:val="none" w:sz="0" w:space="0" w:color="auto"/>
      </w:divBdr>
    </w:div>
    <w:div w:id="1497964130">
      <w:bodyDiv w:val="1"/>
      <w:marLeft w:val="0"/>
      <w:marRight w:val="0"/>
      <w:marTop w:val="0"/>
      <w:marBottom w:val="0"/>
      <w:divBdr>
        <w:top w:val="none" w:sz="0" w:space="0" w:color="auto"/>
        <w:left w:val="none" w:sz="0" w:space="0" w:color="auto"/>
        <w:bottom w:val="none" w:sz="0" w:space="0" w:color="auto"/>
        <w:right w:val="none" w:sz="0" w:space="0" w:color="auto"/>
      </w:divBdr>
    </w:div>
    <w:div w:id="214167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abolin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3ABD5-27C3-4CC9-8A8A-81789451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3068</Words>
  <Characters>17494</Characters>
  <Application>Microsoft Office Word</Application>
  <DocSecurity>0</DocSecurity>
  <Lines>145</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finansējuma piešķiršanu Vides aizsardzības un reģionālās attīstības ministrijai nekustamā īpašuma Kronvalda bulvārī 6, Rīgā, nomas maksas, aprīkojuma un mēbeļu iegādes, pārcelšanās un citu saistīto izdevumu segšana</vt:lpstr>
      <vt:lpstr>Ministru kabineta rīkojuma projekta  “Par Vides aizsardzības un reģionālās attīstības ministrijas centrālā aparāta ēkas Kronvalda bulvārī 6, Rīgā, būvniecības projekta kapitālieguldījumu iekļaušanu likumprojekta „Par valsts budžetu 2014. gadam” ilgtermiņa</vt:lpstr>
    </vt:vector>
  </TitlesOfParts>
  <Manager>S.Bajāre</Manager>
  <Company>Finanšu ministrija</Company>
  <LinksUpToDate>false</LinksUpToDate>
  <CharactersWithSpaces>20521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finansējuma piešķiršanu Vides aizsardzības un reģionālās attīstības ministrijai nekustamā īpašuma Kronvalda bulvārī 6, Rīgā, nomas maksas, aprīkojuma un mēbeļu iegādes, pārcelšanās un citu saistīto izdevumu segšanai” sākotnējās ietekmes novērtējuma ziņojums (anotācija)</dc:title>
  <dc:subject>Anotācija</dc:subject>
  <dc:creator>I.Āboliņa</dc:creator>
  <dc:description>Tālr.: 67026465; E-pasts: ilze.abolina@varam.gov.lv</dc:description>
  <cp:lastModifiedBy>larisat</cp:lastModifiedBy>
  <cp:revision>2</cp:revision>
  <cp:lastPrinted>2013-11-06T12:27:00Z</cp:lastPrinted>
  <dcterms:created xsi:type="dcterms:W3CDTF">2014-02-03T10:44:00Z</dcterms:created>
  <dcterms:modified xsi:type="dcterms:W3CDTF">2014-02-03T10:44:00Z</dcterms:modified>
  <cp:contentStatus>PROJEKTS</cp:contentStatus>
</cp:coreProperties>
</file>