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9B" w:rsidRPr="00307818" w:rsidRDefault="007F6C9B" w:rsidP="00155A4D">
      <w:pPr>
        <w:pStyle w:val="BodyText"/>
        <w:rPr>
          <w:bCs/>
          <w:sz w:val="28"/>
          <w:szCs w:val="28"/>
        </w:rPr>
      </w:pPr>
      <w:bookmarkStart w:id="0" w:name="OLE_LINK6"/>
      <w:bookmarkStart w:id="1" w:name="OLE_LINK7"/>
      <w:r w:rsidRPr="00307818">
        <w:rPr>
          <w:bCs/>
          <w:sz w:val="28"/>
          <w:szCs w:val="28"/>
        </w:rPr>
        <w:t xml:space="preserve">Ministru kabineta noteikumu projekta </w:t>
      </w:r>
    </w:p>
    <w:p w:rsidR="007F6C9B" w:rsidRPr="00307818" w:rsidRDefault="007F6C9B" w:rsidP="006D4783">
      <w:pPr>
        <w:pStyle w:val="HTMLPreformatted"/>
        <w:jc w:val="center"/>
        <w:rPr>
          <w:rFonts w:ascii="Times New Roman" w:hAnsi="Times New Roman"/>
          <w:b/>
          <w:bCs/>
          <w:sz w:val="28"/>
          <w:szCs w:val="28"/>
        </w:rPr>
      </w:pPr>
      <w:r w:rsidRPr="00307818">
        <w:rPr>
          <w:rFonts w:ascii="Times New Roman" w:hAnsi="Times New Roman"/>
          <w:b/>
          <w:sz w:val="28"/>
          <w:szCs w:val="28"/>
        </w:rPr>
        <w:t>„Darbinieku apstarošanas kontroles un uzskaites kārtība”</w:t>
      </w:r>
      <w:r w:rsidRPr="00307818">
        <w:rPr>
          <w:rFonts w:ascii="Times New Roman" w:hAnsi="Times New Roman"/>
          <w:b/>
          <w:bCs/>
          <w:sz w:val="28"/>
          <w:szCs w:val="28"/>
        </w:rPr>
        <w:t xml:space="preserve"> </w:t>
      </w:r>
      <w:bookmarkStart w:id="2" w:name="OLE_LINK4"/>
      <w:bookmarkStart w:id="3" w:name="OLE_LINK5"/>
    </w:p>
    <w:p w:rsidR="007F6C9B" w:rsidRPr="00307818" w:rsidRDefault="007F6C9B" w:rsidP="00155A4D">
      <w:pPr>
        <w:pStyle w:val="BodyText"/>
        <w:rPr>
          <w:sz w:val="28"/>
          <w:szCs w:val="28"/>
        </w:rPr>
      </w:pPr>
      <w:r w:rsidRPr="00307818">
        <w:rPr>
          <w:bCs/>
          <w:sz w:val="28"/>
          <w:szCs w:val="28"/>
        </w:rPr>
        <w:t>sākotnējās ietekmes novērtējuma ziņojums (anotācija)</w:t>
      </w:r>
      <w:bookmarkEnd w:id="0"/>
      <w:bookmarkEnd w:id="1"/>
      <w:bookmarkEnd w:id="2"/>
      <w:bookmarkEnd w:id="3"/>
    </w:p>
    <w:p w:rsidR="007F6C9B" w:rsidRPr="00307818" w:rsidRDefault="007F6C9B" w:rsidP="00155A4D">
      <w:pPr>
        <w:rPr>
          <w:b/>
          <w:color w:val="C00000"/>
          <w:sz w:val="28"/>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6379"/>
      </w:tblGrid>
      <w:tr w:rsidR="007F6C9B" w:rsidRPr="00307818" w:rsidTr="00E116C7">
        <w:tc>
          <w:tcPr>
            <w:tcW w:w="9356" w:type="dxa"/>
            <w:gridSpan w:val="2"/>
          </w:tcPr>
          <w:p w:rsidR="007F6C9B" w:rsidRPr="00307818" w:rsidRDefault="007F6C9B" w:rsidP="00155A4D">
            <w:pPr>
              <w:spacing w:after="120"/>
              <w:jc w:val="center"/>
              <w:rPr>
                <w:b/>
              </w:rPr>
            </w:pPr>
            <w:r w:rsidRPr="00307818">
              <w:rPr>
                <w:b/>
              </w:rPr>
              <w:t xml:space="preserve">I. Kādēļ normatīvais </w:t>
            </w:r>
            <w:smartTag w:uri="schemas-tilde-lv/tildestengine" w:element="veidnes">
              <w:smartTagPr>
                <w:attr w:name="text" w:val="akts"/>
                <w:attr w:name="id" w:val="-1"/>
                <w:attr w:name="baseform" w:val="akt|s"/>
              </w:smartTagPr>
              <w:r w:rsidRPr="00307818">
                <w:rPr>
                  <w:b/>
                </w:rPr>
                <w:t>akts</w:t>
              </w:r>
            </w:smartTag>
            <w:r w:rsidRPr="00307818">
              <w:rPr>
                <w:b/>
              </w:rPr>
              <w:t xml:space="preserve"> ir vajadzīgs</w:t>
            </w:r>
          </w:p>
        </w:tc>
      </w:tr>
      <w:tr w:rsidR="007F6C9B" w:rsidRPr="00307818" w:rsidTr="003C7DE2">
        <w:tc>
          <w:tcPr>
            <w:tcW w:w="2977" w:type="dxa"/>
          </w:tcPr>
          <w:p w:rsidR="007F6C9B" w:rsidRPr="00307818" w:rsidRDefault="007F6C9B" w:rsidP="00155A4D">
            <w:pPr>
              <w:pStyle w:val="Footer"/>
              <w:tabs>
                <w:tab w:val="clear" w:pos="4153"/>
                <w:tab w:val="clear" w:pos="8306"/>
              </w:tabs>
              <w:jc w:val="both"/>
              <w:rPr>
                <w:rFonts w:ascii="Times New Roman" w:hAnsi="Times New Roman"/>
                <w:sz w:val="24"/>
                <w:szCs w:val="24"/>
                <w:lang w:eastAsia="en-US"/>
              </w:rPr>
            </w:pPr>
            <w:r w:rsidRPr="00307818">
              <w:rPr>
                <w:rFonts w:ascii="Times New Roman" w:hAnsi="Times New Roman"/>
                <w:sz w:val="24"/>
                <w:szCs w:val="24"/>
                <w:lang w:eastAsia="en-US"/>
              </w:rPr>
              <w:t>1. Pamatojums</w:t>
            </w:r>
          </w:p>
        </w:tc>
        <w:tc>
          <w:tcPr>
            <w:tcW w:w="6379" w:type="dxa"/>
          </w:tcPr>
          <w:p w:rsidR="007F6C9B" w:rsidRPr="00307818" w:rsidRDefault="00FA7557" w:rsidP="00FA2569">
            <w:pPr>
              <w:pStyle w:val="naisnod"/>
              <w:spacing w:before="0" w:after="120"/>
              <w:jc w:val="both"/>
            </w:pPr>
            <w:r w:rsidRPr="00307818">
              <w:rPr>
                <w:b w:val="0"/>
              </w:rPr>
              <w:t>P</w:t>
            </w:r>
            <w:r w:rsidR="007F6C9B" w:rsidRPr="00307818">
              <w:rPr>
                <w:b w:val="0"/>
              </w:rPr>
              <w:t xml:space="preserve">rojekts sagatavots, lai aktualizētu Ministru kabineta </w:t>
            </w:r>
            <w:smartTag w:uri="schemas-tilde-lv/tildestengine" w:element="date">
              <w:smartTagPr>
                <w:attr w:name="Year" w:val="2001"/>
                <w:attr w:name="Month" w:val="10"/>
                <w:attr w:name="Day" w:val="23"/>
              </w:smartTagPr>
              <w:r w:rsidR="007F6C9B" w:rsidRPr="00307818">
                <w:rPr>
                  <w:b w:val="0"/>
                </w:rPr>
                <w:t>2001.gada 23.oktobra</w:t>
              </w:r>
            </w:smartTag>
            <w:r w:rsidR="007F6C9B" w:rsidRPr="00307818">
              <w:rPr>
                <w:b w:val="0"/>
              </w:rPr>
              <w:t xml:space="preserve"> noteikumos Nr.454 „</w:t>
            </w:r>
            <w:r w:rsidR="007F6C9B" w:rsidRPr="00307818">
              <w:rPr>
                <w:b w:val="0"/>
                <w:bCs w:val="0"/>
              </w:rPr>
              <w:t>Darbinieku apstarošanas kontroles un uzskaites kārtība”</w:t>
            </w:r>
            <w:r w:rsidR="007F6C9B" w:rsidRPr="00307818">
              <w:rPr>
                <w:b w:val="0"/>
              </w:rPr>
              <w:t>, kuri izdoti saskaņā ar likuma „Par radiācijas drošību un kodoldrošību” 13.panta ceturto daļu, noteiktās prasības darbinieku, kuri veic darbības ar jonizējošā starojuma avotiem, saņemtā jonizējošā starojuma kontrolei un uzskaitei.</w:t>
            </w:r>
          </w:p>
        </w:tc>
      </w:tr>
      <w:tr w:rsidR="007F6C9B" w:rsidRPr="00307818" w:rsidTr="003C7DE2">
        <w:tc>
          <w:tcPr>
            <w:tcW w:w="2977" w:type="dxa"/>
          </w:tcPr>
          <w:p w:rsidR="007F6C9B" w:rsidRPr="00307818" w:rsidRDefault="007F6C9B" w:rsidP="00155A4D">
            <w:pPr>
              <w:pStyle w:val="BodyText"/>
              <w:jc w:val="left"/>
              <w:rPr>
                <w:b w:val="0"/>
                <w:sz w:val="24"/>
                <w:szCs w:val="24"/>
              </w:rPr>
            </w:pPr>
            <w:r w:rsidRPr="00307818">
              <w:rPr>
                <w:b w:val="0"/>
                <w:sz w:val="24"/>
                <w:szCs w:val="24"/>
              </w:rPr>
              <w:t>2. Pašreizējā situācija un problēmas</w:t>
            </w:r>
          </w:p>
        </w:tc>
        <w:tc>
          <w:tcPr>
            <w:tcW w:w="6379" w:type="dxa"/>
          </w:tcPr>
          <w:p w:rsidR="00FA7557" w:rsidRPr="00307818" w:rsidRDefault="007F6C9B" w:rsidP="00940B49">
            <w:pPr>
              <w:spacing w:after="120"/>
              <w:jc w:val="both"/>
              <w:rPr>
                <w:bCs/>
              </w:rPr>
            </w:pPr>
            <w:r w:rsidRPr="00307818">
              <w:t xml:space="preserve">Ministru kabineta </w:t>
            </w:r>
            <w:smartTag w:uri="schemas-tilde-lv/tildestengine" w:element="date">
              <w:smartTagPr>
                <w:attr w:name="Year" w:val="2001"/>
                <w:attr w:name="Month" w:val="10"/>
                <w:attr w:name="Day" w:val="23"/>
              </w:smartTagPr>
              <w:r w:rsidRPr="00307818">
                <w:t>2001.gada 23.oktobra</w:t>
              </w:r>
            </w:smartTag>
            <w:r w:rsidRPr="00307818">
              <w:t xml:space="preserve"> noteikumos Nr.454 „</w:t>
            </w:r>
            <w:r w:rsidRPr="00307818">
              <w:rPr>
                <w:bCs/>
              </w:rPr>
              <w:t>Darbinieku apstarošanas kontroles un uzskaites kārtība” (turpmāk – MK noteikumi Nr.454) noteiktas prasības darbinieku, kuri veic darbības ar jonizējošā starojuma</w:t>
            </w:r>
            <w:r w:rsidR="00FA7557" w:rsidRPr="00307818">
              <w:rPr>
                <w:bCs/>
              </w:rPr>
              <w:t xml:space="preserve"> avotiem</w:t>
            </w:r>
            <w:r w:rsidRPr="00307818">
              <w:rPr>
                <w:bCs/>
              </w:rPr>
              <w:t>,</w:t>
            </w:r>
            <w:r w:rsidR="00FA7557" w:rsidRPr="00307818">
              <w:rPr>
                <w:bCs/>
              </w:rPr>
              <w:t xml:space="preserve"> (turpmāk – darbinieki)</w:t>
            </w:r>
            <w:r w:rsidRPr="00307818">
              <w:rPr>
                <w:bCs/>
              </w:rPr>
              <w:t xml:space="preserve"> saņemtā apstarojuma kontrolei un uzskaitei. </w:t>
            </w:r>
          </w:p>
          <w:p w:rsidR="007F6C9B" w:rsidRPr="00307818" w:rsidRDefault="007F6C9B" w:rsidP="00940B49">
            <w:pPr>
              <w:spacing w:after="120"/>
              <w:jc w:val="both"/>
              <w:rPr>
                <w:bCs/>
              </w:rPr>
            </w:pPr>
            <w:r w:rsidRPr="00307818">
              <w:rPr>
                <w:bCs/>
              </w:rPr>
              <w:t xml:space="preserve">MK noteikumu Nr.454 prasību izpildi īsteno operatori, darbu vadītāji, </w:t>
            </w:r>
            <w:r w:rsidRPr="00307818">
              <w:t>Valsts vides dienesta Radiācijas drošības centrs (turpmāk – VVD RDC) un sabiedrība ar ierobežotu atbildību “Latvijas Vides, ģeoloģijas un meteoroloģijas centrs” (turpmāk – LVĢMC), kā arī ārstniecības personas, kuras nodrošina darbinieku, kuri veic darbības ar jonizējošā starojuma avotiem, veselības pārbaudes.</w:t>
            </w:r>
          </w:p>
          <w:p w:rsidR="007F6C9B" w:rsidRPr="00307818" w:rsidRDefault="007F6C9B" w:rsidP="00DC642C">
            <w:pPr>
              <w:spacing w:after="120"/>
              <w:jc w:val="both"/>
            </w:pPr>
            <w:r w:rsidRPr="00307818">
              <w:t>VVD RDC nodrošina radiācijas drošības uzraudzību un kontroli, izsniedz speciālas atļaujas (licences) un atļaujas darbībām ar jonizējošā starojuma avotiem, kā arī uztur datu bāzi</w:t>
            </w:r>
            <w:r w:rsidR="00FA7557" w:rsidRPr="00307818">
              <w:t xml:space="preserve"> par darbinieku </w:t>
            </w:r>
            <w:r w:rsidRPr="00307818">
              <w:t>apstarošanu</w:t>
            </w:r>
            <w:r w:rsidR="00FA7557" w:rsidRPr="00307818">
              <w:t>. Datu bāzē iekļauti dati par darbinieku;</w:t>
            </w:r>
            <w:r w:rsidRPr="00307818">
              <w:t xml:space="preserve"> operatoriem, </w:t>
            </w:r>
            <w:r w:rsidRPr="00307818">
              <w:rPr>
                <w:bCs/>
                <w:iCs/>
              </w:rPr>
              <w:t>kur darbinieks ir strādājis un strādā; no kura laika strādā esošajā organizācijā; ieņemamais amats; informāciju par to, vai ir vai nav nepieciešams individuālais monitorings; gadā saņemtā kopējā doza; pabeigtie apmācību kursi.</w:t>
            </w:r>
          </w:p>
          <w:p w:rsidR="007F6C9B" w:rsidRPr="00307818" w:rsidRDefault="007F6C9B" w:rsidP="00021492">
            <w:pPr>
              <w:spacing w:after="120"/>
              <w:jc w:val="both"/>
            </w:pPr>
            <w:r w:rsidRPr="00307818">
              <w:t>Atbilstoši MK noteikumu Nr.454 prasībām operatori nodrošina darbinieku saņemtā apstarojuma novērtēšanu</w:t>
            </w:r>
            <w:r w:rsidR="00FA7557" w:rsidRPr="00307818">
              <w:t>,</w:t>
            </w:r>
            <w:r w:rsidRPr="00307818">
              <w:t xml:space="preserve"> izmantojot darba vietas monitoringu un darbinieku saņemto dozu mērījumus (individuālais monitorings). LVĢMC atbilstoši likumam „Par radiācijas drošību un kodoldrošību” veic </w:t>
            </w:r>
            <w:r w:rsidR="00FA7557" w:rsidRPr="00307818">
              <w:t xml:space="preserve">darbinieku </w:t>
            </w:r>
            <w:r w:rsidRPr="00307818">
              <w:t xml:space="preserve">saņemto dozu mērījumus (ar individuālajiem termoluminiscences dozimetriem). Informācija par darbinieku saņemto apstarojumu un veselības pārbaudēm tiek iekļauta darbinieku individuālo jonizējošā starojuma dozu uzskaites grāmatiņās un arī VVD RDC datu bāzē par darbinieku saņemto apstarojumu.  </w:t>
            </w:r>
          </w:p>
          <w:p w:rsidR="007F6C9B" w:rsidRPr="00307818" w:rsidRDefault="007F6C9B" w:rsidP="00FA7557">
            <w:pPr>
              <w:spacing w:after="120"/>
              <w:jc w:val="both"/>
            </w:pPr>
            <w:r w:rsidRPr="00307818">
              <w:t xml:space="preserve">MK noteikumi Nr.454 izdoti 2001.gadā un ir konstatēts, ka nepieciešams aktualizēt noteikumos noteiktās prasības darba </w:t>
            </w:r>
            <w:r w:rsidRPr="00307818">
              <w:lastRenderedPageBreak/>
              <w:t>vietas monitoringam un darbinieku saņemto dozu mērījumiem (individuālajam monitoringam), tai skaitā precizēt individuālā monitoringa veikšanas regularitāti un iekļaut prasības attiecībā uz darba vietas monitoringa veicējiem, kā arī tā regularitāti</w:t>
            </w:r>
            <w:r w:rsidR="00FA7557" w:rsidRPr="00307818">
              <w:t>.</w:t>
            </w:r>
            <w:r w:rsidRPr="00307818">
              <w:t xml:space="preserve"> Tāpat jāprecizē informācija, kas ir iekļaujama darbinieku individuālo jonizējošā starojuma dozu uzskaites grāmatiņā un tā informācija, ko VVD RDC iekļauj datu bāzē par darbinieku saņemto apstarojumu.</w:t>
            </w:r>
          </w:p>
        </w:tc>
      </w:tr>
      <w:tr w:rsidR="007F6C9B" w:rsidRPr="00307818" w:rsidTr="003C7DE2">
        <w:tc>
          <w:tcPr>
            <w:tcW w:w="2977" w:type="dxa"/>
          </w:tcPr>
          <w:p w:rsidR="007F6C9B" w:rsidRPr="00307818" w:rsidRDefault="007F6C9B" w:rsidP="00493B08">
            <w:pPr>
              <w:pStyle w:val="Footer"/>
              <w:tabs>
                <w:tab w:val="clear" w:pos="4153"/>
                <w:tab w:val="clear" w:pos="8306"/>
              </w:tabs>
              <w:jc w:val="both"/>
              <w:rPr>
                <w:rFonts w:ascii="Times New Roman" w:hAnsi="Times New Roman"/>
                <w:sz w:val="24"/>
                <w:szCs w:val="24"/>
                <w:lang w:eastAsia="en-US"/>
              </w:rPr>
            </w:pPr>
            <w:r w:rsidRPr="00307818">
              <w:rPr>
                <w:rFonts w:ascii="Times New Roman" w:hAnsi="Times New Roman"/>
                <w:sz w:val="24"/>
                <w:szCs w:val="24"/>
                <w:lang w:eastAsia="en-US"/>
              </w:rPr>
              <w:lastRenderedPageBreak/>
              <w:t>3. Saistītie politikas ietekmes novērtējumi un pētījumi</w:t>
            </w:r>
          </w:p>
        </w:tc>
        <w:tc>
          <w:tcPr>
            <w:tcW w:w="6379" w:type="dxa"/>
          </w:tcPr>
          <w:p w:rsidR="007F6C9B" w:rsidRPr="00307818" w:rsidRDefault="007F6C9B" w:rsidP="001F6BE6">
            <w:pPr>
              <w:pStyle w:val="naiskr"/>
              <w:spacing w:before="0" w:after="120"/>
              <w:ind w:right="57"/>
              <w:jc w:val="both"/>
            </w:pPr>
            <w:r w:rsidRPr="00307818">
              <w:t>Projekts šo jomu neskar.</w:t>
            </w:r>
          </w:p>
          <w:p w:rsidR="007F6C9B" w:rsidRPr="00307818" w:rsidRDefault="007F6C9B" w:rsidP="00155A4D">
            <w:pPr>
              <w:pStyle w:val="naiskr"/>
              <w:spacing w:before="0" w:after="120"/>
              <w:ind w:left="104" w:right="57"/>
              <w:jc w:val="both"/>
            </w:pPr>
          </w:p>
        </w:tc>
      </w:tr>
      <w:tr w:rsidR="007F6C9B" w:rsidRPr="00307818" w:rsidTr="003C7DE2">
        <w:tc>
          <w:tcPr>
            <w:tcW w:w="2977" w:type="dxa"/>
          </w:tcPr>
          <w:p w:rsidR="007F6C9B" w:rsidRPr="00307818" w:rsidRDefault="007F6C9B" w:rsidP="00155A4D">
            <w:pPr>
              <w:pStyle w:val="Footer"/>
              <w:tabs>
                <w:tab w:val="clear" w:pos="4153"/>
                <w:tab w:val="clear" w:pos="8306"/>
              </w:tabs>
              <w:rPr>
                <w:rFonts w:ascii="Times New Roman" w:hAnsi="Times New Roman"/>
                <w:sz w:val="24"/>
                <w:szCs w:val="24"/>
                <w:lang w:eastAsia="en-US"/>
              </w:rPr>
            </w:pPr>
            <w:r w:rsidRPr="00307818">
              <w:rPr>
                <w:rFonts w:ascii="Times New Roman" w:hAnsi="Times New Roman"/>
                <w:sz w:val="24"/>
                <w:szCs w:val="24"/>
                <w:lang w:eastAsia="en-US"/>
              </w:rPr>
              <w:t>4. Tiesiskā regulējuma mērķis un būtība</w:t>
            </w:r>
          </w:p>
        </w:tc>
        <w:tc>
          <w:tcPr>
            <w:tcW w:w="6379" w:type="dxa"/>
          </w:tcPr>
          <w:p w:rsidR="007F6C9B" w:rsidRPr="00307818" w:rsidRDefault="00F16241" w:rsidP="003C7DE2">
            <w:pPr>
              <w:pStyle w:val="BodyText"/>
              <w:spacing w:after="120"/>
              <w:jc w:val="both"/>
              <w:rPr>
                <w:rStyle w:val="Strong"/>
                <w:b/>
                <w:bCs/>
                <w:sz w:val="24"/>
                <w:szCs w:val="24"/>
              </w:rPr>
            </w:pPr>
            <w:r w:rsidRPr="00307818">
              <w:rPr>
                <w:rStyle w:val="Strong"/>
                <w:bCs/>
                <w:sz w:val="24"/>
                <w:szCs w:val="24"/>
              </w:rPr>
              <w:t>Projekta</w:t>
            </w:r>
            <w:r w:rsidR="007F6C9B" w:rsidRPr="00307818">
              <w:rPr>
                <w:rStyle w:val="Strong"/>
                <w:bCs/>
                <w:sz w:val="24"/>
                <w:szCs w:val="24"/>
              </w:rPr>
              <w:t xml:space="preserve"> </w:t>
            </w:r>
            <w:r w:rsidR="00FA7557" w:rsidRPr="00307818">
              <w:rPr>
                <w:rStyle w:val="Strong"/>
                <w:bCs/>
                <w:sz w:val="24"/>
                <w:szCs w:val="24"/>
              </w:rPr>
              <w:t>mērķis ir aktualizēt</w:t>
            </w:r>
            <w:r w:rsidR="007F6C9B" w:rsidRPr="00307818">
              <w:rPr>
                <w:rStyle w:val="Strong"/>
                <w:bCs/>
                <w:sz w:val="24"/>
                <w:szCs w:val="24"/>
              </w:rPr>
              <w:t xml:space="preserve"> prasības </w:t>
            </w:r>
            <w:r w:rsidR="007F6C9B" w:rsidRPr="00307818">
              <w:rPr>
                <w:b w:val="0"/>
                <w:bCs/>
                <w:sz w:val="24"/>
                <w:szCs w:val="24"/>
              </w:rPr>
              <w:t>darbinieku saņemtā apstarojuma kontrolei un uzskaitei, aizstājot MK noteikumus Nr.454.</w:t>
            </w:r>
          </w:p>
          <w:p w:rsidR="007F6C9B" w:rsidRPr="00307818" w:rsidRDefault="00FA7557" w:rsidP="003C7DE2">
            <w:pPr>
              <w:spacing w:after="120"/>
              <w:jc w:val="both"/>
            </w:pPr>
            <w:r w:rsidRPr="00307818">
              <w:t>P</w:t>
            </w:r>
            <w:r w:rsidR="007F6C9B" w:rsidRPr="00307818">
              <w:t>rojekts nosaka:</w:t>
            </w:r>
          </w:p>
          <w:p w:rsidR="00FA7557" w:rsidRPr="00307818" w:rsidRDefault="007F6C9B" w:rsidP="003C7DE2">
            <w:pPr>
              <w:pStyle w:val="naisf"/>
              <w:spacing w:before="0" w:after="120"/>
              <w:ind w:firstLine="0"/>
            </w:pPr>
            <w:r w:rsidRPr="00307818">
              <w:t xml:space="preserve">1. nosacījumus, kādā veidā operators nodrošina darbinieku apstarošanas kontroli un darbinieku apstarošanas uzskaiti: </w:t>
            </w:r>
          </w:p>
          <w:p w:rsidR="00FA7557" w:rsidRPr="00307818" w:rsidRDefault="00FA7557" w:rsidP="003C7DE2">
            <w:pPr>
              <w:pStyle w:val="naisf"/>
              <w:spacing w:before="0" w:after="120"/>
              <w:ind w:firstLine="0"/>
            </w:pPr>
            <w:r w:rsidRPr="00307818">
              <w:t xml:space="preserve">1.1. </w:t>
            </w:r>
            <w:r w:rsidR="007F6C9B" w:rsidRPr="00307818">
              <w:t>izmantojot individuālos dozimetrus (darbinieku individuālais monitorings)</w:t>
            </w:r>
            <w:r w:rsidRPr="00307818">
              <w:t>;</w:t>
            </w:r>
            <w:r w:rsidR="007F6C9B" w:rsidRPr="00307818">
              <w:t xml:space="preserve"> un </w:t>
            </w:r>
          </w:p>
          <w:p w:rsidR="007F6C9B" w:rsidRPr="00307818" w:rsidRDefault="00FA7557" w:rsidP="003C7DE2">
            <w:pPr>
              <w:pStyle w:val="naisf"/>
              <w:spacing w:before="0" w:after="120"/>
              <w:ind w:firstLine="0"/>
            </w:pPr>
            <w:r w:rsidRPr="00307818">
              <w:t xml:space="preserve">1.2. </w:t>
            </w:r>
            <w:r w:rsidR="007F6C9B" w:rsidRPr="00307818">
              <w:t>kontrolējot jonizējošo starojumu darba vietās un visā operatora kontrolētajā zonā (darba vietas monitorings);</w:t>
            </w:r>
          </w:p>
          <w:p w:rsidR="007F6C9B" w:rsidRPr="00307818" w:rsidRDefault="007F6C9B" w:rsidP="003C7DE2">
            <w:pPr>
              <w:pStyle w:val="naisf"/>
              <w:spacing w:before="0" w:after="120"/>
              <w:ind w:firstLine="0"/>
            </w:pPr>
            <w:r w:rsidRPr="00307818">
              <w:t xml:space="preserve">2. prasības darbinieku individuālajam monitoringam, kuru nodrošina ar regulāriem saņemto jonizējošā starojuma dozu mērījumiem, izmantojot individuālos termoluminiscences dozimetrus (turpmāk - TLD dozimetri) vai individuālos elektroniskos dozimetrus, kas spēj nepārtraukti uzrādīt jonizējošā starojuma dozu (turpmāk - </w:t>
            </w:r>
            <w:r w:rsidR="00FA7557" w:rsidRPr="00307818">
              <w:t>EPD dozimetri), kā arī tiek noteikti nosacījumi šo dozimetru kalibrēšanai.</w:t>
            </w:r>
          </w:p>
          <w:p w:rsidR="00FA7557" w:rsidRPr="00307818" w:rsidRDefault="007F6C9B" w:rsidP="003C7DE2">
            <w:pPr>
              <w:pStyle w:val="naisf"/>
              <w:spacing w:before="0" w:after="120"/>
              <w:ind w:firstLine="0"/>
            </w:pPr>
            <w:r w:rsidRPr="00307818">
              <w:t xml:space="preserve">LVĢMC veic dozu mērījumus ar TLD dozimetriem, tādejādi tiek nodrošināta vienota darbinieku saņemtā apstarošanas novērtēšana. </w:t>
            </w:r>
            <w:r w:rsidR="00FA7557" w:rsidRPr="00307818">
              <w:t>P</w:t>
            </w:r>
            <w:r w:rsidRPr="00307818">
              <w:t xml:space="preserve">rojektā tiek noteikts individuālo dozimetru nomaiņas regularitāte, ņemot vērā darbinieku iedalījumu kategorijās (A un B kategorija) atbilstoši MK 2002.gada 9.aprīļa noteikumiem Nr.149 „Noteikumi par aizsardzību pret jonizējošo starojumu”. </w:t>
            </w:r>
          </w:p>
          <w:p w:rsidR="00523F71" w:rsidRPr="00307818" w:rsidRDefault="007F6C9B" w:rsidP="003C7DE2">
            <w:pPr>
              <w:pStyle w:val="naisf"/>
              <w:spacing w:before="0" w:after="120"/>
              <w:ind w:firstLine="0"/>
            </w:pPr>
            <w:r w:rsidRPr="00307818">
              <w:t xml:space="preserve">EPD dozimetrus </w:t>
            </w:r>
            <w:r w:rsidR="00FA7557" w:rsidRPr="00307818">
              <w:t>nenodrošina valsts institūcijas.</w:t>
            </w:r>
            <w:r w:rsidRPr="00307818">
              <w:t xml:space="preserve"> </w:t>
            </w:r>
            <w:r w:rsidR="00FA7557" w:rsidRPr="00307818">
              <w:t>I</w:t>
            </w:r>
            <w:r w:rsidRPr="00307818">
              <w:t xml:space="preserve">evērojot, ka arvien vairāk pasaulē sāk izmantot šos dozimetrus, tad projektā tiek paredzēta iespēja šādu dozimetru izmantošanai. Attiecīgi projektā paredzēts, ka šo dozimetru izmantošanas nosacījumi operatoram jāiekļauj radiācijas drošības kvalitātes nodrošināšanas programmā, </w:t>
            </w:r>
            <w:r w:rsidR="00523F71" w:rsidRPr="00307818">
              <w:t xml:space="preserve">ievērojot, ka EPD dozimetru datu nolasīšanai nepieciešama arī speciāla mērījumu nolasīšanas iekārta.  </w:t>
            </w:r>
          </w:p>
          <w:p w:rsidR="007F6C9B" w:rsidRPr="00307818" w:rsidRDefault="00523F71" w:rsidP="003C7DE2">
            <w:pPr>
              <w:pStyle w:val="naisf"/>
              <w:spacing w:before="0" w:after="120"/>
              <w:ind w:firstLine="0"/>
            </w:pPr>
            <w:r w:rsidRPr="00307818">
              <w:t xml:space="preserve">Projektā tiek paredzēts, ka LVĢMC un operatori, kuri izmanto EPD dozimetrus, </w:t>
            </w:r>
            <w:r w:rsidR="007F6C9B" w:rsidRPr="00307818">
              <w:t>reizi ceturksnī par individuālās dozimetrijas rezultātiem informē VVD RDC.</w:t>
            </w:r>
            <w:r w:rsidR="00FA7557" w:rsidRPr="00307818">
              <w:t xml:space="preserve"> </w:t>
            </w:r>
          </w:p>
          <w:p w:rsidR="007F6C9B" w:rsidRPr="00307818" w:rsidRDefault="00523F71" w:rsidP="003C7DE2">
            <w:pPr>
              <w:pStyle w:val="naisf"/>
              <w:spacing w:before="0" w:after="120"/>
              <w:ind w:firstLine="0"/>
            </w:pPr>
            <w:r w:rsidRPr="00307818">
              <w:t>O</w:t>
            </w:r>
            <w:r w:rsidR="001F4A5B" w:rsidRPr="00307818">
              <w:t xml:space="preserve">perators nodrošina </w:t>
            </w:r>
            <w:r w:rsidR="007F6C9B" w:rsidRPr="00307818">
              <w:t>saņemto jonizējošā starojuma dozu aprēķināšanu noteiktam laikposmam, pamatojoties uz individuālā monitoringa</w:t>
            </w:r>
            <w:r w:rsidR="00F16241" w:rsidRPr="00307818">
              <w:t xml:space="preserve"> rezultātiem;</w:t>
            </w:r>
          </w:p>
          <w:p w:rsidR="00423279" w:rsidRPr="00307818" w:rsidRDefault="001F4A5B" w:rsidP="00BB43B9">
            <w:pPr>
              <w:autoSpaceDE w:val="0"/>
              <w:autoSpaceDN w:val="0"/>
              <w:adjustRightInd w:val="0"/>
              <w:spacing w:after="120"/>
              <w:jc w:val="both"/>
              <w:rPr>
                <w:rFonts w:ascii="TimesNewRomanPSMT" w:hAnsi="TimesNewRomanPSMT" w:cs="TimesNewRomanPSMT"/>
              </w:rPr>
            </w:pPr>
            <w:r w:rsidRPr="00307818">
              <w:t>3</w:t>
            </w:r>
            <w:r w:rsidR="00BB43B9" w:rsidRPr="00307818">
              <w:t xml:space="preserve">. </w:t>
            </w:r>
            <w:r w:rsidR="00F16241" w:rsidRPr="00307818">
              <w:t xml:space="preserve">izvēles iespējas </w:t>
            </w:r>
            <w:r w:rsidR="00BB43B9" w:rsidRPr="00307818">
              <w:t xml:space="preserve">operatoram B kategorijas darbinieku saņemtā apstarojuma novērtēšanai izmantot </w:t>
            </w:r>
            <w:r w:rsidR="00031C6D" w:rsidRPr="00307818">
              <w:t xml:space="preserve">vienu no šādām metodēm: </w:t>
            </w:r>
            <w:r w:rsidR="00BB43B9" w:rsidRPr="00307818">
              <w:t>darba vietas monitoring</w:t>
            </w:r>
            <w:r w:rsidR="00184BC9" w:rsidRPr="00307818">
              <w:t>a rezultāt</w:t>
            </w:r>
            <w:r w:rsidR="00031C6D" w:rsidRPr="00307818">
              <w:t>i</w:t>
            </w:r>
            <w:r w:rsidR="00BB43B9" w:rsidRPr="00307818">
              <w:t xml:space="preserve"> vai izlases veidā (vienam vai diviem darbiniekiem) veikt darbinieku grupas individuālo dozimetriju</w:t>
            </w:r>
            <w:r w:rsidRPr="00307818">
              <w:t xml:space="preserve"> (projekta 10.punkts)</w:t>
            </w:r>
            <w:r w:rsidR="00BB43B9" w:rsidRPr="00307818">
              <w:t xml:space="preserve">. </w:t>
            </w:r>
            <w:r w:rsidR="00F16241" w:rsidRPr="00307818">
              <w:rPr>
                <w:rFonts w:ascii="TimesNewRomanPSMT" w:hAnsi="TimesNewRomanPSMT" w:cs="TimesNewRomanPSMT"/>
              </w:rPr>
              <w:t>G</w:t>
            </w:r>
            <w:r w:rsidR="00423279" w:rsidRPr="00307818">
              <w:rPr>
                <w:rFonts w:ascii="TimesNewRomanPSMT" w:hAnsi="TimesNewRomanPSMT" w:cs="TimesNewRomanPSMT"/>
              </w:rPr>
              <w:t>adījumā, ja izvēlas darba vietas monitoringu saņemtā apstaroj</w:t>
            </w:r>
            <w:r w:rsidR="00DE1B5F" w:rsidRPr="00307818">
              <w:rPr>
                <w:rFonts w:ascii="TimesNewRomanPSMT" w:hAnsi="TimesNewRomanPSMT" w:cs="TimesNewRomanPSMT"/>
              </w:rPr>
              <w:t>uma novērtēšanai, tiek paredzēts</w:t>
            </w:r>
            <w:r w:rsidR="00423279" w:rsidRPr="00307818">
              <w:rPr>
                <w:rFonts w:ascii="TimesNewRomanPSMT" w:hAnsi="TimesNewRomanPSMT" w:cs="TimesNewRomanPSMT"/>
              </w:rPr>
              <w:t xml:space="preserve"> regulārāk veikt šo monitoringu.</w:t>
            </w:r>
          </w:p>
          <w:p w:rsidR="00813ADF" w:rsidRPr="00307818" w:rsidRDefault="00BB43B9" w:rsidP="00BB43B9">
            <w:pPr>
              <w:autoSpaceDE w:val="0"/>
              <w:autoSpaceDN w:val="0"/>
              <w:adjustRightInd w:val="0"/>
              <w:spacing w:after="120"/>
              <w:jc w:val="both"/>
            </w:pPr>
            <w:r w:rsidRPr="00307818">
              <w:t>Papildus noteikti nosacījumi, kurā gadījumā šo iespēju var izmantot</w:t>
            </w:r>
            <w:r w:rsidR="00423279" w:rsidRPr="00307818">
              <w:t>,</w:t>
            </w:r>
            <w:r w:rsidR="00031C6D" w:rsidRPr="00307818">
              <w:t xml:space="preserve"> </w:t>
            </w:r>
            <w:r w:rsidRPr="00307818">
              <w:t>ievērojot joniz</w:t>
            </w:r>
            <w:r w:rsidR="00184BC9" w:rsidRPr="00307818">
              <w:t xml:space="preserve">ējošā avota lietošanas jomu un </w:t>
            </w:r>
            <w:r w:rsidRPr="00307818">
              <w:t>veidu</w:t>
            </w:r>
            <w:r w:rsidR="00031C6D" w:rsidRPr="00307818">
              <w:t xml:space="preserve"> -</w:t>
            </w:r>
            <w:r w:rsidRPr="00307818">
              <w:t xml:space="preserve"> ja darbinieks </w:t>
            </w:r>
            <w:r w:rsidR="00733913" w:rsidRPr="00307818">
              <w:t>darbības ar jonizējošā starojuma avotu, kas nav saistītas ar medicīnisku apstarošanu, veic noteiktā telpā atbilstoši telpas plānam (montāžas plānam)</w:t>
            </w:r>
            <w:r w:rsidR="00733913" w:rsidRPr="00307818">
              <w:rPr>
                <w:rFonts w:ascii="TimesNewRomanPSMT" w:hAnsi="TimesNewRomanPSMT" w:cs="TimesNewRomanPSMT"/>
              </w:rPr>
              <w:t xml:space="preserve"> </w:t>
            </w:r>
            <w:r w:rsidR="001F4A5B" w:rsidRPr="00307818">
              <w:rPr>
                <w:rFonts w:ascii="TimesNewRomanPSMT" w:hAnsi="TimesNewRomanPSMT" w:cs="TimesNewRomanPSMT"/>
              </w:rPr>
              <w:t>(projekta 11.punkts)</w:t>
            </w:r>
            <w:r w:rsidR="001F4A5B" w:rsidRPr="00307818">
              <w:t>.</w:t>
            </w:r>
            <w:r w:rsidR="00031C6D" w:rsidRPr="00307818">
              <w:rPr>
                <w:rFonts w:ascii="TimesNewRomanPSMT" w:hAnsi="TimesNewRomanPSMT" w:cs="TimesNewRomanPSMT"/>
              </w:rPr>
              <w:t xml:space="preserve"> </w:t>
            </w:r>
            <w:r w:rsidR="00EA3438" w:rsidRPr="00307818">
              <w:rPr>
                <w:rFonts w:ascii="TimesNewRomanPSMT" w:hAnsi="TimesNewRomanPSMT" w:cs="TimesNewRomanPSMT"/>
              </w:rPr>
              <w:t>Š</w:t>
            </w:r>
            <w:r w:rsidR="00813ADF" w:rsidRPr="00307818">
              <w:rPr>
                <w:rFonts w:ascii="TimesNewRomanPSMT" w:hAnsi="TimesNewRomanPSMT" w:cs="TimesNewRomanPSMT"/>
              </w:rPr>
              <w:t xml:space="preserve">ie avoti tiek izmantoti konkrētā telpā un ir saskaņots telpas plāns, tādejādi ir nodrošināta </w:t>
            </w:r>
            <w:r w:rsidR="00EA3438" w:rsidRPr="00307818">
              <w:rPr>
                <w:rFonts w:ascii="TimesNewRomanPSMT" w:hAnsi="TimesNewRomanPSMT" w:cs="TimesNewRomanPSMT"/>
              </w:rPr>
              <w:t>speciāli papildus pasākumi</w:t>
            </w:r>
            <w:r w:rsidR="00813ADF" w:rsidRPr="00307818">
              <w:rPr>
                <w:rFonts w:ascii="TimesNewRomanPSMT" w:hAnsi="TimesNewRomanPSMT" w:cs="TimesNewRomanPSMT"/>
              </w:rPr>
              <w:t xml:space="preserve"> aizsardzība</w:t>
            </w:r>
            <w:r w:rsidR="00EA3438" w:rsidRPr="00307818">
              <w:rPr>
                <w:rFonts w:ascii="TimesNewRomanPSMT" w:hAnsi="TimesNewRomanPSMT" w:cs="TimesNewRomanPSMT"/>
              </w:rPr>
              <w:t>i pret jonizējošo starojumu</w:t>
            </w:r>
            <w:r w:rsidR="00813ADF" w:rsidRPr="00307818">
              <w:rPr>
                <w:rFonts w:ascii="TimesNewRomanPSMT" w:hAnsi="TimesNewRomanPSMT" w:cs="TimesNewRomanPSMT"/>
              </w:rPr>
              <w:t>. Attiecībā uz avotiem, kurus izmanto dažādās telpās</w:t>
            </w:r>
            <w:r w:rsidR="00733913" w:rsidRPr="00307818">
              <w:rPr>
                <w:rFonts w:ascii="TimesNewRomanPSMT" w:hAnsi="TimesNewRomanPSMT" w:cs="TimesNewRomanPSMT"/>
              </w:rPr>
              <w:t xml:space="preserve"> (bez telpas plāna)</w:t>
            </w:r>
            <w:r w:rsidR="00813ADF" w:rsidRPr="00307818">
              <w:rPr>
                <w:rFonts w:ascii="TimesNewRomanPSMT" w:hAnsi="TimesNewRomanPSMT" w:cs="TimesNewRomanPSMT"/>
              </w:rPr>
              <w:t xml:space="preserve">, ārpus ēkām un uzņēmumu teritorijas, šāda iespēja netiek noteikta, ievērojot,  </w:t>
            </w:r>
            <w:r w:rsidR="001F4A5B" w:rsidRPr="00307818">
              <w:rPr>
                <w:rFonts w:ascii="TimesNewRomanPSMT" w:hAnsi="TimesNewRomanPSMT" w:cs="TimesNewRomanPSMT"/>
              </w:rPr>
              <w:t xml:space="preserve">ka </w:t>
            </w:r>
            <w:r w:rsidR="00813ADF" w:rsidRPr="00307818">
              <w:t>š</w:t>
            </w:r>
            <w:r w:rsidR="001F4A5B" w:rsidRPr="00307818">
              <w:t>ādā</w:t>
            </w:r>
            <w:r w:rsidR="00813ADF" w:rsidRPr="00307818">
              <w:t xml:space="preserve"> situācija nav iespējams nodrošināt tādu </w:t>
            </w:r>
            <w:r w:rsidR="001F4A5B" w:rsidRPr="00307818">
              <w:t xml:space="preserve">pašu </w:t>
            </w:r>
            <w:r w:rsidR="00813ADF" w:rsidRPr="00307818">
              <w:t>aizsardzību pret jonizējošo starojumu, kā tas tiek nodrošināts, ja avots tiek lietots konkrētā telpā, nodrošinot speciālus pasākumus aizsardzībai pret jonizējošo starojumu.</w:t>
            </w:r>
          </w:p>
          <w:p w:rsidR="00EA3438" w:rsidRPr="00307818" w:rsidRDefault="00EA3438" w:rsidP="00EA3438">
            <w:pPr>
              <w:autoSpaceDE w:val="0"/>
              <w:autoSpaceDN w:val="0"/>
              <w:adjustRightInd w:val="0"/>
              <w:spacing w:after="120"/>
              <w:jc w:val="both"/>
              <w:rPr>
                <w:rFonts w:ascii="TimesNewRomanPSMT" w:hAnsi="TimesNewRomanPSMT" w:cs="TimesNewRomanPSMT"/>
              </w:rPr>
            </w:pPr>
            <w:r w:rsidRPr="00307818">
              <w:rPr>
                <w:rFonts w:ascii="TimesNewRomanPSMT" w:hAnsi="TimesNewRomanPSMT" w:cs="TimesNewRomanPSMT"/>
              </w:rPr>
              <w:t>Attiecībā uz darbībām, kuras saistītas ar medicīnisko apstarošanu, šāds nosacījums netiek noteikts, ievērojot, ka medicīniskās apstarošanas laikā jonizējošais starojums var ietekmēt plašāku loku cilvēku -  darbiniekus, pacientus, apmeklētājus un nodarbinātos, kuri atrodas ēkā, kur tiek veikta medicīniskā apstarošana.</w:t>
            </w:r>
          </w:p>
          <w:p w:rsidR="00BB43B9" w:rsidRPr="00307818" w:rsidRDefault="00184BC9" w:rsidP="00BB43B9">
            <w:pPr>
              <w:autoSpaceDE w:val="0"/>
              <w:autoSpaceDN w:val="0"/>
              <w:adjustRightInd w:val="0"/>
              <w:spacing w:after="120"/>
              <w:jc w:val="both"/>
            </w:pPr>
            <w:r w:rsidRPr="00307818">
              <w:t>Lai varētu izmantot iespēju</w:t>
            </w:r>
            <w:r w:rsidR="0014765A" w:rsidRPr="00307818">
              <w:t xml:space="preserve"> izvēlēties vienu no metodēm saņemtā apstarojuma novērtēšanai</w:t>
            </w:r>
            <w:r w:rsidRPr="00307818">
              <w:t>, operatoram ir jāiesniedz iesniegums VVD RDC un attiecīgi tiek pie</w:t>
            </w:r>
            <w:r w:rsidR="001F4A5B" w:rsidRPr="00307818">
              <w:t>ņemts lēmums (projekta 12.punkts).</w:t>
            </w:r>
            <w:r w:rsidRPr="00307818">
              <w:t xml:space="preserve"> </w:t>
            </w:r>
            <w:r w:rsidR="00031C6D" w:rsidRPr="00307818">
              <w:t>P</w:t>
            </w:r>
            <w:r w:rsidR="00031C6D" w:rsidRPr="00307818">
              <w:rPr>
                <w:rFonts w:ascii="TimesNewRomanPSMT" w:hAnsi="TimesNewRomanPSMT" w:cs="TimesNewRomanPSMT"/>
              </w:rPr>
              <w:t xml:space="preserve">irms metodes izvēles nepieciešams vismaz vienu gadu veikt individuālo dozimetriju, lai pārliecinātos par to, ka netiek pārsniegti B kategorijas darbiniekiem noteiktie limiti. </w:t>
            </w:r>
          </w:p>
          <w:p w:rsidR="00BB43B9" w:rsidRPr="00307818" w:rsidRDefault="00BB43B9" w:rsidP="00BB43B9">
            <w:pPr>
              <w:autoSpaceDE w:val="0"/>
              <w:autoSpaceDN w:val="0"/>
              <w:adjustRightInd w:val="0"/>
              <w:spacing w:after="120"/>
              <w:jc w:val="both"/>
            </w:pPr>
            <w:r w:rsidRPr="00307818">
              <w:t xml:space="preserve">Ja pirms </w:t>
            </w:r>
            <w:r w:rsidR="00031C6D" w:rsidRPr="00307818">
              <w:t>noteikumu projekta</w:t>
            </w:r>
            <w:r w:rsidRPr="00307818">
              <w:t xml:space="preserve"> spēkā stāšanās operators atbilstoši </w:t>
            </w:r>
            <w:r w:rsidR="00031C6D" w:rsidRPr="00307818">
              <w:t>MK</w:t>
            </w:r>
            <w:r w:rsidRPr="00307818">
              <w:t xml:space="preserve"> noteikumiem Nr.454 ir saskaņojis ar centru veikt B kategorijas darbinieka saņemto jonizējošā starojuma dozu novērtējumu, izmantojot darba vietas monitoringa rezultātus vai veicot darbinieku grupas individuālo dozimetriju, un vēlas turpināt izmantot šo metodi, tad operators ievēro </w:t>
            </w:r>
            <w:r w:rsidR="00523F71" w:rsidRPr="00307818">
              <w:t>projektā</w:t>
            </w:r>
            <w:r w:rsidRPr="00307818">
              <w:t xml:space="preserve"> noteiktos nosacījumus konkrētajai metodei un iesniegums </w:t>
            </w:r>
            <w:r w:rsidR="00523F71" w:rsidRPr="00307818">
              <w:t xml:space="preserve">VVD RDC </w:t>
            </w:r>
            <w:r w:rsidR="009B61C3" w:rsidRPr="00307818">
              <w:t>nav jāiesniedz</w:t>
            </w:r>
            <w:r w:rsidR="001F4A5B" w:rsidRPr="00307818">
              <w:t xml:space="preserve"> (projekta 54.punkts)</w:t>
            </w:r>
            <w:r w:rsidR="009B61C3" w:rsidRPr="00307818">
              <w:t>;</w:t>
            </w:r>
          </w:p>
          <w:p w:rsidR="001F4A5B" w:rsidRPr="00307818" w:rsidRDefault="001F4A5B" w:rsidP="001F4A5B">
            <w:pPr>
              <w:pStyle w:val="naisf"/>
              <w:spacing w:before="0" w:after="120"/>
              <w:ind w:firstLine="0"/>
            </w:pPr>
            <w:r w:rsidRPr="00307818">
              <w:t xml:space="preserve">4. prasības darba vietas monitoringam, kas ietver trīs līmeņus: pastāvīgais monitorings; operatīvais monitorings; īpašais monitorings (projekta III nodaļa). Projektā noteikti nosacījumi katram no darba vietas monitoringa līmeņiem, kā arī noteiktas prasības darba vietas monitoringa veicējiem un patstāvīgā monitoringa regularitātei, ievērojot jonizējošā starojuma avotu specifiku un bīstamību. </w:t>
            </w:r>
            <w:r w:rsidR="00733913" w:rsidRPr="00307818">
              <w:t xml:space="preserve">Darbībām ar jonizējošā starojuma avotiem, kuras tiek veiktas dažādās telpās bez noteikta telpas plāna (montāžas plāna), ārpus ēkām vai uzņēmuma teritorijas, </w:t>
            </w:r>
            <w:r w:rsidRPr="00307818">
              <w:t>darba monitoringa veikšanas regularitāte ir noteikta biežāka, ievērojot šo avotu lietošanas specifiku un bīstamību. Šie avoti tiek izmantoti ārpus noteiktas telpas un attiecīgi nav iespējams nodrošināt tādu pašu</w:t>
            </w:r>
            <w:r w:rsidRPr="00307818">
              <w:rPr>
                <w:color w:val="FF0000"/>
              </w:rPr>
              <w:t xml:space="preserve"> </w:t>
            </w:r>
            <w:r w:rsidRPr="00307818">
              <w:t>aizsardzība pret jonizējošo starojumu, kā tas tiek sasniegts, izmantojot avotu noteiktā telpā ar veiktiem aizsardzības pasākumiem. Šajā gadījumā netiek saskaņots konkrētas telpas plāns</w:t>
            </w:r>
            <w:r w:rsidR="00733913" w:rsidRPr="00307818">
              <w:t>;</w:t>
            </w:r>
            <w:r w:rsidRPr="00307818">
              <w:t xml:space="preserve"> </w:t>
            </w:r>
          </w:p>
          <w:p w:rsidR="007F6C9B" w:rsidRPr="00307818" w:rsidRDefault="00BB43B9" w:rsidP="003C7DE2">
            <w:pPr>
              <w:pStyle w:val="naisf"/>
              <w:spacing w:before="0" w:after="120"/>
              <w:ind w:firstLine="0"/>
              <w:rPr>
                <w:bCs/>
              </w:rPr>
            </w:pPr>
            <w:r w:rsidRPr="00307818">
              <w:t>5</w:t>
            </w:r>
            <w:r w:rsidR="007F6C9B" w:rsidRPr="00307818">
              <w:t xml:space="preserve">. darbinieku saņemtā apstarojuma uzskaiti </w:t>
            </w:r>
            <w:r w:rsidR="007F6C9B" w:rsidRPr="00307818">
              <w:rPr>
                <w:bCs/>
              </w:rPr>
              <w:t>radiācijas negadījuma vai radiācijas avārijas gadījumā;</w:t>
            </w:r>
          </w:p>
          <w:p w:rsidR="001F4A5B" w:rsidRPr="00307818" w:rsidRDefault="001F4A5B" w:rsidP="003C7DE2">
            <w:pPr>
              <w:pStyle w:val="naisf"/>
              <w:spacing w:before="0" w:after="120"/>
              <w:ind w:firstLine="0"/>
              <w:rPr>
                <w:bCs/>
              </w:rPr>
            </w:pPr>
            <w:r w:rsidRPr="00307818">
              <w:rPr>
                <w:bCs/>
              </w:rPr>
              <w:t>6. nosacījumus darbinieku saņemtā apstarojuma reģistrēšanai (projekta VI. nodaļa);</w:t>
            </w:r>
          </w:p>
          <w:p w:rsidR="007F6C9B" w:rsidRPr="00307818" w:rsidRDefault="001F4A5B" w:rsidP="003C7DE2">
            <w:pPr>
              <w:pStyle w:val="naisf"/>
              <w:spacing w:before="0" w:after="120"/>
              <w:ind w:firstLine="0"/>
              <w:rPr>
                <w:bCs/>
              </w:rPr>
            </w:pPr>
            <w:r w:rsidRPr="00307818">
              <w:rPr>
                <w:bCs/>
              </w:rPr>
              <w:t>7</w:t>
            </w:r>
            <w:r w:rsidR="007F6C9B" w:rsidRPr="00307818">
              <w:rPr>
                <w:bCs/>
              </w:rPr>
              <w:t xml:space="preserve">. darbinieku individuālās jonizējošā starojuma dozu uzskaites grāmatiņā iekļaujamo informāciju un atbildīgos </w:t>
            </w:r>
            <w:r w:rsidRPr="00307818">
              <w:rPr>
                <w:bCs/>
              </w:rPr>
              <w:t>par šīs informācijas iekļaušanu (projekta VII nodaļa)</w:t>
            </w:r>
            <w:r w:rsidR="007F6C9B" w:rsidRPr="00307818">
              <w:rPr>
                <w:bCs/>
              </w:rPr>
              <w:t xml:space="preserve"> VVD RDC nodrošina šo grāmatiņu izsniegšanu;</w:t>
            </w:r>
          </w:p>
          <w:p w:rsidR="007F6C9B" w:rsidRPr="00307818" w:rsidRDefault="001F4A5B" w:rsidP="00231D20">
            <w:pPr>
              <w:pStyle w:val="naisf"/>
              <w:spacing w:before="0" w:after="120"/>
              <w:ind w:firstLine="0"/>
            </w:pPr>
            <w:r w:rsidRPr="00307818">
              <w:rPr>
                <w:bCs/>
              </w:rPr>
              <w:t>8</w:t>
            </w:r>
            <w:r w:rsidR="007F6C9B" w:rsidRPr="00307818">
              <w:rPr>
                <w:bCs/>
              </w:rPr>
              <w:t xml:space="preserve">. VVD RDC </w:t>
            </w:r>
            <w:r w:rsidR="007F6C9B" w:rsidRPr="00307818">
              <w:t>datu bāzē par darbinieku apstarošanu iekļaujamo informāciju</w:t>
            </w:r>
            <w:r w:rsidR="00C6016B" w:rsidRPr="00307818">
              <w:t xml:space="preserve"> (projekta 2.pielikums)</w:t>
            </w:r>
            <w:r w:rsidR="007F6C9B" w:rsidRPr="00307818">
              <w:t>.</w:t>
            </w:r>
          </w:p>
        </w:tc>
      </w:tr>
      <w:tr w:rsidR="007F6C9B" w:rsidRPr="00307818" w:rsidTr="003C7DE2">
        <w:tc>
          <w:tcPr>
            <w:tcW w:w="2977" w:type="dxa"/>
          </w:tcPr>
          <w:p w:rsidR="007F6C9B" w:rsidRPr="00307818" w:rsidRDefault="007F6C9B" w:rsidP="00A773E6">
            <w:pPr>
              <w:pStyle w:val="Footer"/>
              <w:tabs>
                <w:tab w:val="clear" w:pos="4153"/>
                <w:tab w:val="clear" w:pos="8306"/>
              </w:tabs>
              <w:jc w:val="both"/>
              <w:rPr>
                <w:rFonts w:ascii="Times New Roman" w:hAnsi="Times New Roman"/>
                <w:sz w:val="24"/>
                <w:szCs w:val="24"/>
                <w:lang w:eastAsia="en-US"/>
              </w:rPr>
            </w:pPr>
            <w:r w:rsidRPr="00307818">
              <w:rPr>
                <w:rFonts w:ascii="Times New Roman" w:hAnsi="Times New Roman"/>
                <w:sz w:val="24"/>
                <w:szCs w:val="24"/>
                <w:lang w:eastAsia="en-US"/>
              </w:rPr>
              <w:t>5. Projekta izstrādē iesaistītās institūcijas</w:t>
            </w:r>
          </w:p>
        </w:tc>
        <w:tc>
          <w:tcPr>
            <w:tcW w:w="6379" w:type="dxa"/>
          </w:tcPr>
          <w:p w:rsidR="007F6C9B" w:rsidRPr="00307818" w:rsidRDefault="007F6C9B" w:rsidP="00523F71">
            <w:pPr>
              <w:spacing w:after="120"/>
              <w:jc w:val="both"/>
            </w:pPr>
            <w:r w:rsidRPr="00307818">
              <w:t>Ar vides ministra 2009.gada 5.augusta rīkojumu Nr.252 „Par darba grupas izveidošanu” tika izveidota darba grupa, lai izvērtētu un sagatavotu priekšlikumus radiācijas drošības regulējošo normatīvo aktu grozījumiem ar mērķi pilnveidot radiācijas drošības prasības un samazināt administratīvo slogu uzņēmējdarbībai. Darba grupā tika iekļauti pārstāvji no Vides ministrijas, Veselības ministrijas, Ekonomikas ministrijas, VVD RDC, Valsts sabiedrības ar ierobežotu atbildību „Latvijas Vides, ģeoloģijas un meteoroloģijas centrs”, Latvijas Universitātes, Rīgas Tehniskās universitātes, Latvijas Arodveselības un arodslimību ārstu biedrības, Latvijas Radiologu asociācijas, Latvijas Radiologu asistentu asociācijas un Latvijas Zobārstu asociācijas.</w:t>
            </w:r>
          </w:p>
          <w:p w:rsidR="007F6C9B" w:rsidRPr="00307818" w:rsidRDefault="007F6C9B" w:rsidP="00523F71">
            <w:pPr>
              <w:spacing w:after="120"/>
              <w:jc w:val="both"/>
            </w:pPr>
            <w:r w:rsidRPr="00307818">
              <w:t xml:space="preserve">Darba grupas ietvaros sākotnēji tika aktualizēti nosacījumi darbību ar jonizējošā starojuma licencēšanas kārtībā – tika izstrādāti un pieņemti Ministru kabineta 2011.gada 20.septembra noteikumi Nr.723 </w:t>
            </w:r>
            <w:r w:rsidR="00733913" w:rsidRPr="00307818">
              <w:t>„</w:t>
            </w:r>
            <w:r w:rsidRPr="00307818">
              <w:t>Darbību ar jonizējošā starojuma avotiem licencēšanas kārtība</w:t>
            </w:r>
            <w:r w:rsidR="00733913" w:rsidRPr="00307818">
              <w:t>”</w:t>
            </w:r>
            <w:r w:rsidRPr="00307818">
              <w:t xml:space="preserve">.  Paralēli norisinājās darbs pie MK noteikumu Nr.454 un MK </w:t>
            </w:r>
            <w:smartTag w:uri="schemas-tilde-lv/tildestengine" w:element="date">
              <w:smartTagPr>
                <w:attr w:name="Year" w:val="2002"/>
                <w:attr w:name="Month" w:val="3"/>
                <w:attr w:name="Day" w:val="5"/>
              </w:smartTagPr>
              <w:r w:rsidRPr="00307818">
                <w:t>2002.gada 5.marta</w:t>
              </w:r>
            </w:smartTag>
            <w:r w:rsidRPr="00307818">
              <w:t xml:space="preserve"> noteikumu Nr.97 „Noteikumi par aizsardzību pret jonizējošo starojumu medicīniskajā apstarošanā”  aktualizēšanas.</w:t>
            </w:r>
          </w:p>
          <w:p w:rsidR="007F6C9B" w:rsidRPr="00307818" w:rsidRDefault="007F6C9B" w:rsidP="00523F71">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 xml:space="preserve">Ievērojot, ka darba grupa izveidota 2009.gadā, tad darba grupas sastāvs tika atjaunots ar vides aizsardzības un reģionālās attīstības ministra 2011.gada 21.septembra rīkojumu Nr.414 „Par darba grupas izveidošanu”, vienlaicīgi iekļaujot </w:t>
            </w:r>
            <w:r w:rsidR="00874444" w:rsidRPr="00307818">
              <w:rPr>
                <w:rFonts w:ascii="Times New Roman" w:hAnsi="Times New Roman"/>
                <w:sz w:val="24"/>
                <w:szCs w:val="24"/>
                <w:lang w:eastAsia="en-US"/>
              </w:rPr>
              <w:t xml:space="preserve">Labklājības ministrijas pārstāvjus un </w:t>
            </w:r>
            <w:r w:rsidRPr="00307818">
              <w:rPr>
                <w:rFonts w:ascii="Times New Roman" w:hAnsi="Times New Roman"/>
                <w:sz w:val="24"/>
                <w:szCs w:val="24"/>
                <w:lang w:eastAsia="en-US"/>
              </w:rPr>
              <w:t>vairāk sabiedrisko organizāciju pārstāvju. Darba grupas ietvaros izstrādāts noteikumu projekts, kā arī paralēli norisinājās darbs pie MK noteikumu „Noteikumi par aizsardzību pret jonizējošo starojumu medicīniskajā apstarošanā”</w:t>
            </w:r>
            <w:r w:rsidRPr="00307818">
              <w:rPr>
                <w:rFonts w:ascii="Times New Roman" w:hAnsi="Times New Roman"/>
                <w:bCs/>
                <w:sz w:val="24"/>
                <w:szCs w:val="24"/>
                <w:lang w:eastAsia="en-US"/>
              </w:rPr>
              <w:t xml:space="preserve"> izstrādes un </w:t>
            </w:r>
            <w:r w:rsidRPr="00307818">
              <w:rPr>
                <w:rFonts w:ascii="Times New Roman" w:hAnsi="Times New Roman"/>
                <w:sz w:val="24"/>
                <w:szCs w:val="24"/>
                <w:lang w:eastAsia="en-US"/>
              </w:rPr>
              <w:t>nori</w:t>
            </w:r>
            <w:r w:rsidR="007F41F8" w:rsidRPr="00307818">
              <w:rPr>
                <w:rFonts w:ascii="Times New Roman" w:hAnsi="Times New Roman"/>
                <w:sz w:val="24"/>
                <w:szCs w:val="24"/>
                <w:lang w:eastAsia="en-US"/>
              </w:rPr>
              <w:t>tēja</w:t>
            </w:r>
            <w:r w:rsidRPr="00307818">
              <w:rPr>
                <w:rFonts w:ascii="Times New Roman" w:hAnsi="Times New Roman"/>
                <w:sz w:val="24"/>
                <w:szCs w:val="24"/>
                <w:lang w:eastAsia="en-US"/>
              </w:rPr>
              <w:t xml:space="preserve"> darbs pie likuma „Par radiācijas drošību un kodoldrošību” grozījumu izstrādes </w:t>
            </w:r>
            <w:r w:rsidR="007F41F8" w:rsidRPr="00307818">
              <w:rPr>
                <w:rFonts w:ascii="Times New Roman" w:hAnsi="Times New Roman"/>
                <w:sz w:val="24"/>
                <w:szCs w:val="24"/>
                <w:lang w:eastAsia="en-US"/>
              </w:rPr>
              <w:t xml:space="preserve">(projekts izsludināts Valsts sekretāru 2013.gada 7.februāra sanāksmē, VSS-105) </w:t>
            </w:r>
            <w:r w:rsidRPr="00307818">
              <w:rPr>
                <w:rFonts w:ascii="Times New Roman" w:hAnsi="Times New Roman"/>
                <w:sz w:val="24"/>
                <w:szCs w:val="24"/>
                <w:lang w:eastAsia="en-US"/>
              </w:rPr>
              <w:t>atbilstoši Ministru kabineta 2011.gada 20.septembra sēdes protokollēmuma „Noteikumu projekts "Darbību ar jonizējošā starojuma avotiem licencēšanas kārtība"” (prot.Nr.53 23.§) 2.punktam.</w:t>
            </w:r>
          </w:p>
          <w:p w:rsidR="0014765A" w:rsidRPr="00307818" w:rsidRDefault="007F6C9B" w:rsidP="0014765A">
            <w:pPr>
              <w:pStyle w:val="Footer"/>
              <w:tabs>
                <w:tab w:val="clear" w:pos="4153"/>
                <w:tab w:val="clear" w:pos="8306"/>
              </w:tabs>
              <w:spacing w:after="120"/>
              <w:jc w:val="both"/>
              <w:rPr>
                <w:rFonts w:ascii="Times New Roman" w:hAnsi="Times New Roman"/>
                <w:sz w:val="24"/>
                <w:szCs w:val="24"/>
              </w:rPr>
            </w:pPr>
            <w:r w:rsidRPr="00307818">
              <w:rPr>
                <w:rFonts w:ascii="Times New Roman" w:hAnsi="Times New Roman"/>
                <w:sz w:val="24"/>
                <w:szCs w:val="24"/>
                <w:lang w:eastAsia="en-US"/>
              </w:rPr>
              <w:t xml:space="preserve">Darba grupas ietvaros </w:t>
            </w:r>
            <w:r w:rsidR="00523F71" w:rsidRPr="00307818">
              <w:rPr>
                <w:rFonts w:ascii="Times New Roman" w:hAnsi="Times New Roman"/>
                <w:sz w:val="24"/>
                <w:szCs w:val="24"/>
                <w:lang w:eastAsia="en-US"/>
              </w:rPr>
              <w:t>daļēji</w:t>
            </w:r>
            <w:r w:rsidRPr="00307818">
              <w:rPr>
                <w:rFonts w:ascii="Times New Roman" w:hAnsi="Times New Roman"/>
                <w:sz w:val="24"/>
                <w:szCs w:val="24"/>
                <w:lang w:eastAsia="en-US"/>
              </w:rPr>
              <w:t xml:space="preserve"> panākta vienošanās par noteikumu projektu. Diskusijas ir par darba vietas monitoringa regularitāti attiecībā uz dažāda veida jonizējošā starojuma avotiem, kā arī par to, kuros gadījumos tiek dots saskaņojums </w:t>
            </w:r>
            <w:r w:rsidR="00523F71" w:rsidRPr="00307818">
              <w:rPr>
                <w:rFonts w:ascii="Times New Roman" w:hAnsi="Times New Roman"/>
                <w:sz w:val="24"/>
                <w:szCs w:val="24"/>
                <w:lang w:eastAsia="en-US"/>
              </w:rPr>
              <w:t xml:space="preserve">individuālās dozimetrijas vietā </w:t>
            </w:r>
            <w:r w:rsidRPr="00307818">
              <w:rPr>
                <w:rFonts w:ascii="Times New Roman" w:hAnsi="Times New Roman"/>
                <w:sz w:val="24"/>
                <w:szCs w:val="24"/>
                <w:lang w:eastAsia="en-US"/>
              </w:rPr>
              <w:t>B kategorijas darbiniek</w:t>
            </w:r>
            <w:r w:rsidR="00523F71" w:rsidRPr="00307818">
              <w:rPr>
                <w:rFonts w:ascii="Times New Roman" w:hAnsi="Times New Roman"/>
                <w:sz w:val="24"/>
                <w:szCs w:val="24"/>
                <w:lang w:eastAsia="en-US"/>
              </w:rPr>
              <w:t>iem</w:t>
            </w:r>
            <w:r w:rsidRPr="00307818">
              <w:rPr>
                <w:rFonts w:ascii="Times New Roman" w:hAnsi="Times New Roman"/>
                <w:sz w:val="24"/>
                <w:szCs w:val="24"/>
                <w:lang w:eastAsia="en-US"/>
              </w:rPr>
              <w:t xml:space="preserve"> izvēlēties darba vietas monitoringu vai grupas individuālo dozimetriju.</w:t>
            </w:r>
            <w:r w:rsidR="00523F71" w:rsidRPr="00307818">
              <w:rPr>
                <w:rFonts w:ascii="Times New Roman" w:hAnsi="Times New Roman"/>
                <w:sz w:val="24"/>
                <w:szCs w:val="24"/>
                <w:lang w:eastAsia="en-US"/>
              </w:rPr>
              <w:t xml:space="preserve"> Tāpat darba grupas ietvaros notika diskusijas par to, kādā veidā darbinieki tiek iedalīti A un B kategorijā </w:t>
            </w:r>
            <w:r w:rsidR="00523F71" w:rsidRPr="00307818">
              <w:rPr>
                <w:rFonts w:ascii="Times New Roman" w:hAnsi="Times New Roman"/>
                <w:sz w:val="24"/>
                <w:szCs w:val="24"/>
              </w:rPr>
              <w:t>atbilstoši MK 2002.gada 9.aprīļa noteikumiem Nr.149 „Noteikumi par aizsardz</w:t>
            </w:r>
            <w:r w:rsidR="004E6F73" w:rsidRPr="00307818">
              <w:rPr>
                <w:rFonts w:ascii="Times New Roman" w:hAnsi="Times New Roman"/>
                <w:sz w:val="24"/>
                <w:szCs w:val="24"/>
              </w:rPr>
              <w:t xml:space="preserve">ību pret jonizējošo starojumu”. </w:t>
            </w:r>
            <w:r w:rsidR="00523F71" w:rsidRPr="00307818">
              <w:rPr>
                <w:rFonts w:ascii="Times New Roman" w:hAnsi="Times New Roman"/>
                <w:sz w:val="24"/>
                <w:szCs w:val="24"/>
              </w:rPr>
              <w:t>Iedalīšanu veic darba vadītājs, ņemot vērā darba vietas monitoringu, TLD mērījumus un aprēķinus.</w:t>
            </w:r>
          </w:p>
        </w:tc>
      </w:tr>
      <w:tr w:rsidR="007F6C9B" w:rsidRPr="00307818" w:rsidTr="003C7DE2">
        <w:tc>
          <w:tcPr>
            <w:tcW w:w="2977" w:type="dxa"/>
          </w:tcPr>
          <w:p w:rsidR="007F6C9B" w:rsidRPr="00307818" w:rsidRDefault="007F6C9B" w:rsidP="003C7DE2">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6. Iemesli, kādēļ netika nodrošināta sabiedrības līdzdalība</w:t>
            </w:r>
          </w:p>
        </w:tc>
        <w:tc>
          <w:tcPr>
            <w:tcW w:w="6379" w:type="dxa"/>
          </w:tcPr>
          <w:p w:rsidR="007F6C9B" w:rsidRPr="00307818" w:rsidRDefault="007F6C9B" w:rsidP="003C7DE2">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Projekts šo jomu neskar</w:t>
            </w:r>
          </w:p>
        </w:tc>
      </w:tr>
      <w:tr w:rsidR="007F6C9B" w:rsidRPr="00307818" w:rsidTr="003C7DE2">
        <w:tc>
          <w:tcPr>
            <w:tcW w:w="2977" w:type="dxa"/>
          </w:tcPr>
          <w:p w:rsidR="007F6C9B" w:rsidRPr="00307818" w:rsidRDefault="007F6C9B" w:rsidP="003C7DE2">
            <w:pPr>
              <w:pStyle w:val="Footer"/>
              <w:tabs>
                <w:tab w:val="clear" w:pos="4153"/>
                <w:tab w:val="clear" w:pos="8306"/>
              </w:tabs>
              <w:spacing w:after="120"/>
              <w:rPr>
                <w:rFonts w:ascii="Times New Roman" w:hAnsi="Times New Roman"/>
                <w:sz w:val="24"/>
                <w:szCs w:val="24"/>
                <w:lang w:eastAsia="en-US"/>
              </w:rPr>
            </w:pPr>
            <w:r w:rsidRPr="00307818">
              <w:rPr>
                <w:rFonts w:ascii="Times New Roman" w:hAnsi="Times New Roman"/>
                <w:sz w:val="24"/>
                <w:szCs w:val="24"/>
                <w:lang w:eastAsia="en-US"/>
              </w:rPr>
              <w:t>7. Cita informācija</w:t>
            </w:r>
          </w:p>
        </w:tc>
        <w:tc>
          <w:tcPr>
            <w:tcW w:w="6379" w:type="dxa"/>
          </w:tcPr>
          <w:p w:rsidR="007F6C9B" w:rsidRPr="00307818" w:rsidRDefault="007F6C9B" w:rsidP="003C7DE2">
            <w:pPr>
              <w:spacing w:after="120"/>
            </w:pPr>
            <w:r w:rsidRPr="00307818">
              <w:t xml:space="preserve"> Nav</w:t>
            </w:r>
          </w:p>
        </w:tc>
      </w:tr>
      <w:tr w:rsidR="007F6C9B" w:rsidRPr="00307818" w:rsidTr="00E116C7">
        <w:tc>
          <w:tcPr>
            <w:tcW w:w="9356" w:type="dxa"/>
            <w:gridSpan w:val="2"/>
            <w:tcBorders>
              <w:bottom w:val="nil"/>
            </w:tcBorders>
          </w:tcPr>
          <w:p w:rsidR="007F6C9B" w:rsidRPr="00307818" w:rsidRDefault="007F6C9B" w:rsidP="003C7DE2">
            <w:pPr>
              <w:spacing w:after="120"/>
              <w:jc w:val="center"/>
              <w:rPr>
                <w:b/>
              </w:rPr>
            </w:pPr>
            <w:r w:rsidRPr="00307818">
              <w:br w:type="page"/>
            </w:r>
            <w:r w:rsidRPr="00307818">
              <w:br w:type="page"/>
            </w:r>
            <w:r w:rsidRPr="00307818">
              <w:rPr>
                <w:b/>
              </w:rPr>
              <w:t xml:space="preserve">II. </w:t>
            </w:r>
            <w:r w:rsidRPr="00307818">
              <w:rPr>
                <w:b/>
                <w:bCs/>
              </w:rPr>
              <w:t xml:space="preserve">Tiesību akta projekta ietekme uz sabiedrību </w:t>
            </w:r>
          </w:p>
        </w:tc>
      </w:tr>
      <w:tr w:rsidR="007F6C9B" w:rsidRPr="00307818" w:rsidTr="001104F4">
        <w:tc>
          <w:tcPr>
            <w:tcW w:w="2977" w:type="dxa"/>
            <w:tcBorders>
              <w:right w:val="single" w:sz="4" w:space="0" w:color="auto"/>
            </w:tcBorders>
          </w:tcPr>
          <w:p w:rsidR="007F6C9B" w:rsidRPr="00307818" w:rsidRDefault="007F6C9B" w:rsidP="003C7DE2">
            <w:pPr>
              <w:spacing w:after="120"/>
              <w:ind w:left="284" w:hanging="284"/>
              <w:jc w:val="both"/>
            </w:pPr>
            <w:r w:rsidRPr="00307818">
              <w:t xml:space="preserve">1. Sabiedrības mērķgrupa </w:t>
            </w:r>
          </w:p>
        </w:tc>
        <w:tc>
          <w:tcPr>
            <w:tcW w:w="6379" w:type="dxa"/>
            <w:tcBorders>
              <w:left w:val="single" w:sz="4" w:space="0" w:color="auto"/>
            </w:tcBorders>
          </w:tcPr>
          <w:p w:rsidR="007F6C9B" w:rsidRPr="00307818" w:rsidRDefault="007F6C9B" w:rsidP="003C7DE2">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 xml:space="preserve">Operatori (komersanti), kuri ir atbildīgi par darbībām ar jonizējošā starojuma avotiem; darbinieki, kuri veic darbības ar jonizējošā starojuma avotiem.  </w:t>
            </w:r>
          </w:p>
        </w:tc>
      </w:tr>
      <w:tr w:rsidR="007F6C9B" w:rsidRPr="00307818" w:rsidTr="001104F4">
        <w:tc>
          <w:tcPr>
            <w:tcW w:w="2977" w:type="dxa"/>
            <w:tcBorders>
              <w:right w:val="single" w:sz="4" w:space="0" w:color="auto"/>
            </w:tcBorders>
          </w:tcPr>
          <w:p w:rsidR="007F6C9B" w:rsidRPr="00307818" w:rsidRDefault="007F6C9B" w:rsidP="003C7DE2">
            <w:pPr>
              <w:spacing w:after="120"/>
              <w:jc w:val="both"/>
            </w:pPr>
            <w:r w:rsidRPr="00307818">
              <w:t>2. Citas sabiedrības grupas (bez mērķgrupas), kuras tiesiskais regulējums arī ietekmē vai varētu ietekmēt</w:t>
            </w:r>
          </w:p>
        </w:tc>
        <w:tc>
          <w:tcPr>
            <w:tcW w:w="6379" w:type="dxa"/>
            <w:tcBorders>
              <w:left w:val="single" w:sz="4" w:space="0" w:color="auto"/>
            </w:tcBorders>
          </w:tcPr>
          <w:p w:rsidR="007F6C9B" w:rsidRPr="00307818" w:rsidRDefault="001104F4" w:rsidP="005364D7">
            <w:pPr>
              <w:spacing w:after="120"/>
              <w:jc w:val="both"/>
            </w:pPr>
            <w:r w:rsidRPr="00307818">
              <w:t xml:space="preserve">Iedzīvotāji, kuri </w:t>
            </w:r>
            <w:r w:rsidR="005364D7" w:rsidRPr="00307818">
              <w:t>atrodas operatora kontrolētajā zonā, piemēram, pacienti un ārstniecības iestāžu, kur lieto jonizējošā starojuma avotus, apmeklētāji.</w:t>
            </w:r>
          </w:p>
        </w:tc>
      </w:tr>
      <w:tr w:rsidR="007F6C9B" w:rsidRPr="00307818" w:rsidTr="001104F4">
        <w:tc>
          <w:tcPr>
            <w:tcW w:w="2977" w:type="dxa"/>
          </w:tcPr>
          <w:p w:rsidR="007F6C9B" w:rsidRPr="00307818" w:rsidRDefault="007F6C9B" w:rsidP="003C7DE2">
            <w:pPr>
              <w:pStyle w:val="naiskr"/>
              <w:spacing w:before="0" w:after="120"/>
              <w:jc w:val="both"/>
            </w:pPr>
            <w:r w:rsidRPr="00307818">
              <w:t>3. Tiesiskā regulējuma finansiālā ietekme</w:t>
            </w:r>
          </w:p>
        </w:tc>
        <w:tc>
          <w:tcPr>
            <w:tcW w:w="6379" w:type="dxa"/>
          </w:tcPr>
          <w:p w:rsidR="007F6C9B" w:rsidRPr="00307818" w:rsidRDefault="007F6C9B" w:rsidP="001104F4">
            <w:pPr>
              <w:pStyle w:val="naiskr"/>
              <w:spacing w:before="0" w:after="120"/>
              <w:ind w:right="57"/>
              <w:jc w:val="both"/>
            </w:pPr>
            <w:r w:rsidRPr="00307818">
              <w:t xml:space="preserve">Ievērojot, ka projekts paredz B kategorijas darbinieku retāku </w:t>
            </w:r>
            <w:r w:rsidR="001104F4" w:rsidRPr="00307818">
              <w:t xml:space="preserve">TLD dozimetru nomaiņas </w:t>
            </w:r>
            <w:r w:rsidRPr="00307818">
              <w:t>regularitāti, tad operatoriem</w:t>
            </w:r>
            <w:r w:rsidR="001104F4" w:rsidRPr="00307818">
              <w:t>, pie kuriem strādā darbinieki,</w:t>
            </w:r>
            <w:r w:rsidRPr="00307818">
              <w:t xml:space="preserve"> samazināsies izmaksas </w:t>
            </w:r>
            <w:r w:rsidR="001104F4" w:rsidRPr="00307818">
              <w:t xml:space="preserve">individuālās </w:t>
            </w:r>
            <w:r w:rsidRPr="00307818">
              <w:t xml:space="preserve">dozimetrijas pakalpojumiem. </w:t>
            </w:r>
          </w:p>
        </w:tc>
      </w:tr>
      <w:tr w:rsidR="007F6C9B" w:rsidRPr="00307818" w:rsidTr="001104F4">
        <w:trPr>
          <w:trHeight w:val="174"/>
        </w:trPr>
        <w:tc>
          <w:tcPr>
            <w:tcW w:w="2977" w:type="dxa"/>
          </w:tcPr>
          <w:p w:rsidR="007F6C9B" w:rsidRPr="00307818" w:rsidRDefault="007F6C9B" w:rsidP="003C7DE2">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4. Tiesiskā regulējuma nefinansiālā ietekme</w:t>
            </w:r>
          </w:p>
        </w:tc>
        <w:tc>
          <w:tcPr>
            <w:tcW w:w="6379" w:type="dxa"/>
          </w:tcPr>
          <w:p w:rsidR="007F6C9B" w:rsidRPr="00307818" w:rsidRDefault="007F6C9B" w:rsidP="003C7DE2">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Noteikti nosacījumi darbinieku, kuri veic darbības ar jonizējošā starojuma avotiem, saņemtā apstarojuma kontrolei un uzskaitei.</w:t>
            </w:r>
          </w:p>
          <w:p w:rsidR="007F6C9B" w:rsidRPr="00307818" w:rsidRDefault="007F6C9B" w:rsidP="00523F71">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 xml:space="preserve">Projekts nosaka </w:t>
            </w:r>
            <w:r w:rsidR="00523F71" w:rsidRPr="00307818">
              <w:rPr>
                <w:rFonts w:ascii="Times New Roman" w:hAnsi="Times New Roman"/>
                <w:sz w:val="24"/>
                <w:szCs w:val="24"/>
                <w:lang w:eastAsia="en-US"/>
              </w:rPr>
              <w:t>detālākus</w:t>
            </w:r>
            <w:r w:rsidRPr="00307818">
              <w:rPr>
                <w:rFonts w:ascii="Times New Roman" w:hAnsi="Times New Roman"/>
                <w:sz w:val="24"/>
                <w:szCs w:val="24"/>
                <w:lang w:eastAsia="en-US"/>
              </w:rPr>
              <w:t xml:space="preserve"> nosacījumus </w:t>
            </w:r>
            <w:r w:rsidR="001104F4" w:rsidRPr="00307818">
              <w:rPr>
                <w:rFonts w:ascii="Times New Roman" w:hAnsi="Times New Roman"/>
                <w:sz w:val="24"/>
                <w:szCs w:val="24"/>
                <w:lang w:eastAsia="en-US"/>
              </w:rPr>
              <w:t xml:space="preserve">individuālās dozimetrijas un </w:t>
            </w:r>
            <w:r w:rsidRPr="00307818">
              <w:rPr>
                <w:rFonts w:ascii="Times New Roman" w:hAnsi="Times New Roman"/>
                <w:sz w:val="24"/>
                <w:szCs w:val="24"/>
                <w:lang w:eastAsia="en-US"/>
              </w:rPr>
              <w:t>dar</w:t>
            </w:r>
            <w:r w:rsidR="001104F4" w:rsidRPr="00307818">
              <w:rPr>
                <w:rFonts w:ascii="Times New Roman" w:hAnsi="Times New Roman"/>
                <w:sz w:val="24"/>
                <w:szCs w:val="24"/>
                <w:lang w:eastAsia="en-US"/>
              </w:rPr>
              <w:t>ba vietas monitoringa veikšanai.</w:t>
            </w:r>
          </w:p>
        </w:tc>
      </w:tr>
      <w:tr w:rsidR="007F6C9B" w:rsidRPr="00307818" w:rsidTr="001104F4">
        <w:tc>
          <w:tcPr>
            <w:tcW w:w="2977" w:type="dxa"/>
          </w:tcPr>
          <w:p w:rsidR="007F6C9B" w:rsidRPr="00307818" w:rsidRDefault="007F6C9B" w:rsidP="003C7DE2">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5. Administratīvās procedūras raksturojums</w:t>
            </w:r>
          </w:p>
        </w:tc>
        <w:tc>
          <w:tcPr>
            <w:tcW w:w="6379" w:type="dxa"/>
          </w:tcPr>
          <w:p w:rsidR="007F6C9B" w:rsidRPr="00307818" w:rsidRDefault="007F6C9B" w:rsidP="003C7DE2">
            <w:pPr>
              <w:pStyle w:val="naisf"/>
              <w:spacing w:before="0" w:after="120"/>
              <w:ind w:firstLine="0"/>
            </w:pPr>
            <w:r w:rsidRPr="00307818">
              <w:t xml:space="preserve">Projekts paredz, </w:t>
            </w:r>
            <w:r w:rsidR="00DE1B5F" w:rsidRPr="00307818">
              <w:t>ka VVD RDC izsniedz individuālo</w:t>
            </w:r>
            <w:r w:rsidRPr="00307818">
              <w:t xml:space="preserve"> jonizējošā starojuma dozu uzskaites grāmatiņu darbiniekam, kā arī uztur datu bāzi par darbinieku saņemto apstarojumu. </w:t>
            </w:r>
          </w:p>
          <w:p w:rsidR="007F6C9B" w:rsidRPr="00307818" w:rsidRDefault="007F6C9B" w:rsidP="003C7DE2">
            <w:pPr>
              <w:pStyle w:val="naisf"/>
              <w:spacing w:before="0" w:after="120"/>
              <w:ind w:firstLine="0"/>
            </w:pPr>
            <w:r w:rsidRPr="00307818">
              <w:t>LVĢMC atbilstoši likumam „Par radiācijas drošību un kodoldrošību” darbinieku apstarošanas uzskaitei nodrošina darbinieku individuālo dozu mērījumus. LVĢMC par maksu izsniedz TLD dozimetrus, kurus darbinieki izmanto veicot darbības ar jonizējošā starojuma avotiem, un pēc noteikumu projektā noteiktā laika perioda veic šo dozimetru nomaiņu. Informācija par darbinieku saņemtajām dozām tiek iekļauta individuālajās jonizējošā starojuma dozu uzskaites grāmatiņā, kā arī LVĢMC informē VVD RDC par šīm dozām. VVD RDC informāciju par saņemtajām dozām iekļauj datu bāzē.</w:t>
            </w:r>
          </w:p>
          <w:p w:rsidR="007F6C9B" w:rsidRPr="00307818" w:rsidRDefault="007F6C9B" w:rsidP="003C7DE2">
            <w:pPr>
              <w:pStyle w:val="naisf"/>
              <w:spacing w:before="0" w:after="120"/>
              <w:ind w:firstLine="0"/>
            </w:pPr>
            <w:r w:rsidRPr="00307818">
              <w:t>Savukārt ārstniecības personas, kura</w:t>
            </w:r>
            <w:r w:rsidR="00874444" w:rsidRPr="00307818">
              <w:t>s</w:t>
            </w:r>
            <w:r w:rsidRPr="00307818">
              <w:t xml:space="preserve"> nodrošina darbinieku obligātās veselības pārbaudi, pēc veselības pārbaužu veikšanas iekļauj uzskaites grāmatiņā informāciju par darbinieku veselības pārbaužu rezultātiem.</w:t>
            </w:r>
          </w:p>
        </w:tc>
      </w:tr>
      <w:tr w:rsidR="007F6C9B" w:rsidRPr="00307818" w:rsidTr="001104F4">
        <w:trPr>
          <w:trHeight w:val="612"/>
        </w:trPr>
        <w:tc>
          <w:tcPr>
            <w:tcW w:w="2977" w:type="dxa"/>
          </w:tcPr>
          <w:p w:rsidR="007F6C9B" w:rsidRPr="00307818" w:rsidRDefault="007F6C9B" w:rsidP="003C7DE2">
            <w:pPr>
              <w:pStyle w:val="naiskr"/>
              <w:spacing w:before="0" w:after="120"/>
              <w:jc w:val="both"/>
            </w:pPr>
            <w:r w:rsidRPr="00307818">
              <w:t>6. Administratīvo izmaksu monetārs novērtējums</w:t>
            </w:r>
          </w:p>
        </w:tc>
        <w:tc>
          <w:tcPr>
            <w:tcW w:w="6379" w:type="dxa"/>
          </w:tcPr>
          <w:p w:rsidR="007F6C9B" w:rsidRPr="00307818" w:rsidRDefault="007F6C9B" w:rsidP="003C7DE2">
            <w:pPr>
              <w:spacing w:after="120"/>
              <w:rPr>
                <w:szCs w:val="28"/>
              </w:rPr>
            </w:pPr>
            <w:r w:rsidRPr="00307818">
              <w:t>Projekts šo jomu neskar</w:t>
            </w:r>
          </w:p>
        </w:tc>
      </w:tr>
      <w:tr w:rsidR="007F6C9B" w:rsidRPr="00307818" w:rsidTr="001104F4">
        <w:tc>
          <w:tcPr>
            <w:tcW w:w="2977" w:type="dxa"/>
          </w:tcPr>
          <w:p w:rsidR="007F6C9B" w:rsidRPr="00307818" w:rsidRDefault="007F6C9B" w:rsidP="003C7DE2">
            <w:pPr>
              <w:pStyle w:val="naiskr"/>
              <w:spacing w:before="0" w:after="120"/>
            </w:pPr>
            <w:r w:rsidRPr="00307818">
              <w:t>7. Cita informācija</w:t>
            </w:r>
          </w:p>
        </w:tc>
        <w:tc>
          <w:tcPr>
            <w:tcW w:w="6379" w:type="dxa"/>
          </w:tcPr>
          <w:p w:rsidR="007F6C9B" w:rsidRPr="00307818" w:rsidRDefault="007F6C9B" w:rsidP="003C7DE2">
            <w:pPr>
              <w:spacing w:after="120"/>
              <w:rPr>
                <w:szCs w:val="28"/>
              </w:rPr>
            </w:pPr>
            <w:r w:rsidRPr="00307818">
              <w:rPr>
                <w:szCs w:val="28"/>
              </w:rPr>
              <w:t xml:space="preserve">Nav </w:t>
            </w:r>
          </w:p>
        </w:tc>
      </w:tr>
    </w:tbl>
    <w:p w:rsidR="007F6C9B" w:rsidRPr="00307818" w:rsidRDefault="007F6C9B" w:rsidP="00E116C7">
      <w:pPr>
        <w:pStyle w:val="naiskr"/>
        <w:spacing w:before="0" w:after="120"/>
        <w:ind w:left="104" w:right="57"/>
        <w:jc w:val="center"/>
        <w:rPr>
          <w:b/>
          <w:bCs/>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327"/>
        <w:gridCol w:w="6466"/>
      </w:tblGrid>
      <w:tr w:rsidR="007F6C9B" w:rsidRPr="00307818" w:rsidTr="00B67005">
        <w:trPr>
          <w:jc w:val="center"/>
        </w:trPr>
        <w:tc>
          <w:tcPr>
            <w:tcW w:w="9249" w:type="dxa"/>
            <w:gridSpan w:val="3"/>
          </w:tcPr>
          <w:p w:rsidR="007F6C9B" w:rsidRPr="00307818" w:rsidRDefault="007F6C9B">
            <w:pPr>
              <w:pStyle w:val="naisnod"/>
            </w:pPr>
            <w:r w:rsidRPr="00307818">
              <w:t>V. Tiesību akta projekta atbilstība Latvijas Republikas starptautiskajām saistībām</w:t>
            </w:r>
          </w:p>
        </w:tc>
      </w:tr>
      <w:tr w:rsidR="007F6C9B" w:rsidRPr="00307818" w:rsidTr="003C7DE2">
        <w:trPr>
          <w:jc w:val="center"/>
        </w:trPr>
        <w:tc>
          <w:tcPr>
            <w:tcW w:w="456" w:type="dxa"/>
          </w:tcPr>
          <w:p w:rsidR="007F6C9B" w:rsidRPr="00307818" w:rsidRDefault="007F6C9B" w:rsidP="00F201EE">
            <w:pPr>
              <w:jc w:val="center"/>
            </w:pPr>
            <w:r w:rsidRPr="00307818">
              <w:t>1.</w:t>
            </w:r>
          </w:p>
        </w:tc>
        <w:tc>
          <w:tcPr>
            <w:tcW w:w="2327" w:type="dxa"/>
          </w:tcPr>
          <w:p w:rsidR="007F6C9B" w:rsidRPr="00307818" w:rsidRDefault="007F6C9B">
            <w:pPr>
              <w:jc w:val="both"/>
            </w:pPr>
            <w:r w:rsidRPr="00307818">
              <w:t>Saistības pret Eiropas Savienību</w:t>
            </w:r>
          </w:p>
        </w:tc>
        <w:tc>
          <w:tcPr>
            <w:tcW w:w="6466" w:type="dxa"/>
          </w:tcPr>
          <w:p w:rsidR="007F6C9B" w:rsidRPr="00307818" w:rsidRDefault="007F6C9B">
            <w:pPr>
              <w:pStyle w:val="naisf"/>
              <w:spacing w:before="120" w:after="120"/>
              <w:ind w:firstLine="0"/>
            </w:pPr>
            <w:r w:rsidRPr="00307818">
              <w:t>Projektā iekļautas tiesību normas, kas izriet no:</w:t>
            </w:r>
          </w:p>
          <w:p w:rsidR="007F6C9B" w:rsidRPr="00307818" w:rsidRDefault="007F6C9B">
            <w:pPr>
              <w:spacing w:before="120" w:after="120"/>
              <w:jc w:val="both"/>
              <w:rPr>
                <w:bCs/>
              </w:rPr>
            </w:pPr>
            <w:r w:rsidRPr="00307818">
              <w:rPr>
                <w:bCs/>
              </w:rPr>
              <w:t xml:space="preserve">1) Padomes </w:t>
            </w:r>
            <w:r w:rsidRPr="00307818">
              <w:rPr>
                <w:rFonts w:eastAsia="EUAlbertina-Bold-Identity-H"/>
                <w:bCs/>
              </w:rPr>
              <w:t>1990.gada 4.decembra</w:t>
            </w:r>
            <w:r w:rsidRPr="00307818">
              <w:rPr>
                <w:bCs/>
              </w:rPr>
              <w:t xml:space="preserve"> direktīva </w:t>
            </w:r>
            <w:r w:rsidRPr="00307818">
              <w:rPr>
                <w:rFonts w:eastAsia="EUAlbertina-Regular-Identity-H"/>
              </w:rPr>
              <w:t>90/641/</w:t>
            </w:r>
            <w:r w:rsidRPr="00307818">
              <w:rPr>
                <w:rFonts w:eastAsia="EUAlbertina-Italic-Identity-H"/>
                <w:i/>
                <w:iCs/>
              </w:rPr>
              <w:t xml:space="preserve">Euratom </w:t>
            </w:r>
            <w:r w:rsidRPr="00307818">
              <w:rPr>
                <w:rFonts w:eastAsia="EUAlbertina-Bold-Identity-H"/>
                <w:bCs/>
              </w:rPr>
              <w:t>par to pie personāla nepiederošu darba ņēmēju darba aizsardzību, kuri, darbojoties kontrolētajās zonās, ir pakļauti jonizējošā starojuma riskam</w:t>
            </w:r>
          </w:p>
          <w:p w:rsidR="007F6C9B" w:rsidRPr="00307818" w:rsidRDefault="007F6C9B">
            <w:pPr>
              <w:spacing w:before="120" w:after="120"/>
              <w:jc w:val="both"/>
              <w:rPr>
                <w:bCs/>
              </w:rPr>
            </w:pPr>
            <w:r w:rsidRPr="00307818">
              <w:rPr>
                <w:bCs/>
              </w:rPr>
              <w:t>2) Padomes 1996.gada 13.maija Direktīvas 96/29/Euratom, kas nosaka drošības pamatstandartus darba ņēmēju un iedzīvotāju veselības aizsardzībai pret jonizējošā starojuma radītajām briesmām.</w:t>
            </w:r>
          </w:p>
        </w:tc>
      </w:tr>
      <w:tr w:rsidR="007F6C9B" w:rsidRPr="00307818" w:rsidTr="003C7DE2">
        <w:trPr>
          <w:jc w:val="center"/>
        </w:trPr>
        <w:tc>
          <w:tcPr>
            <w:tcW w:w="456" w:type="dxa"/>
          </w:tcPr>
          <w:p w:rsidR="007F6C9B" w:rsidRPr="00307818" w:rsidRDefault="007F6C9B" w:rsidP="00F201EE">
            <w:pPr>
              <w:pStyle w:val="naiskr"/>
              <w:jc w:val="center"/>
            </w:pPr>
            <w:r w:rsidRPr="00307818">
              <w:t>2.</w:t>
            </w:r>
          </w:p>
        </w:tc>
        <w:tc>
          <w:tcPr>
            <w:tcW w:w="2327" w:type="dxa"/>
          </w:tcPr>
          <w:p w:rsidR="007F6C9B" w:rsidRPr="00307818" w:rsidRDefault="007F6C9B">
            <w:pPr>
              <w:pStyle w:val="naiskr"/>
              <w:jc w:val="both"/>
            </w:pPr>
            <w:r w:rsidRPr="00307818">
              <w:t> Citas starptautiskās saistības</w:t>
            </w:r>
          </w:p>
        </w:tc>
        <w:tc>
          <w:tcPr>
            <w:tcW w:w="6466" w:type="dxa"/>
          </w:tcPr>
          <w:p w:rsidR="007F6C9B" w:rsidRPr="00307818" w:rsidRDefault="007F6C9B">
            <w:pPr>
              <w:spacing w:before="120" w:after="120"/>
              <w:jc w:val="both"/>
            </w:pPr>
            <w:r w:rsidRPr="00307818">
              <w:t>Projekts šo jomu neskar</w:t>
            </w:r>
          </w:p>
        </w:tc>
      </w:tr>
      <w:tr w:rsidR="007F6C9B" w:rsidRPr="00307818" w:rsidTr="003C7DE2">
        <w:trPr>
          <w:jc w:val="center"/>
        </w:trPr>
        <w:tc>
          <w:tcPr>
            <w:tcW w:w="456" w:type="dxa"/>
          </w:tcPr>
          <w:p w:rsidR="007F6C9B" w:rsidRPr="00307818" w:rsidRDefault="007F6C9B" w:rsidP="00F201EE">
            <w:pPr>
              <w:pStyle w:val="naiskr"/>
              <w:jc w:val="center"/>
            </w:pPr>
            <w:r w:rsidRPr="00307818">
              <w:t>3.</w:t>
            </w:r>
          </w:p>
        </w:tc>
        <w:tc>
          <w:tcPr>
            <w:tcW w:w="2327" w:type="dxa"/>
          </w:tcPr>
          <w:p w:rsidR="007F6C9B" w:rsidRPr="00307818" w:rsidRDefault="007F6C9B">
            <w:pPr>
              <w:pStyle w:val="naiskr"/>
            </w:pPr>
            <w:r w:rsidRPr="00307818">
              <w:t> Cita informācija</w:t>
            </w:r>
          </w:p>
        </w:tc>
        <w:tc>
          <w:tcPr>
            <w:tcW w:w="6466" w:type="dxa"/>
          </w:tcPr>
          <w:p w:rsidR="007F6C9B" w:rsidRPr="00307818" w:rsidRDefault="007F6C9B">
            <w:pPr>
              <w:pStyle w:val="naiskr"/>
            </w:pPr>
            <w:r w:rsidRPr="00307818">
              <w:t>Nav</w:t>
            </w:r>
          </w:p>
        </w:tc>
      </w:tr>
    </w:tbl>
    <w:p w:rsidR="007F6C9B" w:rsidRPr="00307818" w:rsidRDefault="007F6C9B" w:rsidP="00B67005">
      <w:pPr>
        <w:pStyle w:val="naisf"/>
      </w:pPr>
      <w:r w:rsidRPr="00307818">
        <w:t> </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2693"/>
        <w:gridCol w:w="2551"/>
        <w:gridCol w:w="1231"/>
      </w:tblGrid>
      <w:tr w:rsidR="005364D7" w:rsidRPr="00307818" w:rsidTr="005364D7">
        <w:trPr>
          <w:trHeight w:val="523"/>
          <w:jc w:val="center"/>
        </w:trPr>
        <w:tc>
          <w:tcPr>
            <w:tcW w:w="9268" w:type="dxa"/>
            <w:gridSpan w:val="4"/>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nod"/>
              <w:spacing w:before="0" w:after="120"/>
            </w:pPr>
            <w:r w:rsidRPr="00307818">
              <w:t> 1.tabula</w:t>
            </w:r>
          </w:p>
          <w:p w:rsidR="005364D7" w:rsidRPr="00307818" w:rsidRDefault="005364D7" w:rsidP="005364D7">
            <w:pPr>
              <w:pStyle w:val="naisnod"/>
              <w:spacing w:before="0" w:after="120"/>
            </w:pPr>
            <w:r w:rsidRPr="00307818">
              <w:t>Tiesību akta projekta atbilstība ES tiesību aktiem</w:t>
            </w:r>
          </w:p>
        </w:tc>
      </w:tr>
      <w:tr w:rsidR="005364D7" w:rsidRPr="00307818" w:rsidTr="005364D7">
        <w:trPr>
          <w:trHeight w:val="1252"/>
          <w:jc w:val="center"/>
        </w:trPr>
        <w:tc>
          <w:tcPr>
            <w:tcW w:w="2793"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c"/>
              <w:spacing w:before="0" w:after="120"/>
              <w:jc w:val="both"/>
            </w:pPr>
            <w:r w:rsidRPr="00307818">
              <w:t>Attiecīgā ES tiesību akta datums, numurs un nosaukums</w:t>
            </w:r>
          </w:p>
        </w:tc>
        <w:tc>
          <w:tcPr>
            <w:tcW w:w="6475" w:type="dxa"/>
            <w:gridSpan w:val="3"/>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spacing w:after="120"/>
              <w:jc w:val="both"/>
              <w:rPr>
                <w:rFonts w:eastAsia="EUAlbertina-Bold-Identity-H"/>
                <w:bCs/>
              </w:rPr>
            </w:pPr>
            <w:r w:rsidRPr="00307818">
              <w:rPr>
                <w:bCs/>
              </w:rPr>
              <w:t xml:space="preserve">1) Padomes </w:t>
            </w:r>
            <w:r w:rsidRPr="00307818">
              <w:rPr>
                <w:rFonts w:eastAsia="EUAlbertina-Bold-Identity-H"/>
                <w:bCs/>
              </w:rPr>
              <w:t>1990.gada 4.decembra</w:t>
            </w:r>
            <w:r w:rsidRPr="00307818">
              <w:rPr>
                <w:bCs/>
              </w:rPr>
              <w:t xml:space="preserve"> direktīva </w:t>
            </w:r>
            <w:r w:rsidRPr="00307818">
              <w:rPr>
                <w:rFonts w:eastAsia="EUAlbertina-Regular-Identity-H"/>
              </w:rPr>
              <w:t>90/641/</w:t>
            </w:r>
            <w:r w:rsidRPr="00307818">
              <w:rPr>
                <w:rFonts w:eastAsia="EUAlbertina-Italic-Identity-H"/>
                <w:i/>
                <w:iCs/>
              </w:rPr>
              <w:t xml:space="preserve">Euratom </w:t>
            </w:r>
            <w:r w:rsidRPr="00307818">
              <w:rPr>
                <w:rFonts w:eastAsia="EUAlbertina-Bold-Identity-H"/>
                <w:bCs/>
              </w:rPr>
              <w:t>par to pie personāla nepiederošu darba ņēmēju darba aizsardzību, kuri, darbojoties kontrolētajās zonās, ir pakļauti jonizējošā starojuma riskam</w:t>
            </w:r>
          </w:p>
          <w:p w:rsidR="005364D7" w:rsidRPr="00307818" w:rsidRDefault="005364D7" w:rsidP="005364D7">
            <w:pPr>
              <w:spacing w:after="120"/>
              <w:jc w:val="both"/>
              <w:rPr>
                <w:bCs/>
              </w:rPr>
            </w:pPr>
            <w:r w:rsidRPr="00307818">
              <w:rPr>
                <w:bCs/>
              </w:rPr>
              <w:t>2) Padomes 1996.gada 13.maija Direktīvas 96/29/Euratom, kas nosaka drošības pamatstandartus darba ņēmēju un iedzīvotāju veselības aizsardzībai pret jonizējošā starojuma radītajām briesmām.</w:t>
            </w:r>
          </w:p>
        </w:tc>
      </w:tr>
      <w:tr w:rsidR="005364D7"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c"/>
              <w:spacing w:before="0" w:after="120"/>
            </w:pPr>
            <w:r w:rsidRPr="00307818">
              <w:t> A</w:t>
            </w:r>
          </w:p>
        </w:tc>
        <w:tc>
          <w:tcPr>
            <w:tcW w:w="2693"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c"/>
              <w:spacing w:before="0" w:after="120"/>
            </w:pPr>
            <w:r w:rsidRPr="00307818">
              <w:t> B</w:t>
            </w:r>
          </w:p>
        </w:tc>
        <w:tc>
          <w:tcPr>
            <w:tcW w:w="2551"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c"/>
              <w:spacing w:before="0" w:after="120"/>
            </w:pPr>
            <w:r w:rsidRPr="00307818">
              <w:t> C</w:t>
            </w:r>
          </w:p>
        </w:tc>
        <w:tc>
          <w:tcPr>
            <w:tcW w:w="1231"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c"/>
              <w:spacing w:before="0" w:after="120"/>
            </w:pPr>
            <w:r w:rsidRPr="00307818">
              <w:t> D</w:t>
            </w:r>
          </w:p>
        </w:tc>
      </w:tr>
      <w:tr w:rsidR="005364D7"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5364D7" w:rsidRPr="00307818" w:rsidRDefault="005364D7" w:rsidP="008C608D">
            <w:pPr>
              <w:pStyle w:val="naisc"/>
              <w:spacing w:before="0" w:after="120"/>
            </w:pPr>
            <w:r w:rsidRPr="00307818">
              <w:t xml:space="preserve">Direktīvas 90/641/Euratom 2.pants, definīcija </w:t>
            </w:r>
            <w:r w:rsidRPr="00307818">
              <w:rPr>
                <w:rFonts w:eastAsia="EUAlbertina-Regular-Identity-H"/>
              </w:rPr>
              <w:t>“kontrolētā zona”</w:t>
            </w:r>
          </w:p>
        </w:tc>
        <w:tc>
          <w:tcPr>
            <w:tcW w:w="2693" w:type="dxa"/>
            <w:tcBorders>
              <w:top w:val="single" w:sz="4" w:space="0" w:color="auto"/>
              <w:left w:val="single" w:sz="4" w:space="0" w:color="auto"/>
              <w:bottom w:val="single" w:sz="4" w:space="0" w:color="auto"/>
              <w:right w:val="single" w:sz="4" w:space="0" w:color="auto"/>
            </w:tcBorders>
          </w:tcPr>
          <w:p w:rsidR="005364D7" w:rsidRPr="00307818" w:rsidRDefault="000D56F9" w:rsidP="009E6F77">
            <w:pPr>
              <w:jc w:val="center"/>
            </w:pPr>
            <w:r w:rsidRPr="00307818">
              <w:t>MK 2002.gada 9.aprīļa  noteikum</w:t>
            </w:r>
            <w:r w:rsidR="009E6F77" w:rsidRPr="00307818">
              <w:t>i</w:t>
            </w:r>
            <w:r w:rsidRPr="00307818">
              <w:t xml:space="preserve"> Nr.149 „Noteikumi par aizsardzību pret jonizējošo starojumu” (turpmāk – MK noteikumi Nr.149) </w:t>
            </w:r>
          </w:p>
        </w:tc>
        <w:tc>
          <w:tcPr>
            <w:tcW w:w="2551" w:type="dxa"/>
            <w:tcBorders>
              <w:top w:val="single" w:sz="4" w:space="0" w:color="auto"/>
              <w:left w:val="single" w:sz="4" w:space="0" w:color="auto"/>
              <w:bottom w:val="single" w:sz="4" w:space="0" w:color="auto"/>
              <w:right w:val="single" w:sz="4" w:space="0" w:color="auto"/>
            </w:tcBorders>
          </w:tcPr>
          <w:p w:rsidR="005364D7" w:rsidRPr="00307818" w:rsidRDefault="00557B1A" w:rsidP="005364D7">
            <w:pPr>
              <w:pStyle w:val="naisc"/>
              <w:spacing w:before="0" w:after="120"/>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5364D7" w:rsidRPr="00307818" w:rsidRDefault="005364D7" w:rsidP="005364D7">
            <w:pPr>
              <w:jc w:val="center"/>
            </w:pPr>
            <w:r w:rsidRPr="00307818">
              <w:t>Neparedz stingrākas prasības</w:t>
            </w:r>
          </w:p>
        </w:tc>
      </w:tr>
      <w:tr w:rsidR="005364D7"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5364D7" w:rsidRPr="00307818" w:rsidRDefault="005364D7" w:rsidP="005364D7">
            <w:pPr>
              <w:jc w:val="center"/>
            </w:pPr>
            <w:r w:rsidRPr="00307818">
              <w:t xml:space="preserve">Direktīvas 90/641/Euratom 2.pants, definīcija </w:t>
            </w:r>
            <w:r w:rsidRPr="00307818">
              <w:rPr>
                <w:rFonts w:eastAsia="EUAlbertina-Regular-Identity-H"/>
              </w:rPr>
              <w:t>“uzņēmējs”</w:t>
            </w:r>
          </w:p>
        </w:tc>
        <w:tc>
          <w:tcPr>
            <w:tcW w:w="2693" w:type="dxa"/>
            <w:tcBorders>
              <w:top w:val="single" w:sz="4" w:space="0" w:color="auto"/>
              <w:left w:val="single" w:sz="4" w:space="0" w:color="auto"/>
              <w:bottom w:val="single" w:sz="4" w:space="0" w:color="auto"/>
              <w:right w:val="single" w:sz="4" w:space="0" w:color="auto"/>
            </w:tcBorders>
          </w:tcPr>
          <w:p w:rsidR="005364D7" w:rsidRPr="00307818" w:rsidRDefault="005364D7" w:rsidP="005364D7">
            <w:pPr>
              <w:jc w:val="center"/>
            </w:pPr>
            <w:r w:rsidRPr="00307818">
              <w:t>Likums „Par radiācijas drošību un kodoldrošību”</w:t>
            </w:r>
          </w:p>
        </w:tc>
        <w:tc>
          <w:tcPr>
            <w:tcW w:w="2551" w:type="dxa"/>
            <w:tcBorders>
              <w:top w:val="single" w:sz="4" w:space="0" w:color="auto"/>
              <w:left w:val="single" w:sz="4" w:space="0" w:color="auto"/>
              <w:bottom w:val="single" w:sz="4" w:space="0" w:color="auto"/>
              <w:right w:val="single" w:sz="4" w:space="0" w:color="auto"/>
            </w:tcBorders>
          </w:tcPr>
          <w:p w:rsidR="005364D7" w:rsidRPr="00307818" w:rsidRDefault="005364D7" w:rsidP="005364D7">
            <w:pPr>
              <w:pStyle w:val="naisc"/>
              <w:spacing w:before="0" w:after="120"/>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5364D7" w:rsidRPr="00307818" w:rsidRDefault="005364D7"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 xml:space="preserve">Direktīvas 90/641/Euratom 2.pants, definīcija </w:t>
            </w:r>
            <w:r w:rsidRPr="00307818">
              <w:rPr>
                <w:rFonts w:eastAsia="EUAlbertina-Regular-Identity-H"/>
              </w:rPr>
              <w:t>“ārējais uzņēmums”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 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 xml:space="preserve">Direktīvas 90/641/Euratom 2.pants, definīcija </w:t>
            </w:r>
            <w:r w:rsidRPr="00307818">
              <w:rPr>
                <w:rFonts w:eastAsia="EUAlbertina-Regular-Identity-H"/>
              </w:rPr>
              <w:t>“pie personāla nepiederošs darba ņēmējs”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0D56F9">
            <w:pPr>
              <w:jc w:val="center"/>
            </w:pPr>
            <w:r w:rsidRPr="00307818">
              <w:t>Noteikumu projekta 2.punkts, likums „Par radiācijas drošību un kodoldrošību”</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 xml:space="preserve">Direktīvas 90/641/Euratom 2.pants, definīcija </w:t>
            </w:r>
            <w:r w:rsidRPr="00307818">
              <w:rPr>
                <w:rFonts w:eastAsia="EUAlbertina-Regular-Identity-H"/>
              </w:rPr>
              <w:t>“radioloģiskās pārraudzības sistēma”</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 VI. un VII. nodaļa</w:t>
            </w:r>
            <w:r w:rsidR="003A0027" w:rsidRPr="00307818">
              <w:t>, 2.pielikums</w:t>
            </w:r>
          </w:p>
          <w:p w:rsidR="003A0027" w:rsidRPr="00307818" w:rsidRDefault="003A0027" w:rsidP="003A0027">
            <w:pPr>
              <w:jc w:val="both"/>
            </w:pPr>
            <w:r w:rsidRPr="00307818">
              <w:t>Likums „Par radiācijas drošību un kodoldrošību” un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 xml:space="preserve">Direktīvas 90/641/Euratom 2.pants, definīcija </w:t>
            </w:r>
            <w:r w:rsidRPr="00307818">
              <w:rPr>
                <w:rFonts w:eastAsia="EUAlbertina-Regular-Identity-H"/>
              </w:rPr>
              <w:t>“darba ņēmēja veiktās darbības”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 2.punkts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pStyle w:val="naisc"/>
              <w:spacing w:before="0" w:after="120"/>
            </w:pPr>
            <w:r w:rsidRPr="00307818">
              <w:t xml:space="preserve">Direktīvas 90/641/Euratom 3.pants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0D56F9">
            <w:pPr>
              <w:jc w:val="center"/>
            </w:pPr>
            <w:r w:rsidRPr="00307818">
              <w:t>Likums „Par radiācijas drošību un kodoldrošību” un MK 2011.gada 20.septembra noteikumi Nr.723 „Darbību ar jonizējošā starojuma avotiem licencēšanas kārtība” (turpmāk – MK noteikumi Nr.723)</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 xml:space="preserve">Direktīvas 90/641/Euratom 4.panta 1.punkts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0D56F9">
            <w:pPr>
              <w:jc w:val="center"/>
            </w:pPr>
            <w:r w:rsidRPr="00307818">
              <w:t>Likums „Par radiācijas drošību un kodoldrošību”, noteikumu projekta 2.punkts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4.panta 2.punkta a)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744BC1">
            <w:pPr>
              <w:jc w:val="center"/>
            </w:pPr>
            <w:r w:rsidRPr="00307818">
              <w:t>Likums „Par radiācijas drošību un kodoldrošību”, noteikumu projekta VII. nodaļa</w:t>
            </w:r>
            <w:r w:rsidR="00C573BC" w:rsidRPr="00307818">
              <w:t>, 2.pielikums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4.panta 2.punkta b)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 VII. nodaļa</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5.panta a)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Likums „Par radiācijas drošību un kodoldrošību”</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5.panta b)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Likums „Par radiācijas drošību un kodoldrošību”, MK noteikumi Nr.723</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5.panta c)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744BC1">
            <w:pPr>
              <w:jc w:val="center"/>
            </w:pPr>
            <w:r w:rsidRPr="00307818">
              <w:t>Likums „Par radiācijas drošību un kodoldrošību”, noteikumu projekta 3.punkts, V. nodaļa, 42.punkts,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5.panta d)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Likums „Par radiācijas drošību un kodoldrošību”, noteikumu projekta 4.punkts, 38.4.apakšpunkts, VI. un VII.</w:t>
            </w:r>
            <w:r w:rsidR="00733913" w:rsidRPr="00307818">
              <w:t xml:space="preserve"> </w:t>
            </w:r>
            <w:r w:rsidRPr="00307818">
              <w:t>nodaļa</w:t>
            </w:r>
            <w:r w:rsidR="00C573BC" w:rsidRPr="00307818">
              <w:t>, 2.pielikums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1.punkts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 xml:space="preserve">Likums „Par radiācijas drošību un kodoldrošību”, MK noteikumi Nr.149 </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2.punkta a)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Likums „Par radiācijas drošību un kodoldrošību”,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2.punkta b)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Likums „Par radiācijas drošību un kodoldrošību”, MK noteikumi Nr.149, MK noteikumi Nr.723</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2.punkta c)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Likums „Par radiācijas drošību un kodoldrošību”</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2.punkta d)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Likums „Par radiācijas drošību un kodoldrošību”, noteikumu projekta 3., 5., 7., 8., 9. un 10.punkts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2.punkta e)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Likums „Par radiācijas drošību un kodoldrošību”,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6.panta 2.punkta f)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D02AE8" w:rsidRPr="00307818">
              <w:t xml:space="preserve"> 43. un 44.punkts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 xml:space="preserve">Direktīvas 90/641/Euratom 7.pants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D02AE8" w:rsidP="005364D7">
            <w:pPr>
              <w:jc w:val="center"/>
            </w:pPr>
            <w:r w:rsidRPr="00307818">
              <w:t>Likums „Par radiācijas drošību un kodoldrošību”, MK noteikumi Nr.149, noteikumu projekta 15.punkts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 xml:space="preserve">Direktīvas 90/641/Euratom I. pielikuma I. daļas 1. un 3.punkts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D02AE8" w:rsidRPr="00307818">
              <w:t xml:space="preserve"> VII. nodaļa, 41.1.apakšpunkts</w:t>
            </w:r>
            <w:r w:rsidR="00C573BC" w:rsidRPr="00307818">
              <w:t>, 2.pielikums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I. pielikuma II. daļa</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D02AE8" w:rsidP="00D02AE8">
            <w:pPr>
              <w:jc w:val="center"/>
            </w:pPr>
            <w:r w:rsidRPr="00307818">
              <w:t>Noteikumu projekta 41., 42., 43., 44.punkts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I. pielikuma III. daļa</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D02AE8">
            <w:pPr>
              <w:jc w:val="center"/>
            </w:pPr>
            <w:r w:rsidRPr="00307818">
              <w:t>Noteikumu projekta</w:t>
            </w:r>
            <w:r w:rsidR="00D02AE8" w:rsidRPr="00307818">
              <w:t xml:space="preserve"> 44.punkts</w:t>
            </w:r>
            <w:r w:rsidR="00C573BC" w:rsidRPr="00307818">
              <w:t>, 2.pielikums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II. pielikuma 1.punkts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D02AE8">
            <w:pPr>
              <w:jc w:val="center"/>
            </w:pPr>
            <w:r w:rsidRPr="00307818">
              <w:t>Noteikumu projekta</w:t>
            </w:r>
            <w:r w:rsidR="00D02AE8" w:rsidRPr="00307818">
              <w:t xml:space="preserve"> 36.1.apakšpunkts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90/641/Euratom II. pielikuma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8C608D" w:rsidRPr="00307818">
              <w:t xml:space="preserve"> 40.3.apakšpunkts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96/29/Euratom 1.panta definīcija „</w:t>
            </w:r>
            <w:r w:rsidRPr="00307818">
              <w:rPr>
                <w:rFonts w:eastAsia="EUAlbertina-Italic-Identity-H"/>
                <w:iCs/>
              </w:rPr>
              <w:t>Apstiprināts devimetriskais dienests”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576BCA" w:rsidP="00A241AB">
            <w:pPr>
              <w:jc w:val="center"/>
            </w:pPr>
            <w:r w:rsidRPr="00307818">
              <w:t>Likums „Par radiācijas drošību un kodoldrošību”, noteikumu projekta 7.</w:t>
            </w:r>
            <w:r w:rsidR="00A241AB" w:rsidRPr="00307818">
              <w:t xml:space="preserve">, </w:t>
            </w:r>
            <w:r w:rsidRPr="00307818">
              <w:t xml:space="preserve"> 8.</w:t>
            </w:r>
            <w:r w:rsidR="00A241AB" w:rsidRPr="00307818">
              <w:t xml:space="preserve"> un 33.</w:t>
            </w:r>
            <w:r w:rsidRPr="00307818">
              <w:t>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p w:rsidR="001F4A5B" w:rsidRPr="00307818" w:rsidRDefault="001F4A5B" w:rsidP="001F4A5B">
            <w:pPr>
              <w:pStyle w:val="naisc"/>
              <w:spacing w:before="0" w:after="120"/>
              <w:jc w:val="both"/>
              <w:rPr>
                <w:rFonts w:eastAsia="EUAlbertina-Italic-Identity-H"/>
                <w:iCs/>
                <w:sz w:val="20"/>
                <w:szCs w:val="20"/>
              </w:rPr>
            </w:pPr>
            <w:r w:rsidRPr="00307818">
              <w:rPr>
                <w:rFonts w:eastAsia="EUAlbertina-Italic-Identity-H"/>
                <w:iCs/>
                <w:sz w:val="20"/>
                <w:szCs w:val="20"/>
              </w:rPr>
              <w:t>Latvijā šim dienestam paredzētos uzdevumus nodrošina dažādas institūcijas un attiecīgi nav iespējams vienā terminā to izskaidrot:</w:t>
            </w:r>
          </w:p>
          <w:p w:rsidR="001F4A5B" w:rsidRPr="00307818" w:rsidRDefault="001F4A5B" w:rsidP="001F4A5B">
            <w:pPr>
              <w:pStyle w:val="naisc"/>
              <w:spacing w:before="0" w:after="120"/>
              <w:jc w:val="both"/>
              <w:rPr>
                <w:rFonts w:eastAsia="EUAlbertina-Italic-Identity-H"/>
                <w:iCs/>
                <w:sz w:val="20"/>
                <w:szCs w:val="20"/>
              </w:rPr>
            </w:pPr>
            <w:r w:rsidRPr="00307818">
              <w:rPr>
                <w:rFonts w:eastAsia="EUAlbertina-Italic-Identity-H"/>
                <w:b/>
                <w:iCs/>
                <w:sz w:val="20"/>
                <w:szCs w:val="20"/>
              </w:rPr>
              <w:t>a)</w:t>
            </w:r>
            <w:r w:rsidRPr="00307818">
              <w:rPr>
                <w:sz w:val="20"/>
                <w:szCs w:val="20"/>
              </w:rPr>
              <w:t xml:space="preserve"> individuālo termoluminiscences dozimetrus (TLD) darbiniekiem izsniedz un rezultātus nolasa VSIA „Latvijas Vides, ģeoloģijas un meteoroloģijas centrs" atbilstoši likumam „Par radiācijas drošību un kodoldrošību”. Savukārt  EPD dozimetrus iegādājas pats operators un individuālās dozimetrijas mērījumu veikšanas nosacījumus operators iekļauj radiācijas drošības un kodoldrošības kvalitātes nodrošināšanas programmā, ievērojot EPD dozimetru ražotāja noteiktās prasības. EPD dozimetru rezultātu nolasīšanu nodrošina operators atbilstoši kvalitātes nodrošināšanas programmā noteiktajam.</w:t>
            </w:r>
          </w:p>
          <w:p w:rsidR="001F4A5B" w:rsidRPr="00307818" w:rsidRDefault="001F4A5B" w:rsidP="001F4A5B">
            <w:pPr>
              <w:pStyle w:val="naisc"/>
              <w:spacing w:before="0" w:after="120"/>
              <w:jc w:val="both"/>
              <w:rPr>
                <w:sz w:val="20"/>
                <w:szCs w:val="20"/>
              </w:rPr>
            </w:pPr>
            <w:r w:rsidRPr="00307818">
              <w:rPr>
                <w:rFonts w:eastAsia="EUAlbertina-Italic-Identity-H"/>
                <w:b/>
                <w:iCs/>
                <w:sz w:val="20"/>
                <w:szCs w:val="20"/>
              </w:rPr>
              <w:t>b)</w:t>
            </w:r>
            <w:r w:rsidRPr="00307818">
              <w:rPr>
                <w:rFonts w:eastAsia="EUAlbertina-Italic-Identity-H"/>
                <w:iCs/>
                <w:sz w:val="20"/>
                <w:szCs w:val="20"/>
              </w:rPr>
              <w:t xml:space="preserve"> Individuālos dozimetrus un to rezultātu nolasīšanas iekārtas kalibrē institūcijas, kuras ir </w:t>
            </w:r>
            <w:r w:rsidRPr="00307818">
              <w:rPr>
                <w:sz w:val="20"/>
                <w:szCs w:val="20"/>
              </w:rPr>
              <w:t xml:space="preserve"> akreditētas sabiedrībā ar ierobežotu atbildību "Standartizācijas, akreditācijas un metroloģijas centrs" Latvijas Nacionālajā akreditācijas birojā vai citā Eiropas Savienības dalībvalsts akreditācijas institūcijā atbilstoši standartā LVS EN ISO/IEC 17025:2005 „Testēšanas un kalibrēšanas laboratoriju kompetences vispārīgās prasības” noteiktajām prasībām;</w:t>
            </w:r>
          </w:p>
          <w:p w:rsidR="00A241AB" w:rsidRPr="00307818" w:rsidRDefault="001F4A5B" w:rsidP="001F4A5B">
            <w:pPr>
              <w:jc w:val="both"/>
            </w:pPr>
            <w:r w:rsidRPr="00307818">
              <w:rPr>
                <w:rFonts w:eastAsia="EUAlbertina-Italic-Identity-H"/>
                <w:b/>
                <w:iCs/>
                <w:sz w:val="20"/>
                <w:szCs w:val="20"/>
              </w:rPr>
              <w:t>c)</w:t>
            </w:r>
            <w:r w:rsidRPr="00307818">
              <w:rPr>
                <w:rFonts w:eastAsia="EUAlbertina-Italic-Identity-H"/>
                <w:iCs/>
                <w:sz w:val="20"/>
                <w:szCs w:val="20"/>
              </w:rPr>
              <w:t xml:space="preserve"> Operators ir atbildīgs par to, lai individuālais monitorings tiktu nodrošināts. Savukārt noteikumu projekta 33.punkts paredz, ka d</w:t>
            </w:r>
            <w:r w:rsidRPr="00307818">
              <w:rPr>
                <w:sz w:val="20"/>
                <w:szCs w:val="20"/>
              </w:rPr>
              <w:t>arbu vadītājs, pamatojoties uz individuālā monitoringa rezultātiem, reizi gadā vai pēc noteiktu ar jonizējošā starojuma avotiem saistītu darbu izpildes, pēc radiācijas negadījuma vai radiācijas avārijas, kā arī pēc tam, kad darbinieks ir beidzis darbību operatora kontrolētajā zonā, novērtē darbinieka saņemtās jonizējošā starojuma dozas.</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96/29/Euratom 17.panta d)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8C608D">
            <w:pPr>
              <w:jc w:val="center"/>
            </w:pPr>
            <w:r w:rsidRPr="00307818">
              <w:t xml:space="preserve">Noteikumu projekta </w:t>
            </w:r>
            <w:r w:rsidR="008C608D" w:rsidRPr="00307818">
              <w:t>3.2.apakš</w:t>
            </w:r>
            <w:r w:rsidRPr="00307818">
              <w:t xml:space="preserve">punkts, </w:t>
            </w:r>
            <w:r w:rsidR="008C608D" w:rsidRPr="00307818">
              <w:t xml:space="preserve">9., 17. un 26.punkts, </w:t>
            </w:r>
            <w:r w:rsidRPr="00307818">
              <w:t>likums „Par radiācijas drošību un kodoldrošību”,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96/29/Euratom 19.panta b)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8C608D">
            <w:pPr>
              <w:jc w:val="center"/>
            </w:pPr>
            <w:r w:rsidRPr="00307818">
              <w:t xml:space="preserve">Noteikumu projekta </w:t>
            </w:r>
            <w:r w:rsidR="008C608D" w:rsidRPr="00307818">
              <w:t>3., 9., 17. un 28.punkts,</w:t>
            </w:r>
            <w:r w:rsidRPr="00307818">
              <w:t xml:space="preserve">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spacing w:after="120"/>
              <w:jc w:val="center"/>
            </w:pPr>
            <w:r w:rsidRPr="00307818">
              <w:t>Direktīvas 96/29/Euratom 20.panta 1.punkta a) apakšpunkts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C573BC">
            <w:pPr>
              <w:jc w:val="center"/>
            </w:pPr>
            <w:r w:rsidRPr="00307818">
              <w:t xml:space="preserve">Noteikumu projekta </w:t>
            </w:r>
            <w:r w:rsidR="008C608D" w:rsidRPr="00307818">
              <w:t>3., 17. un 28.</w:t>
            </w:r>
            <w:r w:rsidRPr="00307818">
              <w:t>punkts un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573BC" w:rsidRPr="00307818" w:rsidRDefault="00CC3BD2" w:rsidP="00C573BC">
            <w:pPr>
              <w:jc w:val="center"/>
            </w:pPr>
            <w:r w:rsidRPr="00307818">
              <w:t>Direktīvas 96/29/Euratom 24.panta 1.punkt</w:t>
            </w:r>
            <w:r w:rsidR="00C573BC" w:rsidRPr="00307818">
              <w:t>s</w:t>
            </w:r>
            <w:r w:rsidRPr="00307818">
              <w:t xml:space="preserve">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p>
          <w:p w:rsidR="00CC3BD2" w:rsidRPr="00307818" w:rsidRDefault="008C608D" w:rsidP="00C573BC">
            <w:pPr>
              <w:jc w:val="center"/>
            </w:pPr>
            <w:r w:rsidRPr="00307818">
              <w:t>3</w:t>
            </w:r>
            <w:r w:rsidR="00C573BC" w:rsidRPr="00307818">
              <w:t>., 17. un 28.</w:t>
            </w:r>
            <w:r w:rsidR="00CC3BD2" w:rsidRPr="00307818">
              <w:t>punkts un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24.panta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C573BC" w:rsidRPr="00307818">
              <w:t xml:space="preserve"> 3., 10. un 34.punkts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25.panta 1.punkts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D433AD" w:rsidRPr="00307818">
              <w:t xml:space="preserve"> 5.1., 7.2.-7.4., 9.punkts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25.panta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D433AD" w:rsidRPr="00307818">
              <w:t xml:space="preserve"> 5.1., 7.1., 10.-12.punkts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25.panta 3.punkts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D433AD" w:rsidRPr="00307818">
              <w:t xml:space="preserve"> 10.1.punkts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 xml:space="preserve">Direktīvas 96/29/Euratom 26.pants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F26E20">
            <w:pPr>
              <w:jc w:val="center"/>
            </w:pPr>
            <w:r w:rsidRPr="00307818">
              <w:t>Noteikumu projekta</w:t>
            </w:r>
            <w:r w:rsidR="00D433AD" w:rsidRPr="00307818">
              <w:t xml:space="preserve"> 31. un 32.punkts</w:t>
            </w:r>
            <w:r w:rsidR="00F26E20" w:rsidRPr="00307818">
              <w:t>, 2. pielikuma 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 xml:space="preserve">Direktīvas 96/29/Euratom 27.pants </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F26E20">
            <w:pPr>
              <w:jc w:val="center"/>
            </w:pPr>
            <w:r w:rsidRPr="00307818">
              <w:t>Noteikumu projekta</w:t>
            </w:r>
            <w:r w:rsidR="00D433AD" w:rsidRPr="00307818">
              <w:t xml:space="preserve"> 31. un 32.punkts</w:t>
            </w:r>
            <w:r w:rsidR="00F26E20" w:rsidRPr="00307818">
              <w:t>, 2. pielikuma 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28.panta 1.punkts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F26E20">
            <w:pPr>
              <w:jc w:val="center"/>
            </w:pPr>
            <w:r w:rsidRPr="00307818">
              <w:t>Noteikumu projekta</w:t>
            </w:r>
            <w:r w:rsidR="00D433AD" w:rsidRPr="00307818">
              <w:t xml:space="preserve"> 36. un 38.punkts, VII.</w:t>
            </w:r>
            <w:r w:rsidR="00F26E20" w:rsidRPr="00307818">
              <w:t xml:space="preserve"> </w:t>
            </w:r>
            <w:r w:rsidR="00D433AD" w:rsidRPr="00307818">
              <w:t xml:space="preserve">nodaļa un </w:t>
            </w:r>
            <w:r w:rsidR="00F26E20" w:rsidRPr="00307818">
              <w:t>2</w:t>
            </w:r>
            <w:r w:rsidR="00D433AD" w:rsidRPr="00307818">
              <w:t>.pielikums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28.panta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434A7C" w:rsidRPr="00307818">
              <w:t xml:space="preserve"> 30. un 39.punkts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28.panta 3.punkts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434A7C">
            <w:pPr>
              <w:jc w:val="center"/>
            </w:pPr>
            <w:r w:rsidRPr="00307818">
              <w:t xml:space="preserve">Noteikumu projekta </w:t>
            </w:r>
            <w:r w:rsidR="00434A7C" w:rsidRPr="00307818">
              <w:t>VII.nodaļa, 2.pielikums, 26.-29., 43.-44.</w:t>
            </w:r>
            <w:r w:rsidRPr="00307818">
              <w:t>punkts un likums „Par radiācijas drošību un kodoldrošību”</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29.panta 1.punkts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434A7C" w:rsidRPr="00307818">
              <w:t xml:space="preserve"> 16., 35., 36., 40.-44.punkts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29.panta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434A7C" w:rsidP="00434A7C">
            <w:pPr>
              <w:jc w:val="center"/>
            </w:pPr>
            <w:r w:rsidRPr="00307818">
              <w:t>Likums „Par radiācijas drošību un kodoldrošību”, n</w:t>
            </w:r>
            <w:r w:rsidR="00CC3BD2" w:rsidRPr="00307818">
              <w:t xml:space="preserve">oteikumu projekta </w:t>
            </w:r>
            <w:r w:rsidRPr="00307818">
              <w:t xml:space="preserve">7., 8., 16.punkts, VII. nodaļa, 2.pielikums </w:t>
            </w:r>
            <w:r w:rsidR="00CC3BD2" w:rsidRPr="00307818">
              <w:t>un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29.panta 3.punkts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434A7C" w:rsidRPr="00307818">
              <w:t xml:space="preserve"> 31. un 32.punkts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31.panta 1.punkts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76BCA">
            <w:pPr>
              <w:jc w:val="center"/>
            </w:pPr>
            <w:r w:rsidRPr="00307818">
              <w:t>Noteikumu projekta</w:t>
            </w:r>
            <w:r w:rsidR="00434A7C" w:rsidRPr="00307818">
              <w:t xml:space="preserve"> VII. nodaļa, MK noteikumi Nr.149, </w:t>
            </w:r>
            <w:r w:rsidR="00576BCA" w:rsidRPr="00307818">
              <w:t>MK 2009.gada 10.marta noteikumi Nr.219 „Kārtība, kādā veicama obligātā veselības pārbaude””</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38.panta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Noteikumu projekta</w:t>
            </w:r>
            <w:r w:rsidR="00576BCA" w:rsidRPr="00307818">
              <w:t xml:space="preserve"> 35.punkts, 36.1.punkts, VII.</w:t>
            </w:r>
            <w:r w:rsidR="00733913" w:rsidRPr="00307818">
              <w:t xml:space="preserve"> </w:t>
            </w:r>
            <w:r w:rsidR="00576BCA" w:rsidRPr="00307818">
              <w:t>nodaļa</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38.panta 3.punkts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576BCA" w:rsidP="00576BCA">
            <w:pPr>
              <w:jc w:val="center"/>
            </w:pPr>
            <w:r w:rsidRPr="00307818">
              <w:t>Likums „Par radiācijas drošību un kodoldrošību”, n</w:t>
            </w:r>
            <w:r w:rsidR="00CC3BD2" w:rsidRPr="00307818">
              <w:t>oteikumu projekta</w:t>
            </w:r>
            <w:r w:rsidRPr="00307818">
              <w:t xml:space="preserve"> 7. un 8.punkts</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38.panta 5.punkts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76BCA">
            <w:pPr>
              <w:jc w:val="center"/>
            </w:pPr>
            <w:r w:rsidRPr="00307818">
              <w:t xml:space="preserve">Noteikumu projekta </w:t>
            </w:r>
            <w:r w:rsidR="00576BCA" w:rsidRPr="00307818">
              <w:t>VII.</w:t>
            </w:r>
            <w:r w:rsidR="00733913" w:rsidRPr="00307818">
              <w:t xml:space="preserve"> </w:t>
            </w:r>
            <w:r w:rsidR="00576BCA" w:rsidRPr="00307818">
              <w:t>nodaļa, 2.pielikums</w:t>
            </w:r>
            <w:r w:rsidRPr="00307818">
              <w:t xml:space="preserve"> un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CC3BD2" w:rsidRPr="00307818" w:rsidTr="001F4A5B">
        <w:trPr>
          <w:trHeight w:val="165"/>
          <w:jc w:val="center"/>
        </w:trPr>
        <w:tc>
          <w:tcPr>
            <w:tcW w:w="2793"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Direktīvas 96/29/Euratom 51.panta 2.punkts</w:t>
            </w:r>
          </w:p>
        </w:tc>
        <w:tc>
          <w:tcPr>
            <w:tcW w:w="2693" w:type="dxa"/>
            <w:tcBorders>
              <w:top w:val="single" w:sz="4" w:space="0" w:color="auto"/>
              <w:left w:val="single" w:sz="4" w:space="0" w:color="auto"/>
              <w:bottom w:val="single" w:sz="4" w:space="0" w:color="auto"/>
              <w:right w:val="single" w:sz="4" w:space="0" w:color="auto"/>
            </w:tcBorders>
          </w:tcPr>
          <w:p w:rsidR="00CC3BD2" w:rsidRPr="00307818" w:rsidRDefault="00CC3BD2" w:rsidP="00576BCA">
            <w:pPr>
              <w:jc w:val="center"/>
            </w:pPr>
            <w:r w:rsidRPr="00307818">
              <w:t xml:space="preserve">Noteikumu projekta </w:t>
            </w:r>
            <w:r w:rsidR="00576BCA" w:rsidRPr="00307818">
              <w:t>31. un 32.</w:t>
            </w:r>
            <w:r w:rsidRPr="00307818">
              <w:t>punkts un MK noteikumi Nr.149</w:t>
            </w:r>
          </w:p>
        </w:tc>
        <w:tc>
          <w:tcPr>
            <w:tcW w:w="2551" w:type="dxa"/>
            <w:tcBorders>
              <w:top w:val="single" w:sz="4" w:space="0" w:color="auto"/>
              <w:left w:val="single" w:sz="4" w:space="0" w:color="auto"/>
              <w:bottom w:val="single" w:sz="4" w:space="0" w:color="auto"/>
              <w:right w:val="single" w:sz="4" w:space="0" w:color="auto"/>
            </w:tcBorders>
          </w:tcPr>
          <w:p w:rsidR="00CC3BD2" w:rsidRPr="00307818" w:rsidRDefault="00CC3BD2" w:rsidP="00CC3BD2">
            <w:pPr>
              <w:jc w:val="center"/>
            </w:pPr>
            <w:r w:rsidRPr="00307818">
              <w:t>Ieviests pilnībā</w:t>
            </w:r>
          </w:p>
        </w:tc>
        <w:tc>
          <w:tcPr>
            <w:tcW w:w="1231" w:type="dxa"/>
            <w:tcBorders>
              <w:top w:val="single" w:sz="4" w:space="0" w:color="auto"/>
              <w:left w:val="single" w:sz="4" w:space="0" w:color="auto"/>
              <w:bottom w:val="single" w:sz="4" w:space="0" w:color="auto"/>
              <w:right w:val="single" w:sz="4" w:space="0" w:color="auto"/>
            </w:tcBorders>
          </w:tcPr>
          <w:p w:rsidR="00CC3BD2" w:rsidRPr="00307818" w:rsidRDefault="00CC3BD2" w:rsidP="005364D7">
            <w:pPr>
              <w:jc w:val="center"/>
            </w:pPr>
            <w:r w:rsidRPr="00307818">
              <w:t>Neparedz stingrākas prasības</w:t>
            </w:r>
          </w:p>
        </w:tc>
      </w:tr>
      <w:tr w:rsidR="005364D7" w:rsidRPr="00307818" w:rsidTr="005364D7">
        <w:trPr>
          <w:trHeight w:val="281"/>
          <w:jc w:val="center"/>
        </w:trPr>
        <w:tc>
          <w:tcPr>
            <w:tcW w:w="2793"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kr"/>
              <w:spacing w:before="0" w:after="120"/>
              <w:jc w:val="both"/>
            </w:pPr>
            <w:r w:rsidRPr="00307818">
              <w:t>Kā ir izmantota ES tiesību aktā paredzētā rīcības brīvība dalībvalstij pārņemt vai ieviest noteiktas ES tiesību akta normas.</w:t>
            </w:r>
          </w:p>
          <w:p w:rsidR="005364D7" w:rsidRPr="00307818" w:rsidRDefault="005364D7" w:rsidP="005364D7">
            <w:pPr>
              <w:pStyle w:val="naiskr"/>
              <w:spacing w:before="0" w:after="120"/>
            </w:pPr>
            <w:r w:rsidRPr="00307818">
              <w:t>Kādēļ?</w:t>
            </w:r>
          </w:p>
        </w:tc>
        <w:tc>
          <w:tcPr>
            <w:tcW w:w="6475" w:type="dxa"/>
            <w:gridSpan w:val="3"/>
            <w:tcBorders>
              <w:top w:val="single" w:sz="4" w:space="0" w:color="auto"/>
              <w:left w:val="single" w:sz="4" w:space="0" w:color="auto"/>
              <w:bottom w:val="single" w:sz="4" w:space="0" w:color="auto"/>
              <w:right w:val="single" w:sz="4" w:space="0" w:color="auto"/>
            </w:tcBorders>
            <w:hideMark/>
          </w:tcPr>
          <w:p w:rsidR="00744BC1" w:rsidRPr="00307818" w:rsidRDefault="00744BC1" w:rsidP="00744BC1">
            <w:pPr>
              <w:pStyle w:val="naiskr"/>
              <w:spacing w:before="0" w:after="120"/>
              <w:jc w:val="both"/>
              <w:rPr>
                <w:color w:val="FF0000"/>
              </w:rPr>
            </w:pPr>
            <w:r w:rsidRPr="00307818">
              <w:t>Direktīvas 90/641/Euratom 4.panta 2.punkta a) apakšpunkts paredz dalībvalstīm izveidot datu bāzi darbinieku saņemtā apstarojuma reģistrēšanai vai arī izdot individuālo radioloģiskās pārraudzības dokumentu katram darbiniekam. Noteikumu projekts paredz gan izve</w:t>
            </w:r>
            <w:r w:rsidR="00DE1B5F" w:rsidRPr="00307818">
              <w:t>i</w:t>
            </w:r>
            <w:r w:rsidRPr="00307818">
              <w:t>dot datu bāzi, gan arī izdot uzskaites grāmatiņu. Šādā veidā valstī ir izveidota vienota uzskaites sistēma (tai skaitā gan patstāvīgi nodarbinātajiem darbiniekiem, gan arī viesstrādniekiem), kā arī tiek nodrošināts, ka ar uzskaites grāmatiņu katram darbiniekam ir pieejama pie operatora apkopota informācija par saņemtajām dozām, veselības pārbaudēm, kursiem. Vienlaicīgi jāņem vērā, ka jebkurā gadījumā, neatkarīgi no datu bāzes, viesstrādniekiem ir jāizdod uzskaites grāmatiņas atbilstoši Direktīvas 90/641/Euratom 4.panta 2.punkta b) apakšpunktam.</w:t>
            </w:r>
          </w:p>
        </w:tc>
      </w:tr>
      <w:tr w:rsidR="005364D7" w:rsidRPr="00307818" w:rsidTr="005364D7">
        <w:trPr>
          <w:trHeight w:val="913"/>
          <w:jc w:val="center"/>
        </w:trPr>
        <w:tc>
          <w:tcPr>
            <w:tcW w:w="2793"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spacing w:after="120"/>
              <w:jc w:val="both"/>
            </w:pPr>
            <w:r w:rsidRPr="0030781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75" w:type="dxa"/>
            <w:gridSpan w:val="3"/>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basetext"/>
              <w:widowControl/>
              <w:tabs>
                <w:tab w:val="clear" w:pos="357"/>
                <w:tab w:val="left" w:pos="720"/>
              </w:tabs>
              <w:spacing w:before="0" w:after="120"/>
              <w:ind w:right="72"/>
              <w:rPr>
                <w:szCs w:val="24"/>
                <w:lang w:val="lv-LV"/>
              </w:rPr>
            </w:pPr>
            <w:r w:rsidRPr="00307818">
              <w:rPr>
                <w:szCs w:val="24"/>
                <w:lang w:val="lv-LV"/>
              </w:rPr>
              <w:t>Nav attiecināms</w:t>
            </w:r>
          </w:p>
        </w:tc>
      </w:tr>
      <w:tr w:rsidR="005364D7" w:rsidRPr="00307818" w:rsidTr="005364D7">
        <w:trPr>
          <w:trHeight w:val="579"/>
          <w:jc w:val="center"/>
        </w:trPr>
        <w:tc>
          <w:tcPr>
            <w:tcW w:w="2793" w:type="dxa"/>
            <w:tcBorders>
              <w:top w:val="single" w:sz="4" w:space="0" w:color="auto"/>
              <w:left w:val="single" w:sz="4" w:space="0" w:color="auto"/>
              <w:bottom w:val="single" w:sz="4" w:space="0" w:color="auto"/>
              <w:right w:val="single" w:sz="4" w:space="0" w:color="auto"/>
            </w:tcBorders>
            <w:hideMark/>
          </w:tcPr>
          <w:p w:rsidR="005364D7" w:rsidRPr="00307818" w:rsidRDefault="005364D7" w:rsidP="005364D7">
            <w:pPr>
              <w:pStyle w:val="naiskr"/>
              <w:spacing w:before="0" w:after="120"/>
            </w:pPr>
            <w:r w:rsidRPr="00307818">
              <w:t> Cita informācija</w:t>
            </w:r>
          </w:p>
        </w:tc>
        <w:tc>
          <w:tcPr>
            <w:tcW w:w="6475" w:type="dxa"/>
            <w:gridSpan w:val="3"/>
            <w:tcBorders>
              <w:top w:val="single" w:sz="4" w:space="0" w:color="auto"/>
              <w:left w:val="single" w:sz="4" w:space="0" w:color="auto"/>
              <w:bottom w:val="single" w:sz="4" w:space="0" w:color="auto"/>
              <w:right w:val="single" w:sz="4" w:space="0" w:color="auto"/>
            </w:tcBorders>
            <w:hideMark/>
          </w:tcPr>
          <w:p w:rsidR="00C573BC" w:rsidRPr="00307818" w:rsidRDefault="00C573BC" w:rsidP="005364D7">
            <w:pPr>
              <w:pStyle w:val="basetext"/>
              <w:widowControl/>
              <w:tabs>
                <w:tab w:val="clear" w:pos="357"/>
                <w:tab w:val="left" w:pos="720"/>
              </w:tabs>
              <w:spacing w:before="0" w:after="120"/>
              <w:ind w:right="72"/>
              <w:rPr>
                <w:szCs w:val="24"/>
                <w:lang w:val="lv-LV"/>
              </w:rPr>
            </w:pPr>
            <w:r w:rsidRPr="00307818">
              <w:rPr>
                <w:szCs w:val="24"/>
                <w:lang w:val="lv-LV"/>
              </w:rPr>
              <w:t xml:space="preserve">1) Pārējās Direktīvas 96/29/Euratom prasības ir pārņemtas </w:t>
            </w:r>
            <w:r w:rsidR="00434A7C" w:rsidRPr="00307818">
              <w:rPr>
                <w:szCs w:val="24"/>
                <w:lang w:val="lv-LV"/>
              </w:rPr>
              <w:t>ar citiem normatīvajiem aktiem radiācijas drošības jomā, kas izdoti saskaņā ar likumu „Par radiācijas drošību un kodoldrošību”.</w:t>
            </w:r>
          </w:p>
          <w:p w:rsidR="005364D7" w:rsidRPr="00307818" w:rsidRDefault="00C573BC" w:rsidP="005364D7">
            <w:pPr>
              <w:pStyle w:val="basetext"/>
              <w:widowControl/>
              <w:tabs>
                <w:tab w:val="clear" w:pos="357"/>
                <w:tab w:val="left" w:pos="720"/>
              </w:tabs>
              <w:spacing w:before="0" w:after="120"/>
              <w:ind w:right="72"/>
              <w:rPr>
                <w:szCs w:val="24"/>
                <w:lang w:val="lv-LV"/>
              </w:rPr>
            </w:pPr>
            <w:r w:rsidRPr="00307818">
              <w:rPr>
                <w:szCs w:val="24"/>
                <w:lang w:val="lv-LV"/>
              </w:rPr>
              <w:t xml:space="preserve">2) </w:t>
            </w:r>
            <w:r w:rsidR="005364D7" w:rsidRPr="00307818">
              <w:rPr>
                <w:szCs w:val="24"/>
                <w:lang w:val="lv-LV"/>
              </w:rPr>
              <w:t>Atbilstoši Eiropas Atomenerģijas kopienas dibināšanas līguma (</w:t>
            </w:r>
            <w:r w:rsidR="005364D7" w:rsidRPr="00307818">
              <w:rPr>
                <w:i/>
                <w:szCs w:val="24"/>
                <w:lang w:val="lv-LV"/>
              </w:rPr>
              <w:t xml:space="preserve">Euratom </w:t>
            </w:r>
            <w:r w:rsidR="005364D7" w:rsidRPr="00307818">
              <w:rPr>
                <w:szCs w:val="24"/>
                <w:lang w:val="lv-LV"/>
              </w:rPr>
              <w:t>līgums</w:t>
            </w:r>
            <w:r w:rsidR="005364D7" w:rsidRPr="00307818">
              <w:rPr>
                <w:i/>
                <w:szCs w:val="24"/>
                <w:lang w:val="lv-LV"/>
              </w:rPr>
              <w:t>)</w:t>
            </w:r>
            <w:r w:rsidR="005364D7" w:rsidRPr="00307818">
              <w:rPr>
                <w:szCs w:val="24"/>
                <w:lang w:val="lv-LV"/>
              </w:rPr>
              <w:t xml:space="preserve"> 33.pantam noteikumu projektu nepieciešams saskaņot ar Eiropas Komisiju (3 mēnešu termiņš).</w:t>
            </w:r>
          </w:p>
        </w:tc>
      </w:tr>
    </w:tbl>
    <w:p w:rsidR="005364D7" w:rsidRPr="00307818" w:rsidRDefault="005364D7" w:rsidP="005364D7">
      <w:pPr>
        <w:pStyle w:val="naisf"/>
      </w:pPr>
      <w:r w:rsidRPr="00307818">
        <w:t> </w:t>
      </w:r>
    </w:p>
    <w:tbl>
      <w:tblPr>
        <w:tblW w:w="9250"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0"/>
        <w:gridCol w:w="2126"/>
        <w:gridCol w:w="2214"/>
      </w:tblGrid>
      <w:tr w:rsidR="007F6C9B" w:rsidRPr="00307818" w:rsidTr="003C7DE2">
        <w:trPr>
          <w:trHeight w:val="792"/>
          <w:jc w:val="center"/>
        </w:trPr>
        <w:tc>
          <w:tcPr>
            <w:tcW w:w="9250" w:type="dxa"/>
            <w:gridSpan w:val="3"/>
          </w:tcPr>
          <w:p w:rsidR="007F6C9B" w:rsidRPr="00307818" w:rsidRDefault="007F6C9B">
            <w:pPr>
              <w:pStyle w:val="naisnod"/>
              <w:spacing w:before="0" w:after="120"/>
            </w:pPr>
            <w:r w:rsidRPr="00307818">
              <w:t> 2.tabula</w:t>
            </w:r>
          </w:p>
          <w:p w:rsidR="007F6C9B" w:rsidRPr="00307818" w:rsidRDefault="007F6C9B">
            <w:pPr>
              <w:pStyle w:val="naisnod"/>
              <w:spacing w:before="0" w:after="120"/>
            </w:pPr>
            <w:r w:rsidRPr="00307818">
              <w:t>Ar tiesību akta projektu uzņemtās saistības, kas izriet no starptautiskajiem tiesību aktiem vai starptautiskas institūcijas vai organizācijas dokumentiem</w:t>
            </w:r>
          </w:p>
          <w:p w:rsidR="007F6C9B" w:rsidRPr="00307818" w:rsidRDefault="007F6C9B">
            <w:pPr>
              <w:pStyle w:val="naisnod"/>
              <w:spacing w:before="0" w:after="120"/>
            </w:pPr>
            <w:r w:rsidRPr="00307818">
              <w:t>Pasākumi šo saistību izpildei</w:t>
            </w:r>
          </w:p>
        </w:tc>
      </w:tr>
      <w:tr w:rsidR="007F6C9B" w:rsidRPr="00307818" w:rsidTr="005364D7">
        <w:trPr>
          <w:trHeight w:val="1441"/>
          <w:jc w:val="center"/>
        </w:trPr>
        <w:tc>
          <w:tcPr>
            <w:tcW w:w="4910" w:type="dxa"/>
          </w:tcPr>
          <w:p w:rsidR="007F6C9B" w:rsidRPr="00307818" w:rsidRDefault="007F6C9B">
            <w:pPr>
              <w:pStyle w:val="naiskr"/>
              <w:spacing w:before="0" w:after="120"/>
              <w:jc w:val="both"/>
            </w:pPr>
            <w:r w:rsidRPr="00307818">
              <w:t>Attiecīgā starptautiskā tiesību akta vai starptautiskas institūcijas vai organizācijas dokumenta (turpmāk – starptautiskais dokuments) datums, numurs un nosaukums</w:t>
            </w:r>
          </w:p>
        </w:tc>
        <w:tc>
          <w:tcPr>
            <w:tcW w:w="4340" w:type="dxa"/>
            <w:gridSpan w:val="2"/>
          </w:tcPr>
          <w:p w:rsidR="007F6C9B" w:rsidRPr="00307818" w:rsidRDefault="007F6C9B">
            <w:pPr>
              <w:spacing w:after="120"/>
              <w:jc w:val="both"/>
            </w:pPr>
            <w:r w:rsidRPr="00307818">
              <w:t>Projekts šo jomu neskar</w:t>
            </w:r>
          </w:p>
        </w:tc>
      </w:tr>
      <w:tr w:rsidR="007F6C9B" w:rsidRPr="00307818" w:rsidTr="005364D7">
        <w:trPr>
          <w:trHeight w:val="341"/>
          <w:jc w:val="center"/>
        </w:trPr>
        <w:tc>
          <w:tcPr>
            <w:tcW w:w="4910" w:type="dxa"/>
          </w:tcPr>
          <w:p w:rsidR="007F6C9B" w:rsidRPr="00307818" w:rsidRDefault="007F6C9B">
            <w:pPr>
              <w:pStyle w:val="naisc"/>
              <w:spacing w:before="0" w:after="120"/>
            </w:pPr>
            <w:r w:rsidRPr="00307818">
              <w:t> A</w:t>
            </w:r>
          </w:p>
        </w:tc>
        <w:tc>
          <w:tcPr>
            <w:tcW w:w="2126" w:type="dxa"/>
          </w:tcPr>
          <w:p w:rsidR="007F6C9B" w:rsidRPr="00307818" w:rsidRDefault="007F6C9B">
            <w:pPr>
              <w:pStyle w:val="naisc"/>
              <w:spacing w:before="0" w:after="120"/>
            </w:pPr>
            <w:r w:rsidRPr="00307818">
              <w:t> B</w:t>
            </w:r>
          </w:p>
        </w:tc>
        <w:tc>
          <w:tcPr>
            <w:tcW w:w="2214" w:type="dxa"/>
          </w:tcPr>
          <w:p w:rsidR="007F6C9B" w:rsidRPr="00307818" w:rsidRDefault="007F6C9B">
            <w:pPr>
              <w:pStyle w:val="naisc"/>
              <w:spacing w:before="0" w:after="120"/>
            </w:pPr>
            <w:r w:rsidRPr="00307818">
              <w:t> C</w:t>
            </w:r>
          </w:p>
        </w:tc>
      </w:tr>
      <w:tr w:rsidR="007F6C9B" w:rsidRPr="00307818" w:rsidTr="005364D7">
        <w:trPr>
          <w:trHeight w:val="341"/>
          <w:jc w:val="center"/>
        </w:trPr>
        <w:tc>
          <w:tcPr>
            <w:tcW w:w="4910" w:type="dxa"/>
          </w:tcPr>
          <w:p w:rsidR="007F6C9B" w:rsidRPr="00307818" w:rsidRDefault="007F6C9B" w:rsidP="00DE1ECE">
            <w:pPr>
              <w:jc w:val="center"/>
            </w:pPr>
            <w:r w:rsidRPr="00307818">
              <w:t>Projekts šo jomu neskar</w:t>
            </w:r>
          </w:p>
        </w:tc>
        <w:tc>
          <w:tcPr>
            <w:tcW w:w="2126" w:type="dxa"/>
          </w:tcPr>
          <w:p w:rsidR="007F6C9B" w:rsidRPr="00307818" w:rsidRDefault="007F6C9B" w:rsidP="00DE1ECE">
            <w:pPr>
              <w:jc w:val="center"/>
            </w:pPr>
            <w:r w:rsidRPr="00307818">
              <w:t>Projekts šo jomu neskar</w:t>
            </w:r>
          </w:p>
        </w:tc>
        <w:tc>
          <w:tcPr>
            <w:tcW w:w="2214" w:type="dxa"/>
          </w:tcPr>
          <w:p w:rsidR="007F6C9B" w:rsidRPr="00307818" w:rsidRDefault="007F6C9B" w:rsidP="00DE1ECE">
            <w:pPr>
              <w:jc w:val="center"/>
            </w:pPr>
            <w:r w:rsidRPr="00307818">
              <w:t>Projekts šo jomu neskar</w:t>
            </w:r>
          </w:p>
        </w:tc>
      </w:tr>
      <w:tr w:rsidR="007F6C9B" w:rsidRPr="00307818" w:rsidTr="005364D7">
        <w:trPr>
          <w:trHeight w:val="161"/>
          <w:jc w:val="center"/>
        </w:trPr>
        <w:tc>
          <w:tcPr>
            <w:tcW w:w="4910" w:type="dxa"/>
          </w:tcPr>
          <w:p w:rsidR="007F6C9B" w:rsidRPr="00307818" w:rsidRDefault="007F6C9B">
            <w:pPr>
              <w:pStyle w:val="naiskr"/>
              <w:spacing w:before="0" w:after="120"/>
              <w:jc w:val="both"/>
            </w:pPr>
            <w:r w:rsidRPr="00307818">
              <w:t>Vai starptautiskajā dokumentā paredzētās saistības nav pretrunā ar jau esošajām Latvijas Republikas starptautiskajām saistībām</w:t>
            </w:r>
          </w:p>
        </w:tc>
        <w:tc>
          <w:tcPr>
            <w:tcW w:w="4340" w:type="dxa"/>
            <w:gridSpan w:val="2"/>
          </w:tcPr>
          <w:p w:rsidR="007F6C9B" w:rsidRPr="00307818" w:rsidRDefault="007F6C9B">
            <w:pPr>
              <w:pStyle w:val="naiskr"/>
              <w:spacing w:before="0" w:after="120"/>
              <w:jc w:val="both"/>
            </w:pPr>
            <w:r w:rsidRPr="00307818">
              <w:t>Projekts šo jomu neskar</w:t>
            </w:r>
          </w:p>
        </w:tc>
      </w:tr>
      <w:tr w:rsidR="007F6C9B" w:rsidRPr="00307818" w:rsidTr="005364D7">
        <w:trPr>
          <w:trHeight w:val="325"/>
          <w:jc w:val="center"/>
        </w:trPr>
        <w:tc>
          <w:tcPr>
            <w:tcW w:w="4910" w:type="dxa"/>
          </w:tcPr>
          <w:p w:rsidR="007F6C9B" w:rsidRPr="00307818" w:rsidRDefault="007F6C9B">
            <w:pPr>
              <w:pStyle w:val="naiskr"/>
              <w:spacing w:before="0" w:after="120"/>
            </w:pPr>
            <w:r w:rsidRPr="00307818">
              <w:t> Cita informācija</w:t>
            </w:r>
          </w:p>
        </w:tc>
        <w:tc>
          <w:tcPr>
            <w:tcW w:w="4340" w:type="dxa"/>
            <w:gridSpan w:val="2"/>
          </w:tcPr>
          <w:p w:rsidR="007F6C9B" w:rsidRPr="00307818" w:rsidRDefault="007F6C9B">
            <w:pPr>
              <w:pStyle w:val="naiskr"/>
              <w:spacing w:before="0" w:after="120"/>
            </w:pPr>
            <w:r w:rsidRPr="00307818">
              <w:t>Nav</w:t>
            </w:r>
          </w:p>
        </w:tc>
      </w:tr>
    </w:tbl>
    <w:p w:rsidR="007F6C9B" w:rsidRPr="00307818" w:rsidRDefault="007F6C9B" w:rsidP="00E116C7">
      <w:pPr>
        <w:pStyle w:val="naiskr"/>
        <w:spacing w:before="0" w:after="120"/>
        <w:ind w:left="104" w:right="57"/>
        <w:jc w:val="center"/>
      </w:pPr>
    </w:p>
    <w:tbl>
      <w:tblPr>
        <w:tblW w:w="9140"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12"/>
        <w:gridCol w:w="6128"/>
      </w:tblGrid>
      <w:tr w:rsidR="007F6C9B" w:rsidRPr="00307818" w:rsidTr="003C7DE2">
        <w:trPr>
          <w:trHeight w:val="282"/>
          <w:jc w:val="center"/>
        </w:trPr>
        <w:tc>
          <w:tcPr>
            <w:tcW w:w="9140" w:type="dxa"/>
            <w:gridSpan w:val="2"/>
          </w:tcPr>
          <w:p w:rsidR="007F6C9B" w:rsidRPr="00307818" w:rsidRDefault="007F6C9B" w:rsidP="00A773E6">
            <w:pPr>
              <w:pStyle w:val="naiskr"/>
              <w:spacing w:before="120" w:after="120"/>
              <w:ind w:left="57" w:right="57"/>
              <w:jc w:val="center"/>
            </w:pPr>
            <w:r w:rsidRPr="00307818">
              <w:rPr>
                <w:b/>
              </w:rPr>
              <w:t>VI. Sabiedrības līdzdalība un šīs līdzdalības rezultāti</w:t>
            </w:r>
          </w:p>
        </w:tc>
      </w:tr>
      <w:tr w:rsidR="007F6C9B" w:rsidRPr="00307818" w:rsidTr="003C7DE2">
        <w:trPr>
          <w:trHeight w:val="553"/>
          <w:jc w:val="center"/>
        </w:trPr>
        <w:tc>
          <w:tcPr>
            <w:tcW w:w="3012" w:type="dxa"/>
          </w:tcPr>
          <w:p w:rsidR="007F6C9B" w:rsidRPr="00307818" w:rsidRDefault="007F6C9B" w:rsidP="004B0AFB">
            <w:pPr>
              <w:pStyle w:val="naiskr"/>
              <w:tabs>
                <w:tab w:val="left" w:pos="170"/>
              </w:tabs>
              <w:spacing w:before="0" w:after="0"/>
              <w:ind w:left="57" w:right="57"/>
              <w:jc w:val="both"/>
            </w:pPr>
            <w:r w:rsidRPr="00307818">
              <w:t>1. Sabiedrības informēšana par projekta izstrādes uzsākšanu</w:t>
            </w:r>
          </w:p>
        </w:tc>
        <w:tc>
          <w:tcPr>
            <w:tcW w:w="6128" w:type="dxa"/>
          </w:tcPr>
          <w:p w:rsidR="007F6C9B" w:rsidRPr="00307818" w:rsidRDefault="009B61C3" w:rsidP="00874444">
            <w:pPr>
              <w:pStyle w:val="naiskr"/>
              <w:spacing w:before="0" w:after="120"/>
              <w:ind w:left="57" w:right="57"/>
              <w:jc w:val="both"/>
            </w:pPr>
            <w:r w:rsidRPr="00307818">
              <w:t>Pirms izsludināšanas Valsts sekretāru sanāksmē pr</w:t>
            </w:r>
            <w:r w:rsidR="007F6C9B" w:rsidRPr="00307818">
              <w:t xml:space="preserve">ojekts 2012.gada 31.oktobrī </w:t>
            </w:r>
            <w:r w:rsidR="005364D7" w:rsidRPr="00307818">
              <w:t xml:space="preserve">tika </w:t>
            </w:r>
            <w:r w:rsidR="007F6C9B" w:rsidRPr="00307818">
              <w:t>ievietots VARAM interneta mājaslapā (</w:t>
            </w:r>
            <w:hyperlink r:id="rId8" w:history="1">
              <w:r w:rsidR="007F6C9B" w:rsidRPr="00307818">
                <w:rPr>
                  <w:rStyle w:val="Hyperlink"/>
                </w:rPr>
                <w:t>www.varam.gov.lv</w:t>
              </w:r>
            </w:hyperlink>
            <w:r w:rsidR="007F6C9B" w:rsidRPr="00307818">
              <w:t xml:space="preserve">). </w:t>
            </w:r>
          </w:p>
          <w:p w:rsidR="007F6C9B" w:rsidRPr="00307818" w:rsidRDefault="007F6C9B" w:rsidP="00874444">
            <w:pPr>
              <w:pStyle w:val="naiskr"/>
              <w:spacing w:before="0" w:after="120"/>
              <w:ind w:left="57" w:right="57"/>
              <w:jc w:val="both"/>
              <w:rPr>
                <w:color w:val="FF0000"/>
              </w:rPr>
            </w:pPr>
            <w:r w:rsidRPr="00307818">
              <w:t>Projekta izstrādē piedalījās darba grupa (skatīt I. sadaļas 5.punktu).</w:t>
            </w:r>
          </w:p>
        </w:tc>
      </w:tr>
      <w:tr w:rsidR="007F6C9B" w:rsidRPr="00307818" w:rsidTr="003C7DE2">
        <w:trPr>
          <w:trHeight w:val="339"/>
          <w:jc w:val="center"/>
        </w:trPr>
        <w:tc>
          <w:tcPr>
            <w:tcW w:w="3012" w:type="dxa"/>
          </w:tcPr>
          <w:p w:rsidR="007F6C9B" w:rsidRPr="00307818" w:rsidRDefault="007F6C9B" w:rsidP="004B0AFB">
            <w:pPr>
              <w:pStyle w:val="naiskr"/>
              <w:spacing w:before="0" w:after="0"/>
              <w:ind w:left="57" w:right="57"/>
              <w:jc w:val="both"/>
            </w:pPr>
            <w:r w:rsidRPr="00307818">
              <w:t xml:space="preserve">2. Sabiedrības līdzdalība projekta izstrādē </w:t>
            </w:r>
          </w:p>
        </w:tc>
        <w:tc>
          <w:tcPr>
            <w:tcW w:w="6128" w:type="dxa"/>
          </w:tcPr>
          <w:p w:rsidR="007F6C9B" w:rsidRPr="00307818" w:rsidRDefault="007F6C9B" w:rsidP="00874444">
            <w:pPr>
              <w:pStyle w:val="naiskr"/>
              <w:spacing w:before="0" w:after="120"/>
              <w:ind w:left="57" w:right="57"/>
              <w:jc w:val="both"/>
            </w:pPr>
            <w:r w:rsidRPr="00307818">
              <w:t>Projekta izstrādē piedalījās darba grupa (skatīt I. sadaļas 5.punktu).</w:t>
            </w:r>
          </w:p>
        </w:tc>
      </w:tr>
      <w:tr w:rsidR="007F6C9B" w:rsidRPr="00307818" w:rsidTr="003C7DE2">
        <w:trPr>
          <w:trHeight w:val="129"/>
          <w:jc w:val="center"/>
        </w:trPr>
        <w:tc>
          <w:tcPr>
            <w:tcW w:w="3012" w:type="dxa"/>
          </w:tcPr>
          <w:p w:rsidR="007F6C9B" w:rsidRPr="00307818" w:rsidRDefault="007F6C9B" w:rsidP="004B0AFB">
            <w:pPr>
              <w:pStyle w:val="naiskr"/>
              <w:spacing w:before="0" w:after="0"/>
              <w:ind w:left="57" w:right="57"/>
              <w:jc w:val="both"/>
            </w:pPr>
            <w:r w:rsidRPr="00307818">
              <w:t xml:space="preserve">3. Sabiedrības līdzdalības rezultāti </w:t>
            </w:r>
          </w:p>
        </w:tc>
        <w:tc>
          <w:tcPr>
            <w:tcW w:w="6128" w:type="dxa"/>
          </w:tcPr>
          <w:p w:rsidR="00733913" w:rsidRPr="00307818" w:rsidRDefault="007F6C9B" w:rsidP="00733913">
            <w:pPr>
              <w:spacing w:after="120"/>
              <w:ind w:left="142" w:right="57"/>
              <w:jc w:val="both"/>
              <w:rPr>
                <w:bCs/>
                <w:sz w:val="20"/>
                <w:szCs w:val="20"/>
              </w:rPr>
            </w:pPr>
            <w:r w:rsidRPr="00307818">
              <w:t>Darba grupas pārstāvji kopumā atbalsta noteikumu projektu.</w:t>
            </w:r>
            <w:r w:rsidR="00874444" w:rsidRPr="00307818">
              <w:t xml:space="preserve"> </w:t>
            </w:r>
            <w:r w:rsidRPr="00307818">
              <w:t>Atsevišķas diskusijas ir par darba vietas monitoringa regularitāti attiecībā uz dažāda veida jonizējošā starojuma avotiem.</w:t>
            </w:r>
            <w:r w:rsidR="00733913" w:rsidRPr="00307818">
              <w:t xml:space="preserve"> Pēc projekta izsludināšanas Valsts sekretāru 2012.gada 8.novembra sanāksmē saņemts </w:t>
            </w:r>
            <w:r w:rsidR="00733913" w:rsidRPr="00307818">
              <w:rPr>
                <w:bCs/>
              </w:rPr>
              <w:t>Latvijas Veterinārārstu biedrības atzinums par projektu. Par atzinumā izteiktajiem iebildumiem par pārvietojamām un stacionārām jonizējošā starojuma iekārtām panākta vienošanās starpministriju sanāksmē.</w:t>
            </w:r>
          </w:p>
          <w:p w:rsidR="001836A0" w:rsidRPr="00307818" w:rsidRDefault="001836A0" w:rsidP="00733913">
            <w:pPr>
              <w:spacing w:after="120"/>
              <w:ind w:left="142" w:right="57"/>
              <w:jc w:val="both"/>
            </w:pPr>
            <w:r w:rsidRPr="00307818">
              <w:t xml:space="preserve">Pēc projekta izsludināšanas Valsts sekretāru 2012.gada 8.novembra sanāksmē saņemts priekšlikums noteikt EPD dozimetru </w:t>
            </w:r>
            <w:r w:rsidR="004271E0" w:rsidRPr="00307818">
              <w:t>kvalifikācijas prasības</w:t>
            </w:r>
            <w:r w:rsidRPr="00307818">
              <w:t xml:space="preserve"> projektā. Projekts nav papildināts ar šādām prasībām, ievērojot, ka šīs specifikācijas nosaka ražotājs un </w:t>
            </w:r>
            <w:r w:rsidR="001F4A5B" w:rsidRPr="00307818">
              <w:t>attiecīgi tas nav noteikumu jautājums</w:t>
            </w:r>
            <w:r w:rsidR="004271E0" w:rsidRPr="00307818">
              <w:t>, kā arī šie dozimetri tiek kalibrēti un attiecīgi tiek pārbaudīta dozimetru atbilstība</w:t>
            </w:r>
            <w:r w:rsidR="001F4A5B" w:rsidRPr="00307818">
              <w:t>.</w:t>
            </w:r>
          </w:p>
        </w:tc>
      </w:tr>
      <w:tr w:rsidR="007F6C9B" w:rsidRPr="00307818" w:rsidTr="003C7DE2">
        <w:trPr>
          <w:trHeight w:val="397"/>
          <w:jc w:val="center"/>
        </w:trPr>
        <w:tc>
          <w:tcPr>
            <w:tcW w:w="3012" w:type="dxa"/>
          </w:tcPr>
          <w:p w:rsidR="007F6C9B" w:rsidRPr="00307818" w:rsidRDefault="007F6C9B" w:rsidP="00ED45B9">
            <w:pPr>
              <w:pStyle w:val="naiskr"/>
              <w:spacing w:before="0" w:after="0"/>
              <w:ind w:left="57" w:right="57"/>
              <w:jc w:val="both"/>
            </w:pPr>
            <w:r w:rsidRPr="00307818">
              <w:t>4. Saeimas un ekspertu līdzdalība</w:t>
            </w:r>
          </w:p>
        </w:tc>
        <w:tc>
          <w:tcPr>
            <w:tcW w:w="6128" w:type="dxa"/>
          </w:tcPr>
          <w:p w:rsidR="007F6C9B" w:rsidRPr="00307818" w:rsidRDefault="007F6C9B" w:rsidP="00874444">
            <w:pPr>
              <w:pStyle w:val="Footer"/>
              <w:tabs>
                <w:tab w:val="clear" w:pos="4153"/>
                <w:tab w:val="clear" w:pos="8306"/>
              </w:tabs>
              <w:spacing w:after="120"/>
              <w:ind w:left="142" w:right="57"/>
              <w:jc w:val="both"/>
              <w:rPr>
                <w:rFonts w:ascii="Times New Roman" w:hAnsi="Times New Roman"/>
                <w:sz w:val="24"/>
                <w:szCs w:val="24"/>
                <w:lang w:eastAsia="en-US"/>
              </w:rPr>
            </w:pPr>
            <w:r w:rsidRPr="00307818">
              <w:rPr>
                <w:rFonts w:ascii="Times New Roman" w:hAnsi="Times New Roman"/>
                <w:sz w:val="24"/>
                <w:szCs w:val="24"/>
                <w:lang w:eastAsia="en-US"/>
              </w:rPr>
              <w:t>Projektā iekļautās normas attiecībā uz individuālo dozimetru kalibrēšanu un darba vietas monitoringa veikšanas nosacījumiem tika diskutētas ar ekspertiem, kuri nodrošina darba vietas monitoringu.</w:t>
            </w:r>
          </w:p>
        </w:tc>
      </w:tr>
      <w:tr w:rsidR="007F6C9B" w:rsidRPr="00307818" w:rsidTr="00733913">
        <w:trPr>
          <w:trHeight w:val="319"/>
          <w:jc w:val="center"/>
        </w:trPr>
        <w:tc>
          <w:tcPr>
            <w:tcW w:w="3012" w:type="dxa"/>
          </w:tcPr>
          <w:p w:rsidR="007F6C9B" w:rsidRPr="00307818" w:rsidRDefault="007F6C9B" w:rsidP="00733913">
            <w:pPr>
              <w:pStyle w:val="naiskr"/>
              <w:spacing w:before="0" w:after="0"/>
              <w:ind w:left="57" w:right="57"/>
            </w:pPr>
            <w:r w:rsidRPr="00307818">
              <w:t>5. Cita informācija</w:t>
            </w:r>
          </w:p>
        </w:tc>
        <w:tc>
          <w:tcPr>
            <w:tcW w:w="6128" w:type="dxa"/>
          </w:tcPr>
          <w:p w:rsidR="007F6C9B" w:rsidRPr="00307818" w:rsidRDefault="007F6C9B" w:rsidP="001A5AA7">
            <w:pPr>
              <w:pStyle w:val="naiskr"/>
              <w:spacing w:before="0" w:after="0"/>
              <w:ind w:left="57" w:right="57"/>
              <w:jc w:val="both"/>
            </w:pPr>
            <w:r w:rsidRPr="00307818">
              <w:t>Nav</w:t>
            </w:r>
          </w:p>
        </w:tc>
      </w:tr>
    </w:tbl>
    <w:p w:rsidR="007F6C9B" w:rsidRPr="00307818" w:rsidRDefault="007F6C9B" w:rsidP="00E116C7">
      <w:pPr>
        <w:pStyle w:val="naiskr"/>
        <w:spacing w:before="0" w:after="120"/>
        <w:ind w:left="104" w:right="57"/>
        <w:jc w:val="cente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6095"/>
      </w:tblGrid>
      <w:tr w:rsidR="007F6C9B" w:rsidRPr="00307818" w:rsidTr="003C7DE2">
        <w:tc>
          <w:tcPr>
            <w:tcW w:w="9072" w:type="dxa"/>
            <w:gridSpan w:val="2"/>
          </w:tcPr>
          <w:p w:rsidR="007F6C9B" w:rsidRPr="00307818" w:rsidRDefault="007F6C9B" w:rsidP="00A773E6">
            <w:pPr>
              <w:spacing w:before="120" w:after="120"/>
              <w:jc w:val="center"/>
              <w:rPr>
                <w:b/>
              </w:rPr>
            </w:pPr>
            <w:r w:rsidRPr="00307818">
              <w:br w:type="page"/>
            </w:r>
            <w:r w:rsidRPr="00307818">
              <w:rPr>
                <w:b/>
              </w:rPr>
              <w:t xml:space="preserve">VII. </w:t>
            </w:r>
            <w:r w:rsidRPr="00307818">
              <w:rPr>
                <w:b/>
                <w:bCs/>
              </w:rPr>
              <w:t>Tiesību akta projekta izpildes nodrošināšana un tās ietekme uz institūcijām</w:t>
            </w:r>
          </w:p>
        </w:tc>
      </w:tr>
      <w:tr w:rsidR="007F6C9B" w:rsidRPr="00307818" w:rsidTr="004D406B">
        <w:trPr>
          <w:trHeight w:val="607"/>
        </w:trPr>
        <w:tc>
          <w:tcPr>
            <w:tcW w:w="2977" w:type="dxa"/>
          </w:tcPr>
          <w:p w:rsidR="007F6C9B" w:rsidRPr="00307818" w:rsidRDefault="007F6C9B" w:rsidP="003C7DE2">
            <w:pPr>
              <w:spacing w:after="120"/>
              <w:ind w:right="-57"/>
              <w:jc w:val="both"/>
            </w:pPr>
            <w:r w:rsidRPr="00307818">
              <w:t xml:space="preserve">1. Projekta izpildē iesaistītās institūcijas </w:t>
            </w:r>
          </w:p>
        </w:tc>
        <w:tc>
          <w:tcPr>
            <w:tcW w:w="6095" w:type="dxa"/>
          </w:tcPr>
          <w:p w:rsidR="007F6C9B" w:rsidRPr="00307818" w:rsidRDefault="007F6C9B" w:rsidP="004D406B">
            <w:pPr>
              <w:pStyle w:val="Footer"/>
              <w:tabs>
                <w:tab w:val="clear" w:pos="4153"/>
                <w:tab w:val="clear" w:pos="8306"/>
              </w:tabs>
              <w:spacing w:after="120"/>
              <w:jc w:val="both"/>
              <w:rPr>
                <w:rFonts w:ascii="Times New Roman" w:hAnsi="Times New Roman"/>
                <w:sz w:val="24"/>
                <w:szCs w:val="24"/>
                <w:lang w:eastAsia="en-US"/>
              </w:rPr>
            </w:pPr>
            <w:r w:rsidRPr="00307818">
              <w:rPr>
                <w:rFonts w:ascii="Times New Roman" w:hAnsi="Times New Roman"/>
                <w:sz w:val="24"/>
                <w:szCs w:val="24"/>
                <w:lang w:eastAsia="en-US"/>
              </w:rPr>
              <w:t xml:space="preserve">VVD RDC nodrošina darbinieku individuālo jonizējošā starojuma dozu uzskaites grāmatiņu izsniegšanu un datu bāzes par darbinieku saņemto apstarojumu uzturēšanu. </w:t>
            </w:r>
          </w:p>
          <w:p w:rsidR="007F6C9B" w:rsidRPr="00307818" w:rsidRDefault="007F6C9B" w:rsidP="004D406B">
            <w:pPr>
              <w:pStyle w:val="Footer"/>
              <w:tabs>
                <w:tab w:val="clear" w:pos="4153"/>
                <w:tab w:val="clear" w:pos="8306"/>
              </w:tabs>
              <w:spacing w:after="120"/>
              <w:jc w:val="both"/>
              <w:rPr>
                <w:rFonts w:ascii="Times New Roman" w:hAnsi="Times New Roman"/>
                <w:color w:val="7030A0"/>
                <w:sz w:val="24"/>
                <w:szCs w:val="24"/>
                <w:lang w:eastAsia="en-US"/>
              </w:rPr>
            </w:pPr>
            <w:r w:rsidRPr="00307818">
              <w:rPr>
                <w:rFonts w:ascii="Times New Roman" w:hAnsi="Times New Roman"/>
                <w:sz w:val="24"/>
                <w:szCs w:val="24"/>
                <w:lang w:eastAsia="en-US"/>
              </w:rPr>
              <w:t>LVĢMC nodrošina darbinieku, kuri veic darbības ar jonizējošā starojuma avotiem, individuālos dozimetriskos mērījumus ar TLD dozimetriem un rezultātus iesniedz VVD RDC.</w:t>
            </w:r>
          </w:p>
        </w:tc>
      </w:tr>
      <w:tr w:rsidR="007F6C9B" w:rsidRPr="00307818" w:rsidTr="004D406B">
        <w:trPr>
          <w:trHeight w:val="607"/>
        </w:trPr>
        <w:tc>
          <w:tcPr>
            <w:tcW w:w="2977" w:type="dxa"/>
          </w:tcPr>
          <w:p w:rsidR="007F6C9B" w:rsidRPr="00307818" w:rsidRDefault="007F6C9B" w:rsidP="003C7DE2">
            <w:pPr>
              <w:spacing w:after="120"/>
              <w:ind w:right="-57"/>
              <w:jc w:val="both"/>
              <w:rPr>
                <w:szCs w:val="28"/>
              </w:rPr>
            </w:pPr>
            <w:r w:rsidRPr="00307818">
              <w:t>2. Projekta izpildes ietekme uz pārvaldes funkcijām</w:t>
            </w:r>
          </w:p>
        </w:tc>
        <w:tc>
          <w:tcPr>
            <w:tcW w:w="6095" w:type="dxa"/>
          </w:tcPr>
          <w:p w:rsidR="007F6C9B" w:rsidRPr="00307818" w:rsidRDefault="007F6C9B" w:rsidP="00733913">
            <w:pPr>
              <w:pStyle w:val="Footer"/>
              <w:tabs>
                <w:tab w:val="clear" w:pos="4153"/>
                <w:tab w:val="clear" w:pos="8306"/>
              </w:tabs>
              <w:spacing w:after="120"/>
              <w:ind w:firstLine="34"/>
              <w:jc w:val="both"/>
              <w:rPr>
                <w:rFonts w:ascii="Times New Roman" w:hAnsi="Times New Roman"/>
                <w:sz w:val="24"/>
                <w:szCs w:val="24"/>
                <w:lang w:eastAsia="en-US"/>
              </w:rPr>
            </w:pPr>
            <w:r w:rsidRPr="00307818">
              <w:rPr>
                <w:rFonts w:ascii="Times New Roman" w:hAnsi="Times New Roman"/>
                <w:sz w:val="24"/>
                <w:szCs w:val="24"/>
                <w:lang w:eastAsia="en-US"/>
              </w:rPr>
              <w:t>Projekts šo jomu neskar.</w:t>
            </w:r>
          </w:p>
        </w:tc>
      </w:tr>
      <w:tr w:rsidR="007F6C9B" w:rsidRPr="00307818" w:rsidTr="004D406B">
        <w:trPr>
          <w:trHeight w:val="607"/>
        </w:trPr>
        <w:tc>
          <w:tcPr>
            <w:tcW w:w="2977" w:type="dxa"/>
          </w:tcPr>
          <w:p w:rsidR="007F6C9B" w:rsidRPr="00307818" w:rsidRDefault="007F6C9B" w:rsidP="003C7DE2">
            <w:pPr>
              <w:spacing w:after="120"/>
              <w:jc w:val="both"/>
            </w:pPr>
            <w:r w:rsidRPr="00307818">
              <w:t>3. Projekta izpildes ietekme uz pārvaldes institucionālo struktūru.</w:t>
            </w:r>
          </w:p>
          <w:p w:rsidR="007F6C9B" w:rsidRPr="00307818" w:rsidRDefault="007F6C9B" w:rsidP="003C7DE2">
            <w:pPr>
              <w:spacing w:after="120"/>
              <w:jc w:val="both"/>
            </w:pPr>
            <w:r w:rsidRPr="00307818">
              <w:t>Jaunu institūciju izveide</w:t>
            </w:r>
          </w:p>
        </w:tc>
        <w:tc>
          <w:tcPr>
            <w:tcW w:w="6095" w:type="dxa"/>
          </w:tcPr>
          <w:p w:rsidR="007F6C9B" w:rsidRPr="00307818" w:rsidRDefault="007F6C9B" w:rsidP="003C7DE2">
            <w:pPr>
              <w:pStyle w:val="naisf"/>
              <w:spacing w:before="0" w:after="120"/>
              <w:ind w:firstLine="0"/>
            </w:pPr>
            <w:r w:rsidRPr="00307818">
              <w:t>Projekts šo jomu neskar.</w:t>
            </w:r>
          </w:p>
          <w:p w:rsidR="007F6C9B" w:rsidRPr="00307818" w:rsidRDefault="007F6C9B" w:rsidP="003C7DE2">
            <w:pPr>
              <w:pStyle w:val="naisf"/>
              <w:spacing w:before="0" w:after="120"/>
              <w:ind w:firstLine="0"/>
              <w:rPr>
                <w:szCs w:val="28"/>
              </w:rPr>
            </w:pPr>
            <w:r w:rsidRPr="00307818">
              <w:t xml:space="preserve">Jaunu institūciju izveide netiek paredzēta. </w:t>
            </w:r>
          </w:p>
        </w:tc>
      </w:tr>
      <w:tr w:rsidR="007F6C9B" w:rsidRPr="00307818" w:rsidTr="004D406B">
        <w:trPr>
          <w:trHeight w:val="607"/>
        </w:trPr>
        <w:tc>
          <w:tcPr>
            <w:tcW w:w="2977" w:type="dxa"/>
          </w:tcPr>
          <w:p w:rsidR="007F6C9B" w:rsidRPr="00307818" w:rsidRDefault="007F6C9B" w:rsidP="003C7DE2">
            <w:pPr>
              <w:spacing w:after="120"/>
              <w:jc w:val="both"/>
            </w:pPr>
            <w:r w:rsidRPr="00307818">
              <w:t>4. Projekta izpildes ietekme uz pārvaldes institucionālo struktūru.</w:t>
            </w:r>
          </w:p>
          <w:p w:rsidR="007F6C9B" w:rsidRPr="00307818" w:rsidRDefault="007F6C9B" w:rsidP="003C7DE2">
            <w:pPr>
              <w:spacing w:after="120"/>
              <w:jc w:val="both"/>
            </w:pPr>
            <w:r w:rsidRPr="00307818">
              <w:t xml:space="preserve">Esošu institūciju likvidācija </w:t>
            </w:r>
          </w:p>
        </w:tc>
        <w:tc>
          <w:tcPr>
            <w:tcW w:w="6095" w:type="dxa"/>
          </w:tcPr>
          <w:p w:rsidR="007F6C9B" w:rsidRPr="00307818" w:rsidRDefault="007F6C9B" w:rsidP="003C7DE2">
            <w:pPr>
              <w:pStyle w:val="naisf"/>
              <w:spacing w:before="0" w:after="120"/>
              <w:ind w:firstLine="34"/>
            </w:pPr>
            <w:r w:rsidRPr="00307818">
              <w:t>Projekts šo jomu neskar.</w:t>
            </w:r>
          </w:p>
          <w:p w:rsidR="007F6C9B" w:rsidRPr="00307818" w:rsidRDefault="007F6C9B" w:rsidP="003C7DE2">
            <w:pPr>
              <w:pStyle w:val="naisf"/>
              <w:spacing w:before="0" w:after="120"/>
              <w:ind w:firstLine="34"/>
              <w:rPr>
                <w:szCs w:val="28"/>
              </w:rPr>
            </w:pPr>
            <w:r w:rsidRPr="00307818">
              <w:t xml:space="preserve">Esošu institūciju likvidācija netiek paredzēta. </w:t>
            </w:r>
          </w:p>
        </w:tc>
      </w:tr>
      <w:tr w:rsidR="007F6C9B" w:rsidRPr="00307818" w:rsidTr="004D406B">
        <w:trPr>
          <w:trHeight w:val="607"/>
        </w:trPr>
        <w:tc>
          <w:tcPr>
            <w:tcW w:w="2977" w:type="dxa"/>
          </w:tcPr>
          <w:p w:rsidR="007F6C9B" w:rsidRPr="00307818" w:rsidRDefault="007F6C9B" w:rsidP="003C7DE2">
            <w:pPr>
              <w:spacing w:after="120"/>
              <w:jc w:val="both"/>
            </w:pPr>
            <w:r w:rsidRPr="00307818">
              <w:t>5. Projekta izpildes ietekme uz pārvaldes institucionālo struktūru.</w:t>
            </w:r>
          </w:p>
          <w:p w:rsidR="007F6C9B" w:rsidRPr="00307818" w:rsidRDefault="007F6C9B" w:rsidP="003C7DE2">
            <w:pPr>
              <w:spacing w:after="120"/>
              <w:jc w:val="both"/>
            </w:pPr>
            <w:r w:rsidRPr="00307818">
              <w:t xml:space="preserve">Esošu institūciju reorganizācija </w:t>
            </w:r>
          </w:p>
        </w:tc>
        <w:tc>
          <w:tcPr>
            <w:tcW w:w="6095" w:type="dxa"/>
          </w:tcPr>
          <w:p w:rsidR="007F6C9B" w:rsidRPr="00307818" w:rsidRDefault="007F6C9B" w:rsidP="003C7DE2">
            <w:pPr>
              <w:pStyle w:val="naisf"/>
              <w:spacing w:before="0" w:after="120"/>
              <w:ind w:firstLine="33"/>
            </w:pPr>
            <w:r w:rsidRPr="00307818">
              <w:t>Projekts šo jomu neskar.</w:t>
            </w:r>
          </w:p>
          <w:p w:rsidR="007F6C9B" w:rsidRPr="00307818" w:rsidRDefault="007F6C9B" w:rsidP="003C7DE2">
            <w:pPr>
              <w:pStyle w:val="naisf"/>
              <w:spacing w:before="0" w:after="120"/>
              <w:ind w:firstLine="33"/>
            </w:pPr>
            <w:r w:rsidRPr="00307818">
              <w:t xml:space="preserve">Esošu institūciju reorganizācija netiek paredzēta. </w:t>
            </w:r>
          </w:p>
        </w:tc>
      </w:tr>
      <w:tr w:rsidR="007F6C9B" w:rsidRPr="00307818" w:rsidTr="004D406B">
        <w:tc>
          <w:tcPr>
            <w:tcW w:w="2977" w:type="dxa"/>
          </w:tcPr>
          <w:p w:rsidR="007F6C9B" w:rsidRPr="00307818" w:rsidRDefault="007F6C9B" w:rsidP="003C7DE2">
            <w:pPr>
              <w:spacing w:after="120"/>
              <w:ind w:left="284" w:hanging="284"/>
              <w:jc w:val="both"/>
              <w:rPr>
                <w:szCs w:val="28"/>
              </w:rPr>
            </w:pPr>
            <w:r w:rsidRPr="00307818">
              <w:rPr>
                <w:szCs w:val="28"/>
              </w:rPr>
              <w:t>6. Cita informācija</w:t>
            </w:r>
          </w:p>
        </w:tc>
        <w:tc>
          <w:tcPr>
            <w:tcW w:w="6095" w:type="dxa"/>
          </w:tcPr>
          <w:p w:rsidR="007F6C9B" w:rsidRPr="00307818" w:rsidRDefault="007F6C9B" w:rsidP="003C7DE2">
            <w:pPr>
              <w:spacing w:after="120"/>
              <w:rPr>
                <w:szCs w:val="28"/>
              </w:rPr>
            </w:pPr>
            <w:r w:rsidRPr="00307818">
              <w:rPr>
                <w:szCs w:val="28"/>
              </w:rPr>
              <w:t xml:space="preserve">Nav </w:t>
            </w:r>
          </w:p>
        </w:tc>
      </w:tr>
    </w:tbl>
    <w:p w:rsidR="007F6C9B" w:rsidRPr="00307818" w:rsidRDefault="007F6C9B" w:rsidP="00155A4D">
      <w:pPr>
        <w:pStyle w:val="Header"/>
        <w:rPr>
          <w:szCs w:val="28"/>
        </w:rPr>
      </w:pPr>
      <w:r w:rsidRPr="00307818">
        <w:rPr>
          <w:szCs w:val="28"/>
        </w:rPr>
        <w:t xml:space="preserve">                 </w:t>
      </w:r>
    </w:p>
    <w:p w:rsidR="007F6C9B" w:rsidRPr="00307818" w:rsidRDefault="007F6C9B" w:rsidP="00155A4D">
      <w:pPr>
        <w:tabs>
          <w:tab w:val="left" w:pos="0"/>
        </w:tabs>
        <w:jc w:val="both"/>
      </w:pPr>
    </w:p>
    <w:p w:rsidR="007F6C9B" w:rsidRPr="00307818" w:rsidRDefault="007F6C9B" w:rsidP="003826C4">
      <w:pPr>
        <w:tabs>
          <w:tab w:val="left" w:pos="0"/>
        </w:tabs>
        <w:jc w:val="both"/>
        <w:rPr>
          <w:b/>
          <w:sz w:val="28"/>
          <w:szCs w:val="28"/>
        </w:rPr>
      </w:pPr>
      <w:r w:rsidRPr="00307818">
        <w:rPr>
          <w:rFonts w:ascii="TimesNewRomanPS-ItalicMT" w:hAnsi="TimesNewRomanPS-ItalicMT" w:cs="TimesNewRomanPS-ItalicMT"/>
          <w:b/>
          <w:i/>
          <w:iCs/>
          <w:sz w:val="28"/>
          <w:szCs w:val="28"/>
        </w:rPr>
        <w:t xml:space="preserve">Anotācijas III un IV sadaļa – </w:t>
      </w:r>
      <w:r w:rsidRPr="00307818">
        <w:rPr>
          <w:rFonts w:ascii="TimesNewRomanPS-ItalicMT" w:hAnsi="TimesNewRomanPS-ItalicMT" w:cs="TimesNewRomanPS-ItalicMT"/>
          <w:i/>
          <w:iCs/>
          <w:sz w:val="28"/>
          <w:szCs w:val="28"/>
        </w:rPr>
        <w:t xml:space="preserve">projekts </w:t>
      </w:r>
      <w:r w:rsidR="005364D7" w:rsidRPr="00307818">
        <w:rPr>
          <w:rFonts w:ascii="TimesNewRomanPS-ItalicMT" w:hAnsi="TimesNewRomanPS-ItalicMT" w:cs="TimesNewRomanPS-ItalicMT"/>
          <w:i/>
          <w:iCs/>
          <w:sz w:val="28"/>
          <w:szCs w:val="28"/>
        </w:rPr>
        <w:t>š</w:t>
      </w:r>
      <w:r w:rsidRPr="00307818">
        <w:rPr>
          <w:rFonts w:ascii="TimesNewRomanPS-ItalicMT" w:hAnsi="TimesNewRomanPS-ItalicMT" w:cs="TimesNewRomanPS-ItalicMT"/>
          <w:i/>
          <w:iCs/>
          <w:sz w:val="28"/>
          <w:szCs w:val="28"/>
        </w:rPr>
        <w:t>īs jomas neskar.</w:t>
      </w:r>
    </w:p>
    <w:p w:rsidR="007F6C9B" w:rsidRPr="00307818" w:rsidRDefault="007F6C9B" w:rsidP="00155A4D">
      <w:pPr>
        <w:tabs>
          <w:tab w:val="left" w:pos="0"/>
        </w:tabs>
        <w:jc w:val="both"/>
      </w:pPr>
    </w:p>
    <w:p w:rsidR="007F6C9B" w:rsidRPr="00307818" w:rsidRDefault="007F6C9B" w:rsidP="00155A4D">
      <w:pPr>
        <w:tabs>
          <w:tab w:val="left" w:pos="0"/>
        </w:tabs>
        <w:jc w:val="both"/>
        <w:rPr>
          <w:sz w:val="28"/>
          <w:szCs w:val="28"/>
        </w:rPr>
      </w:pPr>
    </w:p>
    <w:p w:rsidR="007F6C9B" w:rsidRPr="00307818" w:rsidRDefault="007F6C9B" w:rsidP="00155A4D">
      <w:pPr>
        <w:tabs>
          <w:tab w:val="left" w:pos="0"/>
        </w:tabs>
        <w:jc w:val="both"/>
        <w:rPr>
          <w:sz w:val="28"/>
          <w:szCs w:val="28"/>
        </w:rPr>
      </w:pPr>
      <w:r w:rsidRPr="00307818">
        <w:rPr>
          <w:sz w:val="28"/>
          <w:szCs w:val="28"/>
        </w:rPr>
        <w:t>Vides aizsardzības un</w:t>
      </w:r>
    </w:p>
    <w:p w:rsidR="007F6C9B" w:rsidRPr="00307818" w:rsidRDefault="007F6C9B" w:rsidP="00155A4D">
      <w:pPr>
        <w:tabs>
          <w:tab w:val="left" w:pos="0"/>
        </w:tabs>
        <w:jc w:val="both"/>
        <w:rPr>
          <w:sz w:val="28"/>
          <w:szCs w:val="28"/>
        </w:rPr>
      </w:pPr>
      <w:r w:rsidRPr="00307818">
        <w:rPr>
          <w:sz w:val="28"/>
          <w:szCs w:val="28"/>
        </w:rPr>
        <w:t>reģionālās attīstības ministrs</w:t>
      </w:r>
      <w:r w:rsidRPr="00307818">
        <w:rPr>
          <w:sz w:val="28"/>
          <w:szCs w:val="28"/>
        </w:rPr>
        <w:tab/>
      </w:r>
      <w:r w:rsidRPr="00307818">
        <w:rPr>
          <w:sz w:val="28"/>
          <w:szCs w:val="28"/>
        </w:rPr>
        <w:tab/>
      </w:r>
      <w:r w:rsidRPr="00307818">
        <w:rPr>
          <w:sz w:val="28"/>
          <w:szCs w:val="28"/>
        </w:rPr>
        <w:tab/>
      </w:r>
      <w:r w:rsidRPr="00307818">
        <w:rPr>
          <w:sz w:val="28"/>
          <w:szCs w:val="28"/>
        </w:rPr>
        <w:tab/>
      </w:r>
      <w:r w:rsidRPr="00307818">
        <w:rPr>
          <w:sz w:val="28"/>
          <w:szCs w:val="28"/>
        </w:rPr>
        <w:tab/>
      </w:r>
      <w:r w:rsidRPr="00307818">
        <w:rPr>
          <w:sz w:val="28"/>
          <w:szCs w:val="28"/>
        </w:rPr>
        <w:tab/>
        <w:t xml:space="preserve">E.Sprūdžs  </w:t>
      </w:r>
    </w:p>
    <w:p w:rsidR="007F6C9B" w:rsidRPr="00307818" w:rsidRDefault="007F6C9B" w:rsidP="00155A4D">
      <w:pPr>
        <w:tabs>
          <w:tab w:val="left" w:pos="0"/>
        </w:tabs>
        <w:jc w:val="both"/>
        <w:rPr>
          <w:sz w:val="28"/>
          <w:szCs w:val="28"/>
        </w:rPr>
      </w:pPr>
    </w:p>
    <w:p w:rsidR="007F6C9B" w:rsidRPr="00307818" w:rsidRDefault="007F6C9B" w:rsidP="00155A4D">
      <w:pPr>
        <w:tabs>
          <w:tab w:val="left" w:pos="0"/>
        </w:tabs>
        <w:jc w:val="both"/>
        <w:rPr>
          <w:b/>
          <w:sz w:val="28"/>
          <w:szCs w:val="28"/>
        </w:rPr>
      </w:pPr>
    </w:p>
    <w:p w:rsidR="007F6C9B" w:rsidRPr="00307818" w:rsidRDefault="007F6C9B" w:rsidP="00957A9E">
      <w:pPr>
        <w:tabs>
          <w:tab w:val="left" w:pos="0"/>
        </w:tabs>
        <w:spacing w:after="120"/>
        <w:jc w:val="both"/>
        <w:rPr>
          <w:b/>
          <w:sz w:val="28"/>
          <w:szCs w:val="28"/>
        </w:rPr>
      </w:pPr>
      <w:r w:rsidRPr="00307818">
        <w:rPr>
          <w:b/>
          <w:sz w:val="28"/>
          <w:szCs w:val="28"/>
        </w:rPr>
        <w:t>Vīza:</w:t>
      </w:r>
    </w:p>
    <w:p w:rsidR="00307818" w:rsidRPr="00307818" w:rsidRDefault="00307818" w:rsidP="00307818">
      <w:pPr>
        <w:tabs>
          <w:tab w:val="left" w:pos="0"/>
        </w:tabs>
        <w:jc w:val="both"/>
      </w:pPr>
      <w:r w:rsidRPr="00307818">
        <w:t>Valsts sekretāra p.i.,</w:t>
      </w:r>
    </w:p>
    <w:p w:rsidR="00307818" w:rsidRPr="00307818" w:rsidRDefault="00307818" w:rsidP="00307818">
      <w:pPr>
        <w:tabs>
          <w:tab w:val="left" w:pos="0"/>
        </w:tabs>
        <w:jc w:val="both"/>
      </w:pPr>
      <w:r w:rsidRPr="00307818">
        <w:t>administrācijas vadītājs</w:t>
      </w:r>
      <w:r w:rsidRPr="00307818">
        <w:tab/>
      </w:r>
      <w:r w:rsidRPr="00307818">
        <w:tab/>
      </w:r>
      <w:r w:rsidRPr="00307818">
        <w:tab/>
      </w:r>
      <w:r w:rsidRPr="00307818">
        <w:tab/>
      </w:r>
      <w:r w:rsidRPr="00307818">
        <w:tab/>
      </w:r>
      <w:r w:rsidRPr="00307818">
        <w:tab/>
      </w:r>
      <w:r w:rsidRPr="00307818">
        <w:tab/>
        <w:t>G.Kauliņš</w:t>
      </w:r>
    </w:p>
    <w:p w:rsidR="007F6C9B" w:rsidRPr="00307818" w:rsidRDefault="007F6C9B" w:rsidP="00E116C7">
      <w:pPr>
        <w:tabs>
          <w:tab w:val="left" w:pos="0"/>
        </w:tabs>
        <w:jc w:val="both"/>
      </w:pPr>
    </w:p>
    <w:p w:rsidR="007F6C9B" w:rsidRPr="00307818" w:rsidRDefault="007F6C9B" w:rsidP="00E116C7">
      <w:pPr>
        <w:tabs>
          <w:tab w:val="left" w:pos="0"/>
        </w:tabs>
        <w:jc w:val="both"/>
      </w:pPr>
    </w:p>
    <w:p w:rsidR="009B61C3" w:rsidRPr="00307818" w:rsidRDefault="009B61C3" w:rsidP="00E116C7">
      <w:pPr>
        <w:tabs>
          <w:tab w:val="left" w:pos="0"/>
        </w:tabs>
        <w:jc w:val="both"/>
      </w:pPr>
    </w:p>
    <w:p w:rsidR="009B61C3" w:rsidRPr="00307818" w:rsidRDefault="009B61C3" w:rsidP="00E116C7">
      <w:pPr>
        <w:tabs>
          <w:tab w:val="left" w:pos="0"/>
        </w:tabs>
        <w:jc w:val="both"/>
      </w:pPr>
    </w:p>
    <w:p w:rsidR="007F6C9B" w:rsidRPr="00307818" w:rsidRDefault="007F41F8" w:rsidP="00E116C7">
      <w:pPr>
        <w:tabs>
          <w:tab w:val="left" w:pos="0"/>
        </w:tabs>
        <w:jc w:val="both"/>
      </w:pPr>
      <w:r w:rsidRPr="00307818">
        <w:t>07.03</w:t>
      </w:r>
      <w:r w:rsidR="00C6016B" w:rsidRPr="00307818">
        <w:t>.2013</w:t>
      </w:r>
      <w:r w:rsidR="007F6C9B" w:rsidRPr="00307818">
        <w:t>. 1</w:t>
      </w:r>
      <w:r w:rsidR="00C6016B" w:rsidRPr="00307818">
        <w:t>1</w:t>
      </w:r>
      <w:r w:rsidR="007F6C9B" w:rsidRPr="00307818">
        <w:t>:</w:t>
      </w:r>
      <w:r w:rsidR="00C6016B" w:rsidRPr="00307818">
        <w:t>1</w:t>
      </w:r>
      <w:r w:rsidR="007F6C9B" w:rsidRPr="00307818">
        <w:t>0</w:t>
      </w:r>
    </w:p>
    <w:p w:rsidR="007F6C9B" w:rsidRPr="00307818" w:rsidRDefault="00356AA5" w:rsidP="00155A4D">
      <w:pPr>
        <w:pStyle w:val="Header"/>
        <w:rPr>
          <w:sz w:val="24"/>
          <w:szCs w:val="24"/>
        </w:rPr>
      </w:pPr>
      <w:r w:rsidRPr="00307818">
        <w:rPr>
          <w:sz w:val="24"/>
          <w:szCs w:val="24"/>
        </w:rPr>
        <w:t>3</w:t>
      </w:r>
      <w:r w:rsidR="00733913" w:rsidRPr="00307818">
        <w:rPr>
          <w:sz w:val="24"/>
          <w:szCs w:val="24"/>
        </w:rPr>
        <w:t>5</w:t>
      </w:r>
      <w:r w:rsidR="007F41F8" w:rsidRPr="00307818">
        <w:rPr>
          <w:sz w:val="24"/>
          <w:szCs w:val="24"/>
        </w:rPr>
        <w:t>46</w:t>
      </w:r>
      <w:bookmarkStart w:id="4" w:name="_GoBack"/>
      <w:bookmarkEnd w:id="4"/>
    </w:p>
    <w:p w:rsidR="007F6C9B" w:rsidRPr="00307818" w:rsidRDefault="007F6C9B" w:rsidP="00155A4D">
      <w:pPr>
        <w:pStyle w:val="Header"/>
        <w:rPr>
          <w:sz w:val="24"/>
          <w:szCs w:val="24"/>
        </w:rPr>
      </w:pPr>
      <w:r w:rsidRPr="00307818">
        <w:rPr>
          <w:sz w:val="24"/>
          <w:szCs w:val="24"/>
        </w:rPr>
        <w:t>D.Šatrovska</w:t>
      </w:r>
    </w:p>
    <w:p w:rsidR="007F6C9B" w:rsidRPr="00307818" w:rsidRDefault="007F6C9B" w:rsidP="00DE0316">
      <w:pPr>
        <w:pStyle w:val="Header"/>
        <w:spacing w:after="120"/>
      </w:pPr>
      <w:r w:rsidRPr="00307818">
        <w:rPr>
          <w:sz w:val="24"/>
          <w:szCs w:val="24"/>
        </w:rPr>
        <w:t xml:space="preserve">67026521; </w:t>
      </w:r>
      <w:hyperlink r:id="rId9" w:history="1">
        <w:r w:rsidRPr="00307818">
          <w:rPr>
            <w:rStyle w:val="Hyperlink"/>
            <w:sz w:val="24"/>
            <w:szCs w:val="24"/>
          </w:rPr>
          <w:t>dace.satrovska@varam.gov.lv</w:t>
        </w:r>
      </w:hyperlink>
      <w:r w:rsidRPr="00307818">
        <w:rPr>
          <w:sz w:val="24"/>
          <w:szCs w:val="24"/>
        </w:rPr>
        <w:t xml:space="preserve">   </w:t>
      </w:r>
    </w:p>
    <w:sectPr w:rsidR="007F6C9B" w:rsidRPr="00307818" w:rsidSect="003D77D3">
      <w:headerReference w:type="even" r:id="rId10"/>
      <w:headerReference w:type="default"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DF" w:rsidRDefault="008208DF">
      <w:r>
        <w:separator/>
      </w:r>
    </w:p>
  </w:endnote>
  <w:endnote w:type="continuationSeparator" w:id="0">
    <w:p w:rsidR="008208DF" w:rsidRDefault="00820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5A" w:rsidRPr="0050660E" w:rsidRDefault="0014765A" w:rsidP="009C30EC">
    <w:pPr>
      <w:pStyle w:val="HTMLPreformatted"/>
      <w:jc w:val="both"/>
      <w:rPr>
        <w:rFonts w:ascii="Times New Roman" w:hAnsi="Times New Roman"/>
        <w:bCs/>
        <w:sz w:val="24"/>
        <w:szCs w:val="24"/>
      </w:rPr>
    </w:pPr>
    <w:r w:rsidRPr="006D4783">
      <w:rPr>
        <w:rFonts w:ascii="Times New Roman" w:hAnsi="Times New Roman"/>
        <w:sz w:val="24"/>
        <w:szCs w:val="24"/>
      </w:rPr>
      <w:t>VARAMAnot_</w:t>
    </w:r>
    <w:r w:rsidR="007F41F8">
      <w:rPr>
        <w:rFonts w:ascii="Times New Roman" w:hAnsi="Times New Roman"/>
        <w:sz w:val="24"/>
        <w:szCs w:val="24"/>
      </w:rPr>
      <w:t>0703</w:t>
    </w:r>
    <w:r w:rsidR="001F4A5B">
      <w:rPr>
        <w:rFonts w:ascii="Times New Roman" w:hAnsi="Times New Roman"/>
        <w:sz w:val="24"/>
        <w:szCs w:val="24"/>
      </w:rPr>
      <w:t>13</w:t>
    </w:r>
    <w:r w:rsidRPr="006D4783">
      <w:rPr>
        <w:rFonts w:ascii="Times New Roman" w:hAnsi="Times New Roman"/>
        <w:sz w:val="24"/>
        <w:szCs w:val="24"/>
      </w:rPr>
      <w:t>_</w:t>
    </w:r>
    <w:r>
      <w:rPr>
        <w:rFonts w:ascii="Times New Roman" w:hAnsi="Times New Roman"/>
        <w:sz w:val="24"/>
        <w:szCs w:val="24"/>
      </w:rPr>
      <w:t>darbinieki</w:t>
    </w:r>
    <w:r w:rsidRPr="006D4783">
      <w:rPr>
        <w:rFonts w:ascii="Times New Roman" w:hAnsi="Times New Roman"/>
        <w:sz w:val="24"/>
        <w:szCs w:val="24"/>
      </w:rPr>
      <w:t xml:space="preserve">; </w:t>
    </w:r>
    <w:bookmarkStart w:id="5" w:name="OLE_LINK1"/>
    <w:bookmarkStart w:id="6" w:name="OLE_LINK2"/>
    <w:r w:rsidRPr="009C30EC">
      <w:rPr>
        <w:rFonts w:ascii="Times New Roman" w:hAnsi="Times New Roman"/>
        <w:sz w:val="24"/>
        <w:szCs w:val="24"/>
      </w:rPr>
      <w:t xml:space="preserve">Ministru kabineta </w:t>
    </w:r>
    <w:r w:rsidRPr="0050660E">
      <w:rPr>
        <w:rFonts w:ascii="Times New Roman" w:hAnsi="Times New Roman"/>
        <w:sz w:val="24"/>
        <w:szCs w:val="24"/>
      </w:rPr>
      <w:t>noteikumu „Darbinieku apstarošanas kontroles un uzskaites kārtība”</w:t>
    </w:r>
    <w:r w:rsidR="00C6016B">
      <w:rPr>
        <w:rFonts w:ascii="Times New Roman" w:hAnsi="Times New Roman"/>
        <w:sz w:val="24"/>
        <w:szCs w:val="24"/>
      </w:rPr>
      <w:t xml:space="preserve"> projekta</w:t>
    </w:r>
    <w:r w:rsidRPr="0050660E">
      <w:rPr>
        <w:rFonts w:ascii="Times New Roman" w:hAnsi="Times New Roman"/>
        <w:bCs/>
        <w:sz w:val="24"/>
        <w:szCs w:val="24"/>
      </w:rPr>
      <w:t xml:space="preserve"> sākotnējās ietekmes novērtējuma </w:t>
    </w:r>
    <w:smartTag w:uri="schemas-tilde-lv/tildestengine" w:element="veidnes">
      <w:smartTagPr>
        <w:attr w:name="id" w:val="-1"/>
        <w:attr w:name="baseform" w:val="ziņojums"/>
        <w:attr w:name="text" w:val="ziņojums"/>
      </w:smartTagPr>
      <w:r w:rsidRPr="0050660E">
        <w:rPr>
          <w:rFonts w:ascii="Times New Roman" w:hAnsi="Times New Roman"/>
          <w:bCs/>
          <w:sz w:val="24"/>
          <w:szCs w:val="24"/>
        </w:rPr>
        <w:t>ziņojums</w:t>
      </w:r>
    </w:smartTag>
    <w:r w:rsidRPr="0050660E">
      <w:rPr>
        <w:rFonts w:ascii="Times New Roman" w:hAnsi="Times New Roman"/>
        <w:bCs/>
        <w:sz w:val="24"/>
        <w:szCs w:val="24"/>
      </w:rPr>
      <w:t xml:space="preserve"> (anotācija)</w:t>
    </w:r>
  </w:p>
  <w:bookmarkEnd w:id="5"/>
  <w:bookmarkEnd w:id="6"/>
  <w:p w:rsidR="0014765A" w:rsidRDefault="0014765A">
    <w:pPr>
      <w:pStyle w:val="Footer"/>
    </w:pPr>
  </w:p>
  <w:p w:rsidR="0014765A" w:rsidRPr="00D929FC" w:rsidRDefault="0014765A" w:rsidP="003D77D3">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DF" w:rsidRDefault="008208DF">
      <w:r>
        <w:separator/>
      </w:r>
    </w:p>
  </w:footnote>
  <w:footnote w:type="continuationSeparator" w:id="0">
    <w:p w:rsidR="008208DF" w:rsidRDefault="0082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5A" w:rsidRDefault="00E07634" w:rsidP="003D77D3">
    <w:pPr>
      <w:pStyle w:val="Header"/>
      <w:framePr w:wrap="around" w:vAnchor="text" w:hAnchor="margin" w:xAlign="center" w:y="1"/>
      <w:rPr>
        <w:rStyle w:val="PageNumber"/>
      </w:rPr>
    </w:pPr>
    <w:r>
      <w:rPr>
        <w:rStyle w:val="PageNumber"/>
      </w:rPr>
      <w:fldChar w:fldCharType="begin"/>
    </w:r>
    <w:r w:rsidR="0014765A">
      <w:rPr>
        <w:rStyle w:val="PageNumber"/>
      </w:rPr>
      <w:instrText xml:space="preserve">PAGE  </w:instrText>
    </w:r>
    <w:r>
      <w:rPr>
        <w:rStyle w:val="PageNumber"/>
      </w:rPr>
      <w:fldChar w:fldCharType="separate"/>
    </w:r>
    <w:r w:rsidR="0014765A">
      <w:rPr>
        <w:rStyle w:val="PageNumber"/>
        <w:noProof/>
      </w:rPr>
      <w:t>1</w:t>
    </w:r>
    <w:r>
      <w:rPr>
        <w:rStyle w:val="PageNumber"/>
      </w:rPr>
      <w:fldChar w:fldCharType="end"/>
    </w:r>
  </w:p>
  <w:p w:rsidR="0014765A" w:rsidRDefault="00147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5A" w:rsidRPr="009C5013" w:rsidRDefault="00E07634" w:rsidP="003D77D3">
    <w:pPr>
      <w:pStyle w:val="Header"/>
      <w:framePr w:wrap="around" w:vAnchor="text" w:hAnchor="margin" w:xAlign="center" w:y="1"/>
      <w:rPr>
        <w:rStyle w:val="PageNumber"/>
        <w:sz w:val="24"/>
        <w:szCs w:val="24"/>
      </w:rPr>
    </w:pPr>
    <w:r w:rsidRPr="009C5013">
      <w:rPr>
        <w:rStyle w:val="PageNumber"/>
        <w:sz w:val="24"/>
        <w:szCs w:val="24"/>
      </w:rPr>
      <w:fldChar w:fldCharType="begin"/>
    </w:r>
    <w:r w:rsidR="0014765A" w:rsidRPr="009C5013">
      <w:rPr>
        <w:rStyle w:val="PageNumber"/>
        <w:sz w:val="24"/>
        <w:szCs w:val="24"/>
      </w:rPr>
      <w:instrText xml:space="preserve">PAGE  </w:instrText>
    </w:r>
    <w:r w:rsidRPr="009C5013">
      <w:rPr>
        <w:rStyle w:val="PageNumber"/>
        <w:sz w:val="24"/>
        <w:szCs w:val="24"/>
      </w:rPr>
      <w:fldChar w:fldCharType="separate"/>
    </w:r>
    <w:r w:rsidR="008447B6">
      <w:rPr>
        <w:rStyle w:val="PageNumber"/>
        <w:noProof/>
        <w:sz w:val="24"/>
        <w:szCs w:val="24"/>
      </w:rPr>
      <w:t>1</w:t>
    </w:r>
    <w:r w:rsidRPr="009C5013">
      <w:rPr>
        <w:rStyle w:val="PageNumber"/>
        <w:sz w:val="24"/>
        <w:szCs w:val="24"/>
      </w:rPr>
      <w:fldChar w:fldCharType="end"/>
    </w:r>
  </w:p>
  <w:p w:rsidR="0014765A" w:rsidRDefault="00147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
      </v:shape>
    </w:pict>
  </w:numPicBullet>
  <w:abstractNum w:abstractNumId="0">
    <w:nsid w:val="04891AD5"/>
    <w:multiLevelType w:val="hybridMultilevel"/>
    <w:tmpl w:val="32F8AC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5A516EA"/>
    <w:multiLevelType w:val="hybridMultilevel"/>
    <w:tmpl w:val="9912E3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C1520"/>
    <w:multiLevelType w:val="hybridMultilevel"/>
    <w:tmpl w:val="4198DF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2106A"/>
    <w:multiLevelType w:val="hybridMultilevel"/>
    <w:tmpl w:val="AF40D3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F511C4A"/>
    <w:multiLevelType w:val="hybridMultilevel"/>
    <w:tmpl w:val="E5102A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NotTrackMoves/>
  <w:documentProtection w:edit="readOnly"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CE9"/>
    <w:rsid w:val="00004D96"/>
    <w:rsid w:val="00011330"/>
    <w:rsid w:val="00011F49"/>
    <w:rsid w:val="00016A1B"/>
    <w:rsid w:val="00021492"/>
    <w:rsid w:val="00024EDC"/>
    <w:rsid w:val="00031C6D"/>
    <w:rsid w:val="00041946"/>
    <w:rsid w:val="00061C6C"/>
    <w:rsid w:val="000629B5"/>
    <w:rsid w:val="00064611"/>
    <w:rsid w:val="00064717"/>
    <w:rsid w:val="00093A52"/>
    <w:rsid w:val="000A68ED"/>
    <w:rsid w:val="000A7EB7"/>
    <w:rsid w:val="000B1A26"/>
    <w:rsid w:val="000C329F"/>
    <w:rsid w:val="000D0085"/>
    <w:rsid w:val="000D057F"/>
    <w:rsid w:val="000D0C5C"/>
    <w:rsid w:val="000D3AEE"/>
    <w:rsid w:val="000D3EAF"/>
    <w:rsid w:val="000D56F9"/>
    <w:rsid w:val="000D5F4D"/>
    <w:rsid w:val="000E63B9"/>
    <w:rsid w:val="000F2E2F"/>
    <w:rsid w:val="000F32B0"/>
    <w:rsid w:val="000F3D91"/>
    <w:rsid w:val="001104F4"/>
    <w:rsid w:val="001312EB"/>
    <w:rsid w:val="00135102"/>
    <w:rsid w:val="0014765A"/>
    <w:rsid w:val="00155A4D"/>
    <w:rsid w:val="001709D2"/>
    <w:rsid w:val="00181FD2"/>
    <w:rsid w:val="001836A0"/>
    <w:rsid w:val="00184BC9"/>
    <w:rsid w:val="001A5AA7"/>
    <w:rsid w:val="001B0876"/>
    <w:rsid w:val="001C76B6"/>
    <w:rsid w:val="001D35C7"/>
    <w:rsid w:val="001E1750"/>
    <w:rsid w:val="001E7DCA"/>
    <w:rsid w:val="001F4A5B"/>
    <w:rsid w:val="001F6BE6"/>
    <w:rsid w:val="0021500A"/>
    <w:rsid w:val="00216B25"/>
    <w:rsid w:val="00231D20"/>
    <w:rsid w:val="00241C3A"/>
    <w:rsid w:val="002614FD"/>
    <w:rsid w:val="002665BC"/>
    <w:rsid w:val="002716AC"/>
    <w:rsid w:val="00273347"/>
    <w:rsid w:val="00275DD8"/>
    <w:rsid w:val="002920FC"/>
    <w:rsid w:val="00294538"/>
    <w:rsid w:val="002C0B12"/>
    <w:rsid w:val="002C185A"/>
    <w:rsid w:val="002C1B5E"/>
    <w:rsid w:val="002C6EE0"/>
    <w:rsid w:val="002C74E0"/>
    <w:rsid w:val="002D33EC"/>
    <w:rsid w:val="002D4D2E"/>
    <w:rsid w:val="002F5CE9"/>
    <w:rsid w:val="00305019"/>
    <w:rsid w:val="00307818"/>
    <w:rsid w:val="00335745"/>
    <w:rsid w:val="00342827"/>
    <w:rsid w:val="0034660B"/>
    <w:rsid w:val="00356AA5"/>
    <w:rsid w:val="003640F3"/>
    <w:rsid w:val="00364EE4"/>
    <w:rsid w:val="003805DC"/>
    <w:rsid w:val="00380A54"/>
    <w:rsid w:val="003826C4"/>
    <w:rsid w:val="00394EE0"/>
    <w:rsid w:val="003A0027"/>
    <w:rsid w:val="003B4255"/>
    <w:rsid w:val="003C1A75"/>
    <w:rsid w:val="003C7DE2"/>
    <w:rsid w:val="003D123F"/>
    <w:rsid w:val="003D77D3"/>
    <w:rsid w:val="0041775D"/>
    <w:rsid w:val="00423279"/>
    <w:rsid w:val="004271E0"/>
    <w:rsid w:val="00434A7C"/>
    <w:rsid w:val="00436390"/>
    <w:rsid w:val="00436845"/>
    <w:rsid w:val="00444289"/>
    <w:rsid w:val="00444C8D"/>
    <w:rsid w:val="004468A8"/>
    <w:rsid w:val="00452F9B"/>
    <w:rsid w:val="00461AAD"/>
    <w:rsid w:val="004646F4"/>
    <w:rsid w:val="0047067E"/>
    <w:rsid w:val="00471417"/>
    <w:rsid w:val="0047567C"/>
    <w:rsid w:val="0048187F"/>
    <w:rsid w:val="004862ED"/>
    <w:rsid w:val="0048767B"/>
    <w:rsid w:val="00493B08"/>
    <w:rsid w:val="00495A45"/>
    <w:rsid w:val="004A4189"/>
    <w:rsid w:val="004A5EAD"/>
    <w:rsid w:val="004B0AFB"/>
    <w:rsid w:val="004B3A6F"/>
    <w:rsid w:val="004B560C"/>
    <w:rsid w:val="004C541C"/>
    <w:rsid w:val="004D3838"/>
    <w:rsid w:val="004D406B"/>
    <w:rsid w:val="004E0F7C"/>
    <w:rsid w:val="004E6F73"/>
    <w:rsid w:val="004E769D"/>
    <w:rsid w:val="004F4BA3"/>
    <w:rsid w:val="0050660E"/>
    <w:rsid w:val="00514A7B"/>
    <w:rsid w:val="00523F71"/>
    <w:rsid w:val="00534566"/>
    <w:rsid w:val="005364D7"/>
    <w:rsid w:val="0054591C"/>
    <w:rsid w:val="00547598"/>
    <w:rsid w:val="00557B1A"/>
    <w:rsid w:val="005602CD"/>
    <w:rsid w:val="00576BCA"/>
    <w:rsid w:val="005A0226"/>
    <w:rsid w:val="005A3AD1"/>
    <w:rsid w:val="005A44AA"/>
    <w:rsid w:val="005D2A92"/>
    <w:rsid w:val="005E1A76"/>
    <w:rsid w:val="005F438B"/>
    <w:rsid w:val="006060C8"/>
    <w:rsid w:val="006125BE"/>
    <w:rsid w:val="0061450F"/>
    <w:rsid w:val="006433DC"/>
    <w:rsid w:val="0064499B"/>
    <w:rsid w:val="00671646"/>
    <w:rsid w:val="0068144E"/>
    <w:rsid w:val="0068726C"/>
    <w:rsid w:val="006B61F9"/>
    <w:rsid w:val="006D0EAC"/>
    <w:rsid w:val="006D4783"/>
    <w:rsid w:val="006E14B3"/>
    <w:rsid w:val="006E5EA5"/>
    <w:rsid w:val="006F6C30"/>
    <w:rsid w:val="00706CD3"/>
    <w:rsid w:val="007146AF"/>
    <w:rsid w:val="00721F47"/>
    <w:rsid w:val="00722826"/>
    <w:rsid w:val="00726C4E"/>
    <w:rsid w:val="00733913"/>
    <w:rsid w:val="00741C6A"/>
    <w:rsid w:val="00744BC1"/>
    <w:rsid w:val="0076469E"/>
    <w:rsid w:val="00781511"/>
    <w:rsid w:val="007841E4"/>
    <w:rsid w:val="00784E5E"/>
    <w:rsid w:val="0078531F"/>
    <w:rsid w:val="007908B8"/>
    <w:rsid w:val="007937F8"/>
    <w:rsid w:val="007B31E5"/>
    <w:rsid w:val="007B6A48"/>
    <w:rsid w:val="007C0F2C"/>
    <w:rsid w:val="007D4733"/>
    <w:rsid w:val="007D57CD"/>
    <w:rsid w:val="007F0AA6"/>
    <w:rsid w:val="007F2024"/>
    <w:rsid w:val="007F41F8"/>
    <w:rsid w:val="007F6C9B"/>
    <w:rsid w:val="00801802"/>
    <w:rsid w:val="0081304B"/>
    <w:rsid w:val="00813ADF"/>
    <w:rsid w:val="008208DF"/>
    <w:rsid w:val="0083105F"/>
    <w:rsid w:val="008427A9"/>
    <w:rsid w:val="008447B6"/>
    <w:rsid w:val="0085178A"/>
    <w:rsid w:val="008631F4"/>
    <w:rsid w:val="008678E1"/>
    <w:rsid w:val="00872CBA"/>
    <w:rsid w:val="00873F7A"/>
    <w:rsid w:val="00874444"/>
    <w:rsid w:val="008932FC"/>
    <w:rsid w:val="008947D2"/>
    <w:rsid w:val="008A455D"/>
    <w:rsid w:val="008C5202"/>
    <w:rsid w:val="008C608D"/>
    <w:rsid w:val="008D7F36"/>
    <w:rsid w:val="008F1C86"/>
    <w:rsid w:val="00906302"/>
    <w:rsid w:val="00907C91"/>
    <w:rsid w:val="00912993"/>
    <w:rsid w:val="00913D30"/>
    <w:rsid w:val="00931684"/>
    <w:rsid w:val="00936AFE"/>
    <w:rsid w:val="00940B49"/>
    <w:rsid w:val="00950B80"/>
    <w:rsid w:val="009548EA"/>
    <w:rsid w:val="00957A9E"/>
    <w:rsid w:val="009640EB"/>
    <w:rsid w:val="00967B5D"/>
    <w:rsid w:val="00987FBF"/>
    <w:rsid w:val="009909A2"/>
    <w:rsid w:val="009A64EF"/>
    <w:rsid w:val="009A6A9B"/>
    <w:rsid w:val="009B2008"/>
    <w:rsid w:val="009B61C3"/>
    <w:rsid w:val="009B7192"/>
    <w:rsid w:val="009C0B14"/>
    <w:rsid w:val="009C0CCF"/>
    <w:rsid w:val="009C2B53"/>
    <w:rsid w:val="009C30EC"/>
    <w:rsid w:val="009C4918"/>
    <w:rsid w:val="009C5013"/>
    <w:rsid w:val="009D5508"/>
    <w:rsid w:val="009D6672"/>
    <w:rsid w:val="009E2AF6"/>
    <w:rsid w:val="009E6F77"/>
    <w:rsid w:val="00A01380"/>
    <w:rsid w:val="00A115E9"/>
    <w:rsid w:val="00A15439"/>
    <w:rsid w:val="00A1697D"/>
    <w:rsid w:val="00A241AB"/>
    <w:rsid w:val="00A46E23"/>
    <w:rsid w:val="00A473EA"/>
    <w:rsid w:val="00A629A3"/>
    <w:rsid w:val="00A773E6"/>
    <w:rsid w:val="00A81EDA"/>
    <w:rsid w:val="00AA14E4"/>
    <w:rsid w:val="00AA17F1"/>
    <w:rsid w:val="00AA43EF"/>
    <w:rsid w:val="00AB3FB9"/>
    <w:rsid w:val="00AD31DF"/>
    <w:rsid w:val="00AD4438"/>
    <w:rsid w:val="00AD443F"/>
    <w:rsid w:val="00AD7B99"/>
    <w:rsid w:val="00AE4199"/>
    <w:rsid w:val="00AE6EA0"/>
    <w:rsid w:val="00AF7C35"/>
    <w:rsid w:val="00B0014C"/>
    <w:rsid w:val="00B04E5B"/>
    <w:rsid w:val="00B113BC"/>
    <w:rsid w:val="00B1360D"/>
    <w:rsid w:val="00B14B0F"/>
    <w:rsid w:val="00B16EB3"/>
    <w:rsid w:val="00B25F84"/>
    <w:rsid w:val="00B314CA"/>
    <w:rsid w:val="00B556B3"/>
    <w:rsid w:val="00B576E2"/>
    <w:rsid w:val="00B65E88"/>
    <w:rsid w:val="00B67005"/>
    <w:rsid w:val="00B70453"/>
    <w:rsid w:val="00B725E7"/>
    <w:rsid w:val="00B81169"/>
    <w:rsid w:val="00B861E3"/>
    <w:rsid w:val="00B862BC"/>
    <w:rsid w:val="00B86AD3"/>
    <w:rsid w:val="00B96318"/>
    <w:rsid w:val="00BA573B"/>
    <w:rsid w:val="00BA5C5A"/>
    <w:rsid w:val="00BA750E"/>
    <w:rsid w:val="00BB1C33"/>
    <w:rsid w:val="00BB43B9"/>
    <w:rsid w:val="00BD4081"/>
    <w:rsid w:val="00BD783F"/>
    <w:rsid w:val="00BF09A0"/>
    <w:rsid w:val="00BF369F"/>
    <w:rsid w:val="00BF39C4"/>
    <w:rsid w:val="00BF44A6"/>
    <w:rsid w:val="00BF528C"/>
    <w:rsid w:val="00C05C7E"/>
    <w:rsid w:val="00C07DE6"/>
    <w:rsid w:val="00C11272"/>
    <w:rsid w:val="00C1156D"/>
    <w:rsid w:val="00C128C4"/>
    <w:rsid w:val="00C13450"/>
    <w:rsid w:val="00C34A0E"/>
    <w:rsid w:val="00C47AA7"/>
    <w:rsid w:val="00C47FBE"/>
    <w:rsid w:val="00C5346E"/>
    <w:rsid w:val="00C573BC"/>
    <w:rsid w:val="00C6016B"/>
    <w:rsid w:val="00C908D9"/>
    <w:rsid w:val="00CA022C"/>
    <w:rsid w:val="00CC3BD2"/>
    <w:rsid w:val="00CE0AE8"/>
    <w:rsid w:val="00CE1B01"/>
    <w:rsid w:val="00D02AE8"/>
    <w:rsid w:val="00D105F7"/>
    <w:rsid w:val="00D26133"/>
    <w:rsid w:val="00D419E0"/>
    <w:rsid w:val="00D433AD"/>
    <w:rsid w:val="00D65C37"/>
    <w:rsid w:val="00D67B4D"/>
    <w:rsid w:val="00D75F50"/>
    <w:rsid w:val="00D810E2"/>
    <w:rsid w:val="00D86956"/>
    <w:rsid w:val="00D86DC8"/>
    <w:rsid w:val="00D91D7E"/>
    <w:rsid w:val="00D929FC"/>
    <w:rsid w:val="00D9390D"/>
    <w:rsid w:val="00D94CC7"/>
    <w:rsid w:val="00DB369B"/>
    <w:rsid w:val="00DB3753"/>
    <w:rsid w:val="00DB799D"/>
    <w:rsid w:val="00DC3E97"/>
    <w:rsid w:val="00DC642C"/>
    <w:rsid w:val="00DE0316"/>
    <w:rsid w:val="00DE1B5F"/>
    <w:rsid w:val="00DE1ECE"/>
    <w:rsid w:val="00DE311B"/>
    <w:rsid w:val="00DE4BA6"/>
    <w:rsid w:val="00DE5726"/>
    <w:rsid w:val="00DF28D3"/>
    <w:rsid w:val="00DF350B"/>
    <w:rsid w:val="00DF5C40"/>
    <w:rsid w:val="00E07634"/>
    <w:rsid w:val="00E116C7"/>
    <w:rsid w:val="00E12039"/>
    <w:rsid w:val="00E37183"/>
    <w:rsid w:val="00E40E11"/>
    <w:rsid w:val="00E57116"/>
    <w:rsid w:val="00E64526"/>
    <w:rsid w:val="00E736F3"/>
    <w:rsid w:val="00E84D06"/>
    <w:rsid w:val="00E92E1B"/>
    <w:rsid w:val="00E97BC7"/>
    <w:rsid w:val="00EA1FBC"/>
    <w:rsid w:val="00EA3438"/>
    <w:rsid w:val="00EB48C7"/>
    <w:rsid w:val="00EC0610"/>
    <w:rsid w:val="00ED45B9"/>
    <w:rsid w:val="00EE2492"/>
    <w:rsid w:val="00EF3FBF"/>
    <w:rsid w:val="00F058B1"/>
    <w:rsid w:val="00F1335D"/>
    <w:rsid w:val="00F16241"/>
    <w:rsid w:val="00F201EE"/>
    <w:rsid w:val="00F26E20"/>
    <w:rsid w:val="00F36039"/>
    <w:rsid w:val="00F45531"/>
    <w:rsid w:val="00F57A5D"/>
    <w:rsid w:val="00F74CD4"/>
    <w:rsid w:val="00F82323"/>
    <w:rsid w:val="00FA2569"/>
    <w:rsid w:val="00FA7557"/>
    <w:rsid w:val="00FB156B"/>
    <w:rsid w:val="00FB2E6F"/>
    <w:rsid w:val="00FB595A"/>
    <w:rsid w:val="00FC5234"/>
    <w:rsid w:val="00FF087E"/>
    <w:rsid w:val="00FF31D6"/>
    <w:rsid w:val="00FF6416"/>
    <w:rsid w:val="00FF7B7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77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77D3"/>
    <w:pPr>
      <w:jc w:val="center"/>
    </w:pPr>
    <w:rPr>
      <w:rFonts w:eastAsia="Calibri"/>
      <w:b/>
      <w:sz w:val="32"/>
      <w:szCs w:val="32"/>
    </w:rPr>
  </w:style>
  <w:style w:type="character" w:customStyle="1" w:styleId="BodyTextChar">
    <w:name w:val="Body Text Char"/>
    <w:link w:val="BodyText"/>
    <w:uiPriority w:val="99"/>
    <w:locked/>
    <w:rsid w:val="003D77D3"/>
    <w:rPr>
      <w:rFonts w:ascii="Times New Roman" w:hAnsi="Times New Roman"/>
      <w:b/>
      <w:sz w:val="32"/>
      <w:lang w:val="lv-LV" w:eastAsia="lv-LV"/>
    </w:rPr>
  </w:style>
  <w:style w:type="paragraph" w:styleId="Footer">
    <w:name w:val="footer"/>
    <w:basedOn w:val="Normal"/>
    <w:link w:val="FooterChar"/>
    <w:uiPriority w:val="99"/>
    <w:rsid w:val="003D77D3"/>
    <w:pPr>
      <w:tabs>
        <w:tab w:val="center" w:pos="4153"/>
        <w:tab w:val="right" w:pos="8306"/>
      </w:tabs>
    </w:pPr>
    <w:rPr>
      <w:rFonts w:ascii="RimTimes" w:eastAsia="Calibri" w:hAnsi="RimTimes"/>
      <w:sz w:val="20"/>
      <w:szCs w:val="20"/>
    </w:rPr>
  </w:style>
  <w:style w:type="character" w:customStyle="1" w:styleId="FooterChar">
    <w:name w:val="Footer Char"/>
    <w:link w:val="Footer"/>
    <w:uiPriority w:val="99"/>
    <w:locked/>
    <w:rsid w:val="003D77D3"/>
    <w:rPr>
      <w:rFonts w:ascii="RimTimes" w:hAnsi="RimTimes"/>
      <w:snapToGrid w:val="0"/>
      <w:sz w:val="20"/>
      <w:lang w:val="lv-LV"/>
    </w:rPr>
  </w:style>
  <w:style w:type="paragraph" w:styleId="Header">
    <w:name w:val="header"/>
    <w:basedOn w:val="Normal"/>
    <w:link w:val="HeaderChar"/>
    <w:uiPriority w:val="99"/>
    <w:rsid w:val="003D77D3"/>
    <w:pPr>
      <w:tabs>
        <w:tab w:val="center" w:pos="4153"/>
        <w:tab w:val="right" w:pos="8306"/>
      </w:tabs>
    </w:pPr>
    <w:rPr>
      <w:rFonts w:eastAsia="Calibri"/>
      <w:sz w:val="20"/>
      <w:szCs w:val="20"/>
    </w:rPr>
  </w:style>
  <w:style w:type="character" w:customStyle="1" w:styleId="HeaderChar">
    <w:name w:val="Header Char"/>
    <w:link w:val="Header"/>
    <w:uiPriority w:val="99"/>
    <w:locked/>
    <w:rsid w:val="003D77D3"/>
    <w:rPr>
      <w:rFonts w:ascii="Times New Roman" w:hAnsi="Times New Roman"/>
      <w:sz w:val="20"/>
      <w:lang w:val="lv-LV"/>
    </w:rPr>
  </w:style>
  <w:style w:type="character" w:styleId="Hyperlink">
    <w:name w:val="Hyperlink"/>
    <w:uiPriority w:val="99"/>
    <w:rsid w:val="003D77D3"/>
    <w:rPr>
      <w:rFonts w:ascii="Times New Roman" w:hAnsi="Times New Roman" w:cs="Times New Roman"/>
      <w:color w:val="0000FF"/>
      <w:u w:val="single"/>
      <w:lang w:val="lv-LV"/>
    </w:rPr>
  </w:style>
  <w:style w:type="paragraph" w:customStyle="1" w:styleId="naisf">
    <w:name w:val="naisf"/>
    <w:basedOn w:val="Normal"/>
    <w:rsid w:val="003D77D3"/>
    <w:pPr>
      <w:spacing w:before="75" w:after="75"/>
      <w:ind w:firstLine="375"/>
      <w:jc w:val="both"/>
    </w:pPr>
  </w:style>
  <w:style w:type="paragraph" w:customStyle="1" w:styleId="naiskr">
    <w:name w:val="naiskr"/>
    <w:basedOn w:val="Normal"/>
    <w:uiPriority w:val="99"/>
    <w:rsid w:val="003D77D3"/>
    <w:pPr>
      <w:spacing w:before="75" w:after="75"/>
    </w:pPr>
  </w:style>
  <w:style w:type="paragraph" w:styleId="NormalWeb">
    <w:name w:val="Normal (Web)"/>
    <w:basedOn w:val="Normal"/>
    <w:link w:val="NormalWebChar"/>
    <w:uiPriority w:val="99"/>
    <w:rsid w:val="003D77D3"/>
    <w:pPr>
      <w:spacing w:before="100" w:beforeAutospacing="1" w:after="100" w:afterAutospacing="1"/>
    </w:pPr>
  </w:style>
  <w:style w:type="character" w:styleId="Strong">
    <w:name w:val="Strong"/>
    <w:uiPriority w:val="99"/>
    <w:qFormat/>
    <w:rsid w:val="003D77D3"/>
    <w:rPr>
      <w:rFonts w:cs="Times New Roman"/>
      <w:b/>
    </w:rPr>
  </w:style>
  <w:style w:type="paragraph" w:customStyle="1" w:styleId="naislab">
    <w:name w:val="naislab"/>
    <w:basedOn w:val="Normal"/>
    <w:uiPriority w:val="99"/>
    <w:rsid w:val="003D77D3"/>
    <w:pPr>
      <w:spacing w:before="75" w:after="75"/>
      <w:jc w:val="right"/>
    </w:pPr>
    <w:rPr>
      <w:rFonts w:eastAsia="Calibri"/>
    </w:rPr>
  </w:style>
  <w:style w:type="character" w:styleId="PageNumber">
    <w:name w:val="page number"/>
    <w:uiPriority w:val="99"/>
    <w:rsid w:val="003D77D3"/>
    <w:rPr>
      <w:rFonts w:cs="Times New Roman"/>
    </w:rPr>
  </w:style>
  <w:style w:type="paragraph" w:customStyle="1" w:styleId="naisnod">
    <w:name w:val="naisnod"/>
    <w:basedOn w:val="Normal"/>
    <w:uiPriority w:val="99"/>
    <w:rsid w:val="003D77D3"/>
    <w:pPr>
      <w:spacing w:before="150" w:after="150"/>
      <w:jc w:val="center"/>
    </w:pPr>
    <w:rPr>
      <w:b/>
      <w:bCs/>
    </w:rPr>
  </w:style>
  <w:style w:type="paragraph" w:styleId="ListParagraph">
    <w:name w:val="List Paragraph"/>
    <w:basedOn w:val="Normal"/>
    <w:uiPriority w:val="99"/>
    <w:qFormat/>
    <w:rsid w:val="00C05C7E"/>
    <w:pPr>
      <w:ind w:left="720"/>
      <w:contextualSpacing/>
    </w:pPr>
  </w:style>
  <w:style w:type="paragraph" w:styleId="BalloonText">
    <w:name w:val="Balloon Text"/>
    <w:basedOn w:val="Normal"/>
    <w:link w:val="BalloonTextChar"/>
    <w:uiPriority w:val="99"/>
    <w:semiHidden/>
    <w:rsid w:val="0076469E"/>
    <w:rPr>
      <w:rFonts w:ascii="Tahoma" w:eastAsia="Calibri" w:hAnsi="Tahoma"/>
      <w:sz w:val="16"/>
      <w:szCs w:val="16"/>
    </w:rPr>
  </w:style>
  <w:style w:type="character" w:customStyle="1" w:styleId="BalloonTextChar">
    <w:name w:val="Balloon Text Char"/>
    <w:link w:val="BalloonText"/>
    <w:uiPriority w:val="99"/>
    <w:semiHidden/>
    <w:locked/>
    <w:rsid w:val="0076469E"/>
    <w:rPr>
      <w:rFonts w:ascii="Tahoma" w:hAnsi="Tahoma"/>
      <w:sz w:val="16"/>
      <w:lang w:val="lv-LV" w:eastAsia="lv-LV"/>
    </w:rPr>
  </w:style>
  <w:style w:type="paragraph" w:styleId="BodyText3">
    <w:name w:val="Body Text 3"/>
    <w:basedOn w:val="Normal"/>
    <w:link w:val="BodyText3Char"/>
    <w:uiPriority w:val="99"/>
    <w:rsid w:val="00155A4D"/>
    <w:pPr>
      <w:spacing w:after="120"/>
    </w:pPr>
    <w:rPr>
      <w:sz w:val="16"/>
      <w:szCs w:val="16"/>
    </w:rPr>
  </w:style>
  <w:style w:type="character" w:customStyle="1" w:styleId="BodyText3Char">
    <w:name w:val="Body Text 3 Char"/>
    <w:link w:val="BodyText3"/>
    <w:uiPriority w:val="99"/>
    <w:locked/>
    <w:rsid w:val="00155A4D"/>
    <w:rPr>
      <w:rFonts w:ascii="Times New Roman" w:hAnsi="Times New Roman"/>
      <w:sz w:val="16"/>
    </w:rPr>
  </w:style>
  <w:style w:type="character" w:customStyle="1" w:styleId="NormalWebChar">
    <w:name w:val="Normal (Web) Char"/>
    <w:link w:val="NormalWeb"/>
    <w:uiPriority w:val="99"/>
    <w:locked/>
    <w:rsid w:val="00155A4D"/>
    <w:rPr>
      <w:rFonts w:ascii="Times New Roman" w:hAnsi="Times New Roman"/>
      <w:sz w:val="24"/>
    </w:rPr>
  </w:style>
  <w:style w:type="paragraph" w:styleId="HTMLPreformatted">
    <w:name w:val="HTML Preformatted"/>
    <w:basedOn w:val="Normal"/>
    <w:link w:val="HTMLPreformattedChar"/>
    <w:uiPriority w:val="99"/>
    <w:rsid w:val="006D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6D4783"/>
    <w:rPr>
      <w:rFonts w:ascii="Courier New" w:hAnsi="Courier New"/>
      <w:sz w:val="20"/>
    </w:rPr>
  </w:style>
  <w:style w:type="paragraph" w:customStyle="1" w:styleId="naisc">
    <w:name w:val="naisc"/>
    <w:basedOn w:val="Normal"/>
    <w:rsid w:val="00B67005"/>
    <w:pPr>
      <w:spacing w:before="75" w:after="75"/>
      <w:jc w:val="center"/>
    </w:pPr>
  </w:style>
  <w:style w:type="paragraph" w:customStyle="1" w:styleId="basetext">
    <w:name w:val="base text"/>
    <w:uiPriority w:val="99"/>
    <w:rsid w:val="00B67005"/>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pPr>
    <w:rPr>
      <w:rFonts w:ascii="Times New Roman" w:eastAsia="Times New Roman" w:hAnsi="Times New Roman"/>
      <w:sz w:val="24"/>
      <w:lang w:val="en-US" w:eastAsia="en-US"/>
    </w:rPr>
  </w:style>
  <w:style w:type="paragraph" w:customStyle="1" w:styleId="tvhtml">
    <w:name w:val="tv_html"/>
    <w:basedOn w:val="Normal"/>
    <w:uiPriority w:val="99"/>
    <w:rsid w:val="000B1A26"/>
    <w:pPr>
      <w:spacing w:before="100" w:beforeAutospacing="1" w:after="100" w:afterAutospacing="1"/>
    </w:pPr>
    <w:rPr>
      <w:rFonts w:ascii="Verdana" w:hAnsi="Verdana"/>
      <w:sz w:val="18"/>
      <w:szCs w:val="18"/>
    </w:rPr>
  </w:style>
  <w:style w:type="table" w:styleId="TableGrid">
    <w:name w:val="Table Grid"/>
    <w:basedOn w:val="TableNormal"/>
    <w:uiPriority w:val="99"/>
    <w:locked/>
    <w:rsid w:val="000B1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40B49"/>
    <w:rPr>
      <w:rFonts w:cs="Times New Roman"/>
      <w:sz w:val="16"/>
    </w:rPr>
  </w:style>
  <w:style w:type="paragraph" w:styleId="CommentText">
    <w:name w:val="annotation text"/>
    <w:basedOn w:val="Normal"/>
    <w:link w:val="CommentTextChar"/>
    <w:uiPriority w:val="99"/>
    <w:semiHidden/>
    <w:rsid w:val="00940B49"/>
    <w:rPr>
      <w:sz w:val="20"/>
      <w:szCs w:val="20"/>
    </w:rPr>
  </w:style>
  <w:style w:type="character" w:customStyle="1" w:styleId="CommentTextChar">
    <w:name w:val="Comment Text Char"/>
    <w:link w:val="CommentText"/>
    <w:uiPriority w:val="99"/>
    <w:semiHidden/>
    <w:locked/>
    <w:rsid w:val="00940B49"/>
    <w:rPr>
      <w:rFonts w:ascii="Times New Roman" w:hAnsi="Times New Roman"/>
    </w:rPr>
  </w:style>
  <w:style w:type="paragraph" w:styleId="CommentSubject">
    <w:name w:val="annotation subject"/>
    <w:basedOn w:val="CommentText"/>
    <w:next w:val="CommentText"/>
    <w:link w:val="CommentSubjectChar"/>
    <w:uiPriority w:val="99"/>
    <w:semiHidden/>
    <w:rsid w:val="00940B49"/>
    <w:rPr>
      <w:b/>
      <w:bCs/>
    </w:rPr>
  </w:style>
  <w:style w:type="character" w:customStyle="1" w:styleId="CommentSubjectChar">
    <w:name w:val="Comment Subject Char"/>
    <w:link w:val="CommentSubject"/>
    <w:uiPriority w:val="99"/>
    <w:semiHidden/>
    <w:locked/>
    <w:rsid w:val="00940B49"/>
    <w:rPr>
      <w:rFonts w:ascii="Times New Roman" w:hAnsi="Times New Roman"/>
      <w:b/>
    </w:rPr>
  </w:style>
  <w:style w:type="paragraph" w:styleId="Title">
    <w:name w:val="Title"/>
    <w:basedOn w:val="Normal"/>
    <w:link w:val="TitleChar"/>
    <w:uiPriority w:val="99"/>
    <w:qFormat/>
    <w:locked/>
    <w:rsid w:val="00BF39C4"/>
    <w:pPr>
      <w:jc w:val="center"/>
    </w:pPr>
    <w:rPr>
      <w:b/>
      <w:bCs/>
      <w:lang w:eastAsia="en-US"/>
    </w:rPr>
  </w:style>
  <w:style w:type="character" w:customStyle="1" w:styleId="TitleChar">
    <w:name w:val="Title Char"/>
    <w:link w:val="Title"/>
    <w:uiPriority w:val="99"/>
    <w:locked/>
    <w:rsid w:val="00BF39C4"/>
    <w:rPr>
      <w:rFonts w:ascii="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82274">
      <w:marLeft w:val="45"/>
      <w:marRight w:val="45"/>
      <w:marTop w:val="90"/>
      <w:marBottom w:val="90"/>
      <w:divBdr>
        <w:top w:val="none" w:sz="0" w:space="0" w:color="auto"/>
        <w:left w:val="none" w:sz="0" w:space="0" w:color="auto"/>
        <w:bottom w:val="none" w:sz="0" w:space="0" w:color="auto"/>
        <w:right w:val="none" w:sz="0" w:space="0" w:color="auto"/>
      </w:divBdr>
      <w:divsChild>
        <w:div w:id="1137182278">
          <w:marLeft w:val="0"/>
          <w:marRight w:val="0"/>
          <w:marTop w:val="240"/>
          <w:marBottom w:val="0"/>
          <w:divBdr>
            <w:top w:val="none" w:sz="0" w:space="0" w:color="auto"/>
            <w:left w:val="none" w:sz="0" w:space="0" w:color="auto"/>
            <w:bottom w:val="none" w:sz="0" w:space="0" w:color="auto"/>
            <w:right w:val="none" w:sz="0" w:space="0" w:color="auto"/>
          </w:divBdr>
        </w:div>
      </w:divsChild>
    </w:div>
    <w:div w:id="1137182275">
      <w:marLeft w:val="0"/>
      <w:marRight w:val="0"/>
      <w:marTop w:val="0"/>
      <w:marBottom w:val="0"/>
      <w:divBdr>
        <w:top w:val="none" w:sz="0" w:space="0" w:color="auto"/>
        <w:left w:val="none" w:sz="0" w:space="0" w:color="auto"/>
        <w:bottom w:val="none" w:sz="0" w:space="0" w:color="auto"/>
        <w:right w:val="none" w:sz="0" w:space="0" w:color="auto"/>
      </w:divBdr>
    </w:div>
    <w:div w:id="1137182276">
      <w:marLeft w:val="0"/>
      <w:marRight w:val="0"/>
      <w:marTop w:val="0"/>
      <w:marBottom w:val="0"/>
      <w:divBdr>
        <w:top w:val="none" w:sz="0" w:space="0" w:color="auto"/>
        <w:left w:val="none" w:sz="0" w:space="0" w:color="auto"/>
        <w:bottom w:val="none" w:sz="0" w:space="0" w:color="auto"/>
        <w:right w:val="none" w:sz="0" w:space="0" w:color="auto"/>
      </w:divBdr>
    </w:div>
    <w:div w:id="1137182277">
      <w:marLeft w:val="0"/>
      <w:marRight w:val="0"/>
      <w:marTop w:val="0"/>
      <w:marBottom w:val="0"/>
      <w:divBdr>
        <w:top w:val="none" w:sz="0" w:space="0" w:color="auto"/>
        <w:left w:val="none" w:sz="0" w:space="0" w:color="auto"/>
        <w:bottom w:val="none" w:sz="0" w:space="0" w:color="auto"/>
        <w:right w:val="none" w:sz="0" w:space="0" w:color="auto"/>
      </w:divBdr>
    </w:div>
    <w:div w:id="1137182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atrovska@varam.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4184-B4F3-489F-AD02-A426804F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3549</Words>
  <Characters>26704</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Ministru kabineta noteikumu „Darbinieku apstarošanas kontroles un uzskaites kārtība” sākotnējās ietekmes novērtējuma ziņojums (anotācija)</vt:lpstr>
    </vt:vector>
  </TitlesOfParts>
  <Company>VARAM</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„Darbinieku apstarošanas kontroles un uzskaites kārtība” sākotnējās ietekmes novērtējuma ziņojums (anotācija)</dc:title>
  <dc:subject>MK noteikumu anotācija</dc:subject>
  <dc:creator>Dace Šatrovska</dc:creator>
  <cp:keywords/>
  <dc:description>dace.satrovska@varam.gov.lv, 67026521</dc:description>
  <cp:lastModifiedBy>larisat</cp:lastModifiedBy>
  <cp:revision>2</cp:revision>
  <cp:lastPrinted>2012-11-01T16:53:00Z</cp:lastPrinted>
  <dcterms:created xsi:type="dcterms:W3CDTF">2013-09-19T12:00:00Z</dcterms:created>
  <dcterms:modified xsi:type="dcterms:W3CDTF">2013-09-19T12:00:00Z</dcterms:modified>
  <cp:contentStatus/>
</cp:coreProperties>
</file>