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D3" w:rsidRPr="00DB5037" w:rsidRDefault="00B30CCA" w:rsidP="00F71C82">
      <w:pPr>
        <w:spacing w:after="0" w:line="240" w:lineRule="auto"/>
        <w:jc w:val="center"/>
        <w:rPr>
          <w:b/>
          <w:sz w:val="28"/>
          <w:szCs w:val="28"/>
        </w:rPr>
      </w:pPr>
      <w:bookmarkStart w:id="0" w:name="OLE_LINK8"/>
      <w:bookmarkStart w:id="1" w:name="OLE_LINK9"/>
      <w:r w:rsidRPr="00DB5037">
        <w:rPr>
          <w:rFonts w:eastAsia="Times New Roman"/>
          <w:b/>
          <w:bCs/>
          <w:sz w:val="28"/>
          <w:szCs w:val="28"/>
          <w:lang w:eastAsia="lv-LV"/>
        </w:rPr>
        <w:t xml:space="preserve">Tiesību akta projekta sākotnējās </w:t>
      </w:r>
      <w:r w:rsidRPr="00471091">
        <w:rPr>
          <w:rFonts w:eastAsia="Times New Roman"/>
          <w:b/>
          <w:bCs/>
          <w:sz w:val="28"/>
          <w:szCs w:val="28"/>
          <w:lang w:eastAsia="lv-LV"/>
        </w:rPr>
        <w:t>ietekmes novērtējuma ziņojums (anotācija)</w:t>
      </w:r>
      <w:r w:rsidR="004163D3" w:rsidRPr="00471091">
        <w:rPr>
          <w:rFonts w:eastAsia="Times New Roman"/>
          <w:b/>
          <w:bCs/>
          <w:sz w:val="28"/>
          <w:szCs w:val="28"/>
          <w:lang w:eastAsia="lv-LV"/>
        </w:rPr>
        <w:t xml:space="preserve"> noteikumu projektam „</w:t>
      </w:r>
      <w:r w:rsidR="00471091" w:rsidRPr="00471091">
        <w:rPr>
          <w:b/>
          <w:bCs/>
          <w:sz w:val="28"/>
          <w:szCs w:val="28"/>
        </w:rPr>
        <w:t>Kārtība, kādā ierobežojama gaistošo organisko savienojumu emisija no iekārtām, kurās izmanto organiskos šķīdinātājus</w:t>
      </w:r>
      <w:r w:rsidR="004163D3" w:rsidRPr="00471091">
        <w:rPr>
          <w:b/>
          <w:bCs/>
          <w:sz w:val="28"/>
          <w:szCs w:val="28"/>
        </w:rPr>
        <w:t>”</w:t>
      </w:r>
    </w:p>
    <w:bookmarkEnd w:id="0"/>
    <w:bookmarkEnd w:id="1"/>
    <w:p w:rsidR="00F71C82" w:rsidRPr="00DB5037" w:rsidRDefault="00B30CCA" w:rsidP="004163D3">
      <w:pPr>
        <w:spacing w:before="75" w:after="75" w:line="240" w:lineRule="auto"/>
        <w:rPr>
          <w:rFonts w:eastAsia="Times New Roman"/>
          <w:sz w:val="28"/>
          <w:szCs w:val="28"/>
          <w:lang w:eastAsia="lv-LV"/>
        </w:rPr>
      </w:pPr>
      <w:r w:rsidRPr="00DB5037">
        <w:rPr>
          <w:rFonts w:eastAsia="Times New Roman"/>
          <w:sz w:val="28"/>
          <w:szCs w:val="28"/>
          <w:lang w:eastAsia="lv-LV"/>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124"/>
        <w:gridCol w:w="6536"/>
      </w:tblGrid>
      <w:tr w:rsidR="00B30CCA" w:rsidRPr="00DB5037" w:rsidTr="00D067C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b/>
                <w:bCs/>
                <w:sz w:val="28"/>
                <w:szCs w:val="28"/>
                <w:lang w:eastAsia="lv-LV"/>
              </w:rPr>
              <w:t> I. Tiesību akta projekta izstrādes nepieciešamība</w:t>
            </w:r>
          </w:p>
        </w:tc>
      </w:tr>
      <w:tr w:rsidR="00B30CCA" w:rsidRPr="00DB5037" w:rsidTr="00F71C82">
        <w:trPr>
          <w:trHeight w:val="1558"/>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5B2612">
            <w:pPr>
              <w:spacing w:before="75" w:after="75" w:line="240" w:lineRule="auto"/>
              <w:rPr>
                <w:rFonts w:eastAsia="Times New Roman"/>
                <w:sz w:val="28"/>
                <w:szCs w:val="28"/>
                <w:lang w:eastAsia="lv-LV"/>
              </w:rPr>
            </w:pPr>
            <w:r w:rsidRPr="00DB5037">
              <w:rPr>
                <w:rFonts w:eastAsia="Times New Roman"/>
                <w:sz w:val="28"/>
                <w:szCs w:val="28"/>
                <w:lang w:eastAsia="lv-LV"/>
              </w:rPr>
              <w:t> Pamatojums</w:t>
            </w:r>
          </w:p>
        </w:tc>
        <w:tc>
          <w:tcPr>
            <w:tcW w:w="3590" w:type="pct"/>
            <w:tcBorders>
              <w:top w:val="outset" w:sz="6" w:space="0" w:color="auto"/>
              <w:left w:val="outset" w:sz="6" w:space="0" w:color="auto"/>
              <w:bottom w:val="outset" w:sz="6" w:space="0" w:color="auto"/>
              <w:right w:val="outset" w:sz="6" w:space="0" w:color="auto"/>
            </w:tcBorders>
            <w:hideMark/>
          </w:tcPr>
          <w:p w:rsidR="00B30CCA" w:rsidRPr="00DB5037" w:rsidRDefault="00D85CB5" w:rsidP="006F2872">
            <w:pPr>
              <w:spacing w:after="0" w:line="240" w:lineRule="auto"/>
              <w:ind w:firstLine="397"/>
              <w:jc w:val="both"/>
              <w:rPr>
                <w:sz w:val="28"/>
                <w:szCs w:val="28"/>
              </w:rPr>
            </w:pPr>
            <w:r w:rsidRPr="00DB5037">
              <w:rPr>
                <w:rFonts w:eastAsia="Times New Roman"/>
                <w:sz w:val="28"/>
                <w:szCs w:val="28"/>
                <w:lang w:eastAsia="lv-LV"/>
              </w:rPr>
              <w:t xml:space="preserve">Noteikumu projekts izstrādāts, lai pārņemtu </w:t>
            </w:r>
            <w:bookmarkStart w:id="2" w:name="OLE_LINK3"/>
            <w:bookmarkStart w:id="3" w:name="OLE_LINK4"/>
            <w:r w:rsidRPr="00DB5037">
              <w:rPr>
                <w:sz w:val="28"/>
                <w:szCs w:val="28"/>
              </w:rPr>
              <w:t>Eiropas Parlamenta un Padomes 2010.gada 24.novembra Direktīvas 2010/75/ES par rūpnieciskajām emisijām (piesārņojuma integrēta novēršana un kontrole)</w:t>
            </w:r>
            <w:r w:rsidR="00243D15" w:rsidRPr="00DB5037">
              <w:rPr>
                <w:sz w:val="28"/>
                <w:szCs w:val="28"/>
              </w:rPr>
              <w:t xml:space="preserve"> V nodaļas – īpaši noteikumi par iekārtām un darbībām, kurās izmanto organiskos šķīdinātājus, prasības</w:t>
            </w:r>
            <w:bookmarkEnd w:id="2"/>
            <w:bookmarkEnd w:id="3"/>
            <w:r w:rsidR="00243D15" w:rsidRPr="00DB5037">
              <w:rPr>
                <w:sz w:val="28"/>
                <w:szCs w:val="28"/>
              </w:rPr>
              <w:t>.</w:t>
            </w:r>
          </w:p>
        </w:tc>
      </w:tr>
      <w:tr w:rsidR="00B30CCA" w:rsidRPr="00DB5037" w:rsidTr="00F71C82">
        <w:trPr>
          <w:trHeight w:val="472"/>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2.</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Pašreizējā situācija un problēmas</w:t>
            </w:r>
          </w:p>
        </w:tc>
        <w:tc>
          <w:tcPr>
            <w:tcW w:w="3590" w:type="pct"/>
            <w:tcBorders>
              <w:top w:val="outset" w:sz="6" w:space="0" w:color="auto"/>
              <w:left w:val="outset" w:sz="6" w:space="0" w:color="auto"/>
              <w:bottom w:val="outset" w:sz="6" w:space="0" w:color="auto"/>
              <w:right w:val="outset" w:sz="6" w:space="0" w:color="auto"/>
            </w:tcBorders>
            <w:hideMark/>
          </w:tcPr>
          <w:p w:rsidR="00630C5F" w:rsidRPr="00DB5037" w:rsidRDefault="00630C5F" w:rsidP="00CA100E">
            <w:pPr>
              <w:spacing w:before="120" w:after="75" w:line="240" w:lineRule="auto"/>
              <w:ind w:firstLine="412"/>
              <w:jc w:val="both"/>
              <w:rPr>
                <w:rFonts w:eastAsia="Times New Roman"/>
                <w:sz w:val="28"/>
                <w:szCs w:val="28"/>
                <w:lang w:eastAsia="lv-LV"/>
              </w:rPr>
            </w:pPr>
            <w:r w:rsidRPr="00DB5037">
              <w:rPr>
                <w:rFonts w:eastAsia="Times New Roman"/>
                <w:sz w:val="28"/>
                <w:szCs w:val="28"/>
                <w:lang w:eastAsia="lv-LV"/>
              </w:rPr>
              <w:t>Direktīva 2010/75/ES apvieno vairākas šobrīd spēkā esošās direktīvas</w:t>
            </w:r>
            <w:r w:rsidR="007C7107" w:rsidRPr="00DB5037">
              <w:rPr>
                <w:rFonts w:eastAsia="Times New Roman"/>
                <w:sz w:val="28"/>
                <w:szCs w:val="28"/>
                <w:lang w:eastAsia="lv-LV"/>
              </w:rPr>
              <w:t>, kas saistītas ar rūpniecisko darbību radītā piesārņojuma samazināšanu un ierobežošanu,</w:t>
            </w:r>
            <w:r w:rsidRPr="00DB5037">
              <w:rPr>
                <w:rFonts w:eastAsia="Times New Roman"/>
                <w:sz w:val="28"/>
                <w:szCs w:val="28"/>
                <w:lang w:eastAsia="lv-LV"/>
              </w:rPr>
              <w:t xml:space="preserve"> tai skaitā </w:t>
            </w:r>
            <w:r w:rsidRPr="00DB5037">
              <w:rPr>
                <w:sz w:val="28"/>
                <w:szCs w:val="28"/>
              </w:rPr>
              <w:t xml:space="preserve">Padomes 1999.gada 11.marta Direktīvu </w:t>
            </w:r>
            <w:hyperlink r:id="rId8" w:tgtFrame="_blank" w:tooltip="Atvērt direktīvas konsolidēto versiju" w:history="1">
              <w:r w:rsidRPr="00DB5037">
                <w:rPr>
                  <w:rStyle w:val="Hyperlink"/>
                  <w:sz w:val="28"/>
                  <w:szCs w:val="28"/>
                  <w:u w:val="single"/>
                </w:rPr>
                <w:t>1999/13/EK</w:t>
              </w:r>
            </w:hyperlink>
            <w:r w:rsidRPr="00DB5037">
              <w:rPr>
                <w:sz w:val="28"/>
                <w:szCs w:val="28"/>
              </w:rPr>
              <w:t xml:space="preserve"> par gaistošu organisko savienojumu emisijas ierobežošanu no organiskiem šķīdinātājiem noteiktos darbības veidos un iekārtās</w:t>
            </w:r>
            <w:r w:rsidR="003E3B1F" w:rsidRPr="00DB5037">
              <w:rPr>
                <w:sz w:val="28"/>
                <w:szCs w:val="28"/>
              </w:rPr>
              <w:t xml:space="preserve"> (turpmāk – Direktīva 1999/13/EK)</w:t>
            </w:r>
            <w:r w:rsidRPr="00DB5037">
              <w:rPr>
                <w:sz w:val="28"/>
                <w:szCs w:val="28"/>
              </w:rPr>
              <w:t>.</w:t>
            </w:r>
          </w:p>
          <w:p w:rsidR="00762619" w:rsidRPr="007D5890" w:rsidRDefault="007C7107" w:rsidP="00762619">
            <w:pPr>
              <w:spacing w:before="120" w:after="0" w:line="240" w:lineRule="auto"/>
              <w:ind w:firstLine="397"/>
              <w:jc w:val="both"/>
              <w:rPr>
                <w:rFonts w:eastAsia="Times New Roman"/>
                <w:sz w:val="28"/>
                <w:szCs w:val="28"/>
                <w:lang w:eastAsia="lv-LV"/>
              </w:rPr>
            </w:pPr>
            <w:r w:rsidRPr="00DB5037">
              <w:rPr>
                <w:rFonts w:eastAsia="Times New Roman"/>
                <w:sz w:val="28"/>
                <w:szCs w:val="28"/>
                <w:lang w:eastAsia="lv-LV"/>
              </w:rPr>
              <w:t xml:space="preserve">Direktīvas 1999/13/EK prasības, kas jāievēro iekārtām un darbībām, kurās izmanto šķīdinātājus šobrīd ir pārņemtas MK 2002.gada 20.augusta noteikumu Nr.379 „Kārtība, kādā novēršama, ierobežojama un kontrolējama gaisu piesārņojošo vielu emisija no stacionāriem piesārņojuma avotiem” (turpmāk – MK </w:t>
            </w:r>
            <w:r w:rsidRPr="007D5890">
              <w:rPr>
                <w:rFonts w:eastAsia="Times New Roman"/>
                <w:sz w:val="28"/>
                <w:szCs w:val="28"/>
                <w:lang w:eastAsia="lv-LV"/>
              </w:rPr>
              <w:t xml:space="preserve">noteikumi Nr.379) </w:t>
            </w:r>
            <w:r w:rsidR="00762619" w:rsidRPr="007D5890">
              <w:rPr>
                <w:rFonts w:eastAsia="Times New Roman"/>
                <w:sz w:val="28"/>
                <w:szCs w:val="28"/>
                <w:lang w:eastAsia="lv-LV"/>
              </w:rPr>
              <w:t>III, IV, VI, VIII un IX nodaļā.</w:t>
            </w:r>
          </w:p>
          <w:p w:rsidR="00762619" w:rsidRPr="007D5890" w:rsidRDefault="00747531" w:rsidP="0063595A">
            <w:pPr>
              <w:spacing w:before="120" w:after="0" w:line="240" w:lineRule="auto"/>
              <w:ind w:firstLine="397"/>
              <w:jc w:val="both"/>
              <w:rPr>
                <w:sz w:val="28"/>
                <w:szCs w:val="28"/>
              </w:rPr>
            </w:pPr>
            <w:r w:rsidRPr="007D5890">
              <w:rPr>
                <w:rFonts w:eastAsia="Times New Roman"/>
                <w:sz w:val="28"/>
                <w:szCs w:val="28"/>
                <w:lang w:eastAsia="lv-LV"/>
              </w:rPr>
              <w:t xml:space="preserve">Atsevišķas Direktīvā 2010/75/ES iekļautās normas ir jaunas un tās nepieciešams pārņemt Latvijas </w:t>
            </w:r>
            <w:r w:rsidR="007E48E5" w:rsidRPr="007D5890">
              <w:rPr>
                <w:rFonts w:eastAsia="Times New Roman"/>
                <w:sz w:val="28"/>
                <w:szCs w:val="28"/>
                <w:lang w:eastAsia="lv-LV"/>
              </w:rPr>
              <w:t>normatīvajos aktos</w:t>
            </w:r>
            <w:r w:rsidRPr="007D5890">
              <w:rPr>
                <w:rFonts w:eastAsia="Times New Roman"/>
                <w:sz w:val="28"/>
                <w:szCs w:val="28"/>
                <w:lang w:eastAsia="lv-LV"/>
              </w:rPr>
              <w:t>.</w:t>
            </w:r>
            <w:r w:rsidR="00762619" w:rsidRPr="007D5890">
              <w:rPr>
                <w:bCs/>
                <w:sz w:val="28"/>
                <w:szCs w:val="28"/>
              </w:rPr>
              <w:t xml:space="preserve"> Nepieciešams precizēt arī iepriekš nepilnīgi transponētās normas. Tas izriet no Eiropas Komisijas 2011.gada 22.decembra vēstules (Nr.</w:t>
            </w:r>
            <w:r w:rsidR="00762619" w:rsidRPr="007D5890">
              <w:rPr>
                <w:sz w:val="28"/>
                <w:szCs w:val="28"/>
              </w:rPr>
              <w:t xml:space="preserve"> </w:t>
            </w:r>
            <w:proofErr w:type="spellStart"/>
            <w:r w:rsidR="00762619" w:rsidRPr="007D5890">
              <w:rPr>
                <w:sz w:val="28"/>
                <w:szCs w:val="28"/>
              </w:rPr>
              <w:t>Ref</w:t>
            </w:r>
            <w:proofErr w:type="spellEnd"/>
            <w:r w:rsidR="00762619" w:rsidRPr="007D5890">
              <w:rPr>
                <w:sz w:val="28"/>
                <w:szCs w:val="28"/>
              </w:rPr>
              <w:t xml:space="preserve">. </w:t>
            </w:r>
            <w:proofErr w:type="spellStart"/>
            <w:r w:rsidR="00762619" w:rsidRPr="007D5890">
              <w:rPr>
                <w:sz w:val="28"/>
                <w:szCs w:val="28"/>
              </w:rPr>
              <w:t>Ares</w:t>
            </w:r>
            <w:proofErr w:type="spellEnd"/>
            <w:r w:rsidR="00762619" w:rsidRPr="007D5890">
              <w:rPr>
                <w:sz w:val="28"/>
                <w:szCs w:val="28"/>
              </w:rPr>
              <w:t>(2011)1401545), kurā norādīts uz nepilnīgi transponētajām Direktīvas 1999/13/EK prasībām, kā arī norādīts, ka transponējot jaunās Direktīvas 2010/75/ES prasības jānovērš arī iepriekšējās nepilnības.</w:t>
            </w:r>
            <w:r w:rsidR="00B37696" w:rsidRPr="007D5890">
              <w:rPr>
                <w:sz w:val="28"/>
                <w:szCs w:val="28"/>
              </w:rPr>
              <w:t xml:space="preserve"> Piemēram, E</w:t>
            </w:r>
            <w:r w:rsidR="006C5560" w:rsidRPr="007D5890">
              <w:rPr>
                <w:sz w:val="28"/>
                <w:szCs w:val="28"/>
              </w:rPr>
              <w:t xml:space="preserve">iropas </w:t>
            </w:r>
            <w:r w:rsidR="00B37696" w:rsidRPr="007D5890">
              <w:rPr>
                <w:sz w:val="28"/>
                <w:szCs w:val="28"/>
              </w:rPr>
              <w:t>K</w:t>
            </w:r>
            <w:r w:rsidR="006C5560" w:rsidRPr="007D5890">
              <w:rPr>
                <w:sz w:val="28"/>
                <w:szCs w:val="28"/>
              </w:rPr>
              <w:t>omisija</w:t>
            </w:r>
            <w:r w:rsidR="00B37696" w:rsidRPr="007D5890">
              <w:rPr>
                <w:sz w:val="28"/>
                <w:szCs w:val="28"/>
              </w:rPr>
              <w:t xml:space="preserve"> ir aizrādījusi, ka atsevišķi termini ir neprecīzi pārņemti („esoša gaistošos organiskos savienojumus emitējoša iekārta”</w:t>
            </w:r>
            <w:r w:rsidR="007A267A" w:rsidRPr="007D5890">
              <w:rPr>
                <w:sz w:val="28"/>
                <w:szCs w:val="28"/>
              </w:rPr>
              <w:t>,</w:t>
            </w:r>
            <w:r w:rsidR="00B37696" w:rsidRPr="007D5890">
              <w:rPr>
                <w:sz w:val="28"/>
                <w:szCs w:val="28"/>
              </w:rPr>
              <w:t xml:space="preserve"> „gaistošie organiskie savienojumi”) vai vispār nav pārņemti („organisko </w:t>
            </w:r>
            <w:r w:rsidR="00B37696" w:rsidRPr="007D5890">
              <w:rPr>
                <w:sz w:val="28"/>
                <w:szCs w:val="28"/>
              </w:rPr>
              <w:lastRenderedPageBreak/>
              <w:t>šķīdinātāju patēriņš”</w:t>
            </w:r>
            <w:r w:rsidR="007A267A" w:rsidRPr="007D5890">
              <w:rPr>
                <w:sz w:val="28"/>
                <w:szCs w:val="28"/>
              </w:rPr>
              <w:t xml:space="preserve">, </w:t>
            </w:r>
            <w:r w:rsidR="00B37696" w:rsidRPr="007D5890">
              <w:rPr>
                <w:sz w:val="28"/>
                <w:szCs w:val="28"/>
              </w:rPr>
              <w:t>„palaišanas un apturēšanas operācijas”).</w:t>
            </w:r>
            <w:r w:rsidR="0063595A" w:rsidRPr="007D5890">
              <w:rPr>
                <w:sz w:val="28"/>
                <w:szCs w:val="28"/>
              </w:rPr>
              <w:t xml:space="preserve"> </w:t>
            </w:r>
            <w:r w:rsidR="00A22C62" w:rsidRPr="007D5890">
              <w:rPr>
                <w:sz w:val="28"/>
                <w:szCs w:val="28"/>
              </w:rPr>
              <w:t xml:space="preserve">Eiropas Komisija ir arī aizrādījusi, ka Latvija nav pārņēmusi </w:t>
            </w:r>
            <w:r w:rsidR="0063595A" w:rsidRPr="007D5890">
              <w:rPr>
                <w:sz w:val="28"/>
                <w:szCs w:val="28"/>
              </w:rPr>
              <w:t>59.panta 6.punkt</w:t>
            </w:r>
            <w:r w:rsidR="00A22C62" w:rsidRPr="007D5890">
              <w:rPr>
                <w:sz w:val="28"/>
                <w:szCs w:val="28"/>
              </w:rPr>
              <w:t xml:space="preserve">u un ka netika korekti pārņemtas arī 63.panta normas. </w:t>
            </w:r>
          </w:p>
          <w:p w:rsidR="00762619" w:rsidRPr="007D5890" w:rsidRDefault="00762619" w:rsidP="00762619">
            <w:pPr>
              <w:spacing w:before="120" w:after="0" w:line="240" w:lineRule="auto"/>
              <w:ind w:firstLine="397"/>
              <w:jc w:val="both"/>
              <w:rPr>
                <w:sz w:val="28"/>
                <w:szCs w:val="28"/>
              </w:rPr>
            </w:pPr>
            <w:r w:rsidRPr="007D5890">
              <w:rPr>
                <w:sz w:val="28"/>
                <w:szCs w:val="28"/>
              </w:rPr>
              <w:t xml:space="preserve">Pastāv arī problēmas ar </w:t>
            </w:r>
            <w:r w:rsidRPr="007D5890">
              <w:rPr>
                <w:rFonts w:eastAsia="Calibri"/>
                <w:sz w:val="28"/>
                <w:szCs w:val="28"/>
              </w:rPr>
              <w:t>ziņojumu</w:t>
            </w:r>
            <w:r w:rsidRPr="007D5890">
              <w:rPr>
                <w:sz w:val="28"/>
                <w:szCs w:val="28"/>
              </w:rPr>
              <w:t xml:space="preserve"> sagatavošanu</w:t>
            </w:r>
            <w:r w:rsidRPr="007D5890">
              <w:rPr>
                <w:rFonts w:eastAsia="Calibri"/>
                <w:sz w:val="28"/>
                <w:szCs w:val="28"/>
              </w:rPr>
              <w:t xml:space="preserve"> </w:t>
            </w:r>
            <w:r w:rsidR="00871914" w:rsidRPr="007D5890">
              <w:rPr>
                <w:rFonts w:eastAsia="Calibri"/>
                <w:sz w:val="28"/>
                <w:szCs w:val="28"/>
              </w:rPr>
              <w:t>Eiropas Komisijai</w:t>
            </w:r>
            <w:r w:rsidRPr="007D5890">
              <w:rPr>
                <w:rFonts w:eastAsia="Calibri"/>
                <w:sz w:val="28"/>
                <w:szCs w:val="28"/>
              </w:rPr>
              <w:t>, jo nav pieejama informācija par Latvijā patērēto šķīdinātāju apjomu iekārtās,</w:t>
            </w:r>
            <w:r w:rsidRPr="007D5890">
              <w:rPr>
                <w:rFonts w:eastAsia="Calibri"/>
                <w:sz w:val="28"/>
                <w:szCs w:val="28"/>
                <w:lang w:val="pt-BR"/>
              </w:rPr>
              <w:t xml:space="preserve"> kuras emitē </w:t>
            </w:r>
            <w:r w:rsidRPr="007D5890">
              <w:rPr>
                <w:rFonts w:eastAsia="Calibri"/>
                <w:sz w:val="28"/>
                <w:szCs w:val="28"/>
              </w:rPr>
              <w:t>gaistošos organiskos savienojumus.</w:t>
            </w:r>
          </w:p>
          <w:p w:rsidR="00844DF0" w:rsidRPr="00DB5037" w:rsidRDefault="00762619" w:rsidP="00762619">
            <w:pPr>
              <w:spacing w:before="120" w:after="75" w:line="240" w:lineRule="auto"/>
              <w:ind w:firstLine="397"/>
              <w:jc w:val="both"/>
              <w:rPr>
                <w:rFonts w:eastAsia="Times New Roman"/>
                <w:sz w:val="28"/>
                <w:szCs w:val="28"/>
                <w:lang w:eastAsia="lv-LV"/>
              </w:rPr>
            </w:pPr>
            <w:r w:rsidRPr="007D5890">
              <w:rPr>
                <w:rFonts w:eastAsia="Calibri"/>
                <w:sz w:val="28"/>
                <w:szCs w:val="28"/>
              </w:rPr>
              <w:t>Ziņojumā obligāti iekļaujamā informācija noteikta Komisijas 2010.gada 9.novembra lēmumā 2010/681/ES par anketu dalībvalstu ziņojumiem attiecībā uz to, kā izpilda Padomes Direktīvu 1999/13/EK laikā no 2011. līdz 2013.gadam. Šāds ziņojums</w:t>
            </w:r>
            <w:r w:rsidRPr="00B0760E">
              <w:rPr>
                <w:rFonts w:eastAsia="Calibri"/>
                <w:sz w:val="28"/>
                <w:szCs w:val="28"/>
              </w:rPr>
              <w:t xml:space="preserve"> dalībvalstīm </w:t>
            </w:r>
            <w:proofErr w:type="gramStart"/>
            <w:r w:rsidRPr="00B0760E">
              <w:rPr>
                <w:rFonts w:eastAsia="Calibri"/>
                <w:sz w:val="28"/>
                <w:szCs w:val="28"/>
              </w:rPr>
              <w:t>jāsniedz reizi</w:t>
            </w:r>
            <w:proofErr w:type="gramEnd"/>
            <w:r w:rsidRPr="00B0760E">
              <w:rPr>
                <w:rFonts w:eastAsia="Calibri"/>
                <w:sz w:val="28"/>
                <w:szCs w:val="28"/>
              </w:rPr>
              <w:t xml:space="preserve"> trijos gados.</w:t>
            </w:r>
          </w:p>
          <w:p w:rsidR="00CA209A" w:rsidRPr="00DB5037" w:rsidRDefault="00CA209A" w:rsidP="00CA100E">
            <w:pPr>
              <w:spacing w:before="120" w:after="75" w:line="240" w:lineRule="auto"/>
              <w:ind w:firstLine="397"/>
              <w:jc w:val="both"/>
              <w:rPr>
                <w:rFonts w:eastAsia="Times New Roman"/>
                <w:sz w:val="28"/>
                <w:szCs w:val="28"/>
                <w:lang w:eastAsia="lv-LV"/>
              </w:rPr>
            </w:pPr>
            <w:r w:rsidRPr="00DB5037">
              <w:rPr>
                <w:rFonts w:eastAsia="Times New Roman"/>
                <w:sz w:val="28"/>
                <w:szCs w:val="28"/>
                <w:lang w:eastAsia="lv-LV"/>
              </w:rPr>
              <w:t>Šobrīd izstrādātie MK noteikumi Nr.379 ir grūti uztverami, jo tajos iekļautas gan normas, kas attiecas uz iekārtām un darbībām, kurās izmanto organiskos šķīdinātājus, gan uz sadedzināšanas iekārtām. Atšķiras arī atsevišķu terminu, piemēram, „esoša iekārta”</w:t>
            </w:r>
            <w:r w:rsidR="007B78A4" w:rsidRPr="00DB5037">
              <w:rPr>
                <w:rFonts w:eastAsia="Times New Roman"/>
                <w:sz w:val="28"/>
                <w:szCs w:val="28"/>
                <w:lang w:eastAsia="lv-LV"/>
              </w:rPr>
              <w:t>, „jauna iekārta”</w:t>
            </w:r>
            <w:r w:rsidR="009A128A" w:rsidRPr="00DB5037">
              <w:rPr>
                <w:rFonts w:eastAsia="Times New Roman"/>
                <w:sz w:val="28"/>
                <w:szCs w:val="28"/>
                <w:lang w:eastAsia="lv-LV"/>
              </w:rPr>
              <w:t xml:space="preserve">, </w:t>
            </w:r>
            <w:r w:rsidRPr="00DB5037">
              <w:rPr>
                <w:rFonts w:eastAsia="Times New Roman"/>
                <w:sz w:val="28"/>
                <w:szCs w:val="28"/>
                <w:lang w:eastAsia="lv-LV"/>
              </w:rPr>
              <w:t>„būtiskas izmaiņas” izpratne</w:t>
            </w:r>
            <w:r w:rsidR="00CA1D8A">
              <w:rPr>
                <w:rFonts w:eastAsia="Times New Roman"/>
                <w:sz w:val="28"/>
                <w:szCs w:val="28"/>
                <w:lang w:eastAsia="lv-LV"/>
              </w:rPr>
              <w:t>.</w:t>
            </w:r>
          </w:p>
          <w:p w:rsidR="007C7107" w:rsidRPr="00DB5037" w:rsidRDefault="00CA209A" w:rsidP="00CA100E">
            <w:pPr>
              <w:spacing w:before="120" w:after="75" w:line="240" w:lineRule="auto"/>
              <w:ind w:firstLine="397"/>
              <w:jc w:val="both"/>
              <w:rPr>
                <w:rFonts w:eastAsia="Times New Roman"/>
                <w:sz w:val="28"/>
                <w:szCs w:val="28"/>
                <w:lang w:eastAsia="lv-LV"/>
              </w:rPr>
            </w:pPr>
            <w:r w:rsidRPr="00DB5037">
              <w:rPr>
                <w:rFonts w:eastAsia="Times New Roman"/>
                <w:sz w:val="28"/>
                <w:szCs w:val="28"/>
                <w:lang w:eastAsia="lv-LV"/>
              </w:rPr>
              <w:t>Līdz ar to, lai atvieglotu šo normu uztveramību un uzlabotu to korektu izpildi, nolemts izstrādāt divus atsevišķus tiesību aktus</w:t>
            </w:r>
            <w:r w:rsidR="007C7107" w:rsidRPr="00DB5037">
              <w:rPr>
                <w:rFonts w:eastAsia="Times New Roman"/>
                <w:sz w:val="28"/>
                <w:szCs w:val="28"/>
                <w:lang w:eastAsia="lv-LV"/>
              </w:rPr>
              <w:t xml:space="preserve">: </w:t>
            </w:r>
          </w:p>
          <w:p w:rsidR="007154EC" w:rsidRPr="00DB5037" w:rsidRDefault="007154EC" w:rsidP="00CA100E">
            <w:pPr>
              <w:spacing w:before="120" w:after="0" w:line="240" w:lineRule="auto"/>
              <w:ind w:firstLine="397"/>
              <w:jc w:val="both"/>
              <w:rPr>
                <w:bCs/>
                <w:sz w:val="28"/>
                <w:szCs w:val="28"/>
              </w:rPr>
            </w:pPr>
            <w:r w:rsidRPr="00DB5037">
              <w:rPr>
                <w:bCs/>
                <w:sz w:val="28"/>
                <w:szCs w:val="28"/>
              </w:rPr>
              <w:t>1)</w:t>
            </w:r>
            <w:r w:rsidR="009A128A" w:rsidRPr="00DB5037">
              <w:rPr>
                <w:bCs/>
                <w:sz w:val="28"/>
                <w:szCs w:val="28"/>
              </w:rPr>
              <w:t xml:space="preserve"> </w:t>
            </w:r>
            <w:r w:rsidR="001A1582" w:rsidRPr="00DB5037">
              <w:rPr>
                <w:bCs/>
                <w:sz w:val="28"/>
                <w:szCs w:val="28"/>
              </w:rPr>
              <w:t>Noteikumu projektu „</w:t>
            </w:r>
            <w:r w:rsidRPr="00DB5037">
              <w:rPr>
                <w:bCs/>
                <w:sz w:val="28"/>
                <w:szCs w:val="28"/>
              </w:rPr>
              <w:t>Noteikumi par gaistošo organisko savienojumu emisijas ierobežošanu no iekārtām, kurās izmanto organiskos šķīdinātājus</w:t>
            </w:r>
            <w:r w:rsidR="001A1582" w:rsidRPr="00DB5037">
              <w:rPr>
                <w:bCs/>
                <w:sz w:val="28"/>
                <w:szCs w:val="28"/>
              </w:rPr>
              <w:t>”</w:t>
            </w:r>
            <w:r w:rsidRPr="00DB5037">
              <w:rPr>
                <w:bCs/>
                <w:sz w:val="28"/>
                <w:szCs w:val="28"/>
              </w:rPr>
              <w:t xml:space="preserve"> (turpmāk – noteikumu projekts);</w:t>
            </w:r>
          </w:p>
          <w:p w:rsidR="006318F0" w:rsidRPr="00B0760E" w:rsidRDefault="007154EC" w:rsidP="00CA100E">
            <w:pPr>
              <w:spacing w:before="120" w:after="0" w:line="240" w:lineRule="auto"/>
              <w:ind w:firstLine="397"/>
              <w:jc w:val="both"/>
              <w:rPr>
                <w:bCs/>
                <w:sz w:val="28"/>
                <w:szCs w:val="28"/>
              </w:rPr>
            </w:pPr>
            <w:r w:rsidRPr="00DB5037">
              <w:rPr>
                <w:rFonts w:eastAsia="Times New Roman"/>
                <w:sz w:val="28"/>
                <w:szCs w:val="28"/>
                <w:lang w:eastAsia="lv-LV"/>
              </w:rPr>
              <w:t>2)</w:t>
            </w:r>
            <w:r w:rsidRPr="00DB5037">
              <w:rPr>
                <w:bCs/>
                <w:sz w:val="28"/>
                <w:szCs w:val="28"/>
              </w:rPr>
              <w:t xml:space="preserve"> </w:t>
            </w:r>
            <w:r w:rsidR="001A1582" w:rsidRPr="00B0760E">
              <w:rPr>
                <w:bCs/>
                <w:sz w:val="28"/>
                <w:szCs w:val="28"/>
              </w:rPr>
              <w:t>Noteikumu projekts „</w:t>
            </w:r>
            <w:r w:rsidRPr="00B0760E">
              <w:rPr>
                <w:rFonts w:eastAsia="Calibri"/>
                <w:bCs/>
                <w:sz w:val="28"/>
                <w:szCs w:val="28"/>
              </w:rPr>
              <w:t>Kārtība, kādā novēršama, ierobežojama un kontrolējama gaisu piesārņojošo vielu emisija no sadedzināšanas iekārtām</w:t>
            </w:r>
            <w:r w:rsidR="001A1582" w:rsidRPr="00B0760E">
              <w:rPr>
                <w:rFonts w:eastAsia="Calibri"/>
                <w:bCs/>
                <w:sz w:val="28"/>
                <w:szCs w:val="28"/>
              </w:rPr>
              <w:t>”</w:t>
            </w:r>
            <w:r w:rsidRPr="00B0760E">
              <w:rPr>
                <w:bCs/>
                <w:sz w:val="28"/>
                <w:szCs w:val="28"/>
              </w:rPr>
              <w:t>.</w:t>
            </w:r>
          </w:p>
          <w:p w:rsidR="00832584" w:rsidRPr="00CA100E" w:rsidRDefault="00A725CF" w:rsidP="00CA100E">
            <w:pPr>
              <w:spacing w:before="120" w:after="0" w:line="240" w:lineRule="auto"/>
              <w:ind w:firstLine="397"/>
              <w:jc w:val="both"/>
              <w:rPr>
                <w:color w:val="1F497D"/>
                <w:sz w:val="28"/>
                <w:szCs w:val="28"/>
              </w:rPr>
            </w:pPr>
            <w:r w:rsidRPr="00A725CF">
              <w:rPr>
                <w:rFonts w:eastAsia="Calibri"/>
                <w:color w:val="1F497D"/>
                <w:sz w:val="28"/>
                <w:szCs w:val="28"/>
              </w:rPr>
              <w:t xml:space="preserve"> </w:t>
            </w:r>
          </w:p>
        </w:tc>
      </w:tr>
      <w:tr w:rsidR="00B30CCA" w:rsidRPr="00DB5037" w:rsidTr="00F71C82">
        <w:trPr>
          <w:trHeight w:val="1071"/>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3.</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Saistītie politikas ietekmes novērtējumi un pētījumi</w:t>
            </w:r>
          </w:p>
        </w:tc>
        <w:tc>
          <w:tcPr>
            <w:tcW w:w="3590" w:type="pct"/>
            <w:tcBorders>
              <w:top w:val="outset" w:sz="6" w:space="0" w:color="auto"/>
              <w:left w:val="outset" w:sz="6" w:space="0" w:color="auto"/>
              <w:bottom w:val="outset" w:sz="6" w:space="0" w:color="auto"/>
              <w:right w:val="outset" w:sz="6" w:space="0" w:color="auto"/>
            </w:tcBorders>
            <w:hideMark/>
          </w:tcPr>
          <w:p w:rsidR="00B30CCA" w:rsidRPr="00087996" w:rsidRDefault="00087996" w:rsidP="006F2872">
            <w:pPr>
              <w:spacing w:before="75" w:after="75" w:line="240" w:lineRule="auto"/>
              <w:ind w:firstLine="397"/>
              <w:rPr>
                <w:rFonts w:eastAsia="Times New Roman"/>
                <w:sz w:val="28"/>
                <w:szCs w:val="28"/>
                <w:lang w:eastAsia="lv-LV"/>
              </w:rPr>
            </w:pPr>
            <w:r w:rsidRPr="00087996">
              <w:rPr>
                <w:bCs/>
                <w:iCs/>
                <w:sz w:val="28"/>
                <w:szCs w:val="28"/>
              </w:rPr>
              <w:t>Projekts šo jomu neskar</w:t>
            </w:r>
          </w:p>
        </w:tc>
      </w:tr>
      <w:tr w:rsidR="00B30CCA" w:rsidRPr="00DB5037" w:rsidTr="00F71C82">
        <w:trPr>
          <w:trHeight w:val="384"/>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4.</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Tiesiskā regulējuma mērķis un būtība</w:t>
            </w:r>
          </w:p>
        </w:tc>
        <w:tc>
          <w:tcPr>
            <w:tcW w:w="3590" w:type="pct"/>
            <w:tcBorders>
              <w:top w:val="outset" w:sz="6" w:space="0" w:color="auto"/>
              <w:left w:val="outset" w:sz="6" w:space="0" w:color="auto"/>
              <w:bottom w:val="outset" w:sz="6" w:space="0" w:color="auto"/>
              <w:right w:val="outset" w:sz="6" w:space="0" w:color="auto"/>
            </w:tcBorders>
            <w:hideMark/>
          </w:tcPr>
          <w:p w:rsidR="00053B7F" w:rsidRPr="00DB5037" w:rsidRDefault="00B30CCA"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w:t>
            </w:r>
            <w:r w:rsidR="002F0D18" w:rsidRPr="00DB5037">
              <w:rPr>
                <w:rFonts w:eastAsia="Times New Roman"/>
                <w:sz w:val="28"/>
                <w:szCs w:val="28"/>
                <w:lang w:eastAsia="lv-LV"/>
              </w:rPr>
              <w:t>Noteikumu projekt</w:t>
            </w:r>
            <w:r w:rsidR="00053B7F" w:rsidRPr="00DB5037">
              <w:rPr>
                <w:rFonts w:eastAsia="Times New Roman"/>
                <w:sz w:val="28"/>
                <w:szCs w:val="28"/>
                <w:lang w:eastAsia="lv-LV"/>
              </w:rPr>
              <w:t xml:space="preserve">a mērķis ir ierobežot un samazināt </w:t>
            </w:r>
            <w:r w:rsidR="002F0D18" w:rsidRPr="00DB5037">
              <w:rPr>
                <w:rFonts w:eastAsia="Times New Roman"/>
                <w:sz w:val="28"/>
                <w:szCs w:val="28"/>
                <w:lang w:eastAsia="lv-LV"/>
              </w:rPr>
              <w:t>iekārt</w:t>
            </w:r>
            <w:r w:rsidR="00053B7F" w:rsidRPr="00DB5037">
              <w:rPr>
                <w:rFonts w:eastAsia="Times New Roman"/>
                <w:sz w:val="28"/>
                <w:szCs w:val="28"/>
                <w:lang w:eastAsia="lv-LV"/>
              </w:rPr>
              <w:t>u</w:t>
            </w:r>
            <w:r w:rsidR="002F0D18" w:rsidRPr="00DB5037">
              <w:rPr>
                <w:rFonts w:eastAsia="Times New Roman"/>
                <w:sz w:val="28"/>
                <w:szCs w:val="28"/>
                <w:lang w:eastAsia="lv-LV"/>
              </w:rPr>
              <w:t>, kurās tiek veiktas noteikta veida darbības</w:t>
            </w:r>
            <w:r w:rsidR="00053B7F" w:rsidRPr="00DB5037">
              <w:rPr>
                <w:rFonts w:eastAsia="Times New Roman"/>
                <w:sz w:val="28"/>
                <w:szCs w:val="28"/>
                <w:lang w:eastAsia="lv-LV"/>
              </w:rPr>
              <w:t xml:space="preserve"> un</w:t>
            </w:r>
            <w:r w:rsidR="002F0D18" w:rsidRPr="00DB5037">
              <w:rPr>
                <w:rFonts w:eastAsia="Times New Roman"/>
                <w:sz w:val="28"/>
                <w:szCs w:val="28"/>
                <w:lang w:eastAsia="lv-LV"/>
              </w:rPr>
              <w:t xml:space="preserve"> kurās tiek izmantoti organiskie šķīdinātāji </w:t>
            </w:r>
            <w:r w:rsidR="00053B7F" w:rsidRPr="00DB5037">
              <w:rPr>
                <w:rFonts w:eastAsia="Times New Roman"/>
                <w:sz w:val="28"/>
                <w:szCs w:val="28"/>
                <w:lang w:eastAsia="lv-LV"/>
              </w:rPr>
              <w:t xml:space="preserve">radīto </w:t>
            </w:r>
            <w:r w:rsidR="0004446E" w:rsidRPr="00DB5037">
              <w:rPr>
                <w:rFonts w:eastAsia="Times New Roman"/>
                <w:sz w:val="28"/>
                <w:szCs w:val="28"/>
                <w:lang w:eastAsia="lv-LV"/>
              </w:rPr>
              <w:t>gaisa piesārņojumu</w:t>
            </w:r>
            <w:r w:rsidR="009C57BE" w:rsidRPr="00DB5037">
              <w:rPr>
                <w:rFonts w:eastAsia="Times New Roman"/>
                <w:sz w:val="28"/>
                <w:szCs w:val="28"/>
                <w:lang w:eastAsia="lv-LV"/>
              </w:rPr>
              <w:t xml:space="preserve">, kas </w:t>
            </w:r>
            <w:r w:rsidR="00D178E3" w:rsidRPr="00DB5037">
              <w:rPr>
                <w:rFonts w:eastAsia="Times New Roman"/>
                <w:sz w:val="28"/>
                <w:szCs w:val="28"/>
                <w:lang w:eastAsia="lv-LV"/>
              </w:rPr>
              <w:t>negatīvi</w:t>
            </w:r>
            <w:r w:rsidR="009C57BE" w:rsidRPr="00DB5037">
              <w:rPr>
                <w:rFonts w:eastAsia="Times New Roman"/>
                <w:sz w:val="28"/>
                <w:szCs w:val="28"/>
                <w:lang w:eastAsia="lv-LV"/>
              </w:rPr>
              <w:t xml:space="preserve"> ietekmē gan vidi, gan cilvēku </w:t>
            </w:r>
            <w:r w:rsidR="009C57BE" w:rsidRPr="00DB5037">
              <w:rPr>
                <w:rFonts w:eastAsia="Times New Roman"/>
                <w:sz w:val="28"/>
                <w:szCs w:val="28"/>
                <w:lang w:eastAsia="lv-LV"/>
              </w:rPr>
              <w:lastRenderedPageBreak/>
              <w:t>veselību</w:t>
            </w:r>
            <w:r w:rsidR="002F0D18" w:rsidRPr="00DB5037">
              <w:rPr>
                <w:rFonts w:eastAsia="Times New Roman"/>
                <w:sz w:val="28"/>
                <w:szCs w:val="28"/>
                <w:lang w:eastAsia="lv-LV"/>
              </w:rPr>
              <w:t xml:space="preserve">. </w:t>
            </w:r>
          </w:p>
          <w:p w:rsidR="00053B7F"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Noteikum</w:t>
            </w:r>
            <w:r w:rsidR="005B1F96" w:rsidRPr="00DB5037">
              <w:rPr>
                <w:rFonts w:eastAsia="Times New Roman"/>
                <w:sz w:val="28"/>
                <w:szCs w:val="28"/>
                <w:lang w:eastAsia="lv-LV"/>
              </w:rPr>
              <w:t>u prasības attiecas uz konkrētā</w:t>
            </w:r>
            <w:r w:rsidRPr="00DB5037">
              <w:rPr>
                <w:rFonts w:eastAsia="Times New Roman"/>
                <w:sz w:val="28"/>
                <w:szCs w:val="28"/>
                <w:lang w:eastAsia="lv-LV"/>
              </w:rPr>
              <w:t>m</w:t>
            </w:r>
            <w:r w:rsidR="006A3C67" w:rsidRPr="00DB5037">
              <w:rPr>
                <w:rFonts w:eastAsia="Times New Roman"/>
                <w:sz w:val="28"/>
                <w:szCs w:val="28"/>
                <w:lang w:eastAsia="lv-LV"/>
              </w:rPr>
              <w:t xml:space="preserve"> iekārtām un</w:t>
            </w:r>
            <w:r w:rsidRPr="00DB5037">
              <w:rPr>
                <w:rFonts w:eastAsia="Times New Roman"/>
                <w:sz w:val="28"/>
                <w:szCs w:val="28"/>
                <w:lang w:eastAsia="lv-LV"/>
              </w:rPr>
              <w:t xml:space="preserve"> darbības veidiem (1.pielikums), kas pārsniedz noteiktus organisko šķīdinātāju patēriņa lielumus (2.pielikums)</w:t>
            </w:r>
            <w:r w:rsidR="0004446E" w:rsidRPr="00DB5037">
              <w:rPr>
                <w:rFonts w:eastAsia="Times New Roman"/>
                <w:sz w:val="28"/>
                <w:szCs w:val="28"/>
                <w:lang w:eastAsia="lv-LV"/>
              </w:rPr>
              <w:t xml:space="preserve"> un rada gaistošo </w:t>
            </w:r>
            <w:r w:rsidR="00AF7FD0" w:rsidRPr="00DB5037">
              <w:rPr>
                <w:rFonts w:eastAsia="Times New Roman"/>
                <w:sz w:val="28"/>
                <w:szCs w:val="28"/>
                <w:lang w:eastAsia="lv-LV"/>
              </w:rPr>
              <w:t>organisko savienojumu emisiju (</w:t>
            </w:r>
            <w:r w:rsidR="0004446E" w:rsidRPr="00DB5037">
              <w:rPr>
                <w:rFonts w:eastAsia="Times New Roman"/>
                <w:sz w:val="28"/>
                <w:szCs w:val="28"/>
                <w:lang w:eastAsia="lv-LV"/>
              </w:rPr>
              <w:t>turpmāk – GOS emitējošas iekārtas)</w:t>
            </w:r>
            <w:r w:rsidRPr="00DB5037">
              <w:rPr>
                <w:rFonts w:eastAsia="Times New Roman"/>
                <w:sz w:val="28"/>
                <w:szCs w:val="28"/>
                <w:lang w:eastAsia="lv-LV"/>
              </w:rPr>
              <w:t>.</w:t>
            </w:r>
          </w:p>
          <w:p w:rsidR="00053B7F" w:rsidRPr="00DB5037" w:rsidRDefault="002F0D18"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Noteikum</w:t>
            </w:r>
            <w:r w:rsidR="00053B7F" w:rsidRPr="00DB5037">
              <w:rPr>
                <w:rFonts w:eastAsia="Times New Roman"/>
                <w:sz w:val="28"/>
                <w:szCs w:val="28"/>
                <w:lang w:eastAsia="lv-LV"/>
              </w:rPr>
              <w:t>u projekt</w:t>
            </w:r>
            <w:r w:rsidR="00225B03" w:rsidRPr="00DB5037">
              <w:rPr>
                <w:rFonts w:eastAsia="Times New Roman"/>
                <w:sz w:val="28"/>
                <w:szCs w:val="28"/>
                <w:lang w:eastAsia="lv-LV"/>
              </w:rPr>
              <w:t>s</w:t>
            </w:r>
            <w:r w:rsidRPr="00DB5037">
              <w:rPr>
                <w:rFonts w:eastAsia="Times New Roman"/>
                <w:sz w:val="28"/>
                <w:szCs w:val="28"/>
                <w:lang w:eastAsia="lv-LV"/>
              </w:rPr>
              <w:t xml:space="preserve"> </w:t>
            </w:r>
            <w:r w:rsidR="00225B03" w:rsidRPr="00DB5037">
              <w:rPr>
                <w:rFonts w:eastAsia="Times New Roman"/>
                <w:sz w:val="28"/>
                <w:szCs w:val="28"/>
                <w:lang w:eastAsia="lv-LV"/>
              </w:rPr>
              <w:t>nosaka:</w:t>
            </w:r>
          </w:p>
          <w:p w:rsidR="00053B7F"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1) </w:t>
            </w:r>
            <w:r w:rsidR="002F0D18" w:rsidRPr="00DB5037">
              <w:rPr>
                <w:rFonts w:eastAsia="Times New Roman"/>
                <w:sz w:val="28"/>
                <w:szCs w:val="28"/>
                <w:lang w:eastAsia="lv-LV"/>
              </w:rPr>
              <w:t>kād</w:t>
            </w:r>
            <w:r w:rsidR="00225B03" w:rsidRPr="00DB5037">
              <w:rPr>
                <w:rFonts w:eastAsia="Times New Roman"/>
                <w:sz w:val="28"/>
                <w:szCs w:val="28"/>
                <w:lang w:eastAsia="lv-LV"/>
              </w:rPr>
              <w:t>os gadījumos un kādā kārtībā</w:t>
            </w:r>
            <w:r w:rsidR="002F0D18" w:rsidRPr="00DB5037">
              <w:rPr>
                <w:rFonts w:eastAsia="Times New Roman"/>
                <w:sz w:val="28"/>
                <w:szCs w:val="28"/>
                <w:lang w:eastAsia="lv-LV"/>
              </w:rPr>
              <w:t xml:space="preserve"> GOS emitējoš</w:t>
            </w:r>
            <w:r w:rsidR="00C4617A" w:rsidRPr="00DB5037">
              <w:rPr>
                <w:rFonts w:eastAsia="Times New Roman"/>
                <w:sz w:val="28"/>
                <w:szCs w:val="28"/>
                <w:lang w:eastAsia="lv-LV"/>
              </w:rPr>
              <w:t>ajām</w:t>
            </w:r>
            <w:r w:rsidR="002F0D18" w:rsidRPr="00DB5037">
              <w:rPr>
                <w:rFonts w:eastAsia="Times New Roman"/>
                <w:sz w:val="28"/>
                <w:szCs w:val="28"/>
                <w:lang w:eastAsia="lv-LV"/>
              </w:rPr>
              <w:t xml:space="preserve"> iekārt</w:t>
            </w:r>
            <w:r w:rsidR="00A7219B" w:rsidRPr="00DB5037">
              <w:rPr>
                <w:rFonts w:eastAsia="Times New Roman"/>
                <w:sz w:val="28"/>
                <w:szCs w:val="28"/>
                <w:lang w:eastAsia="lv-LV"/>
              </w:rPr>
              <w:t>ām</w:t>
            </w:r>
            <w:r w:rsidR="002F0D18" w:rsidRPr="00DB5037">
              <w:rPr>
                <w:rFonts w:eastAsia="Times New Roman"/>
                <w:sz w:val="28"/>
                <w:szCs w:val="28"/>
                <w:lang w:eastAsia="lv-LV"/>
              </w:rPr>
              <w:t xml:space="preserve"> </w:t>
            </w:r>
            <w:r w:rsidR="00A7219B" w:rsidRPr="00DB5037">
              <w:rPr>
                <w:rFonts w:eastAsia="Times New Roman"/>
                <w:sz w:val="28"/>
                <w:szCs w:val="28"/>
                <w:lang w:eastAsia="lv-LV"/>
              </w:rPr>
              <w:t>jā</w:t>
            </w:r>
            <w:r w:rsidR="002F0D18" w:rsidRPr="00DB5037">
              <w:rPr>
                <w:rFonts w:eastAsia="Times New Roman"/>
                <w:sz w:val="28"/>
                <w:szCs w:val="28"/>
                <w:lang w:eastAsia="lv-LV"/>
              </w:rPr>
              <w:t xml:space="preserve">saņem </w:t>
            </w:r>
            <w:r w:rsidR="00225B03" w:rsidRPr="00DB5037">
              <w:rPr>
                <w:rFonts w:eastAsia="Times New Roman"/>
                <w:sz w:val="28"/>
                <w:szCs w:val="28"/>
                <w:lang w:eastAsia="lv-LV"/>
              </w:rPr>
              <w:t xml:space="preserve">piesārņojošās darbības </w:t>
            </w:r>
            <w:r w:rsidR="00A7219B" w:rsidRPr="00DB5037">
              <w:rPr>
                <w:rFonts w:eastAsia="Times New Roman"/>
                <w:sz w:val="28"/>
                <w:szCs w:val="28"/>
                <w:lang w:eastAsia="lv-LV"/>
              </w:rPr>
              <w:t>atļauja</w:t>
            </w:r>
            <w:r w:rsidR="00225B03" w:rsidRPr="00DB5037">
              <w:rPr>
                <w:rFonts w:eastAsia="Times New Roman"/>
                <w:sz w:val="28"/>
                <w:szCs w:val="28"/>
                <w:lang w:eastAsia="lv-LV"/>
              </w:rPr>
              <w:t>;</w:t>
            </w:r>
            <w:r w:rsidR="002F0D18" w:rsidRPr="00DB5037">
              <w:rPr>
                <w:rFonts w:eastAsia="Times New Roman"/>
                <w:sz w:val="28"/>
                <w:szCs w:val="28"/>
                <w:lang w:eastAsia="lv-LV"/>
              </w:rPr>
              <w:t xml:space="preserve"> </w:t>
            </w:r>
          </w:p>
          <w:p w:rsidR="00053B7F"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2)</w:t>
            </w:r>
            <w:r w:rsidR="002F0D18" w:rsidRPr="00DB5037">
              <w:rPr>
                <w:rFonts w:eastAsia="Times New Roman"/>
                <w:sz w:val="28"/>
                <w:szCs w:val="28"/>
                <w:lang w:eastAsia="lv-LV"/>
              </w:rPr>
              <w:t xml:space="preserve"> </w:t>
            </w:r>
            <w:r w:rsidR="00225B03" w:rsidRPr="00DB5037">
              <w:rPr>
                <w:rFonts w:eastAsia="Times New Roman"/>
                <w:sz w:val="28"/>
                <w:szCs w:val="28"/>
                <w:lang w:eastAsia="lv-LV"/>
              </w:rPr>
              <w:t>specifiskus nosacījumus, kas jāievēro</w:t>
            </w:r>
            <w:r w:rsidR="002F0D18" w:rsidRPr="00DB5037">
              <w:rPr>
                <w:rFonts w:eastAsia="Times New Roman"/>
                <w:sz w:val="28"/>
                <w:szCs w:val="28"/>
                <w:lang w:eastAsia="lv-LV"/>
              </w:rPr>
              <w:t xml:space="preserve"> šīm iekārtām</w:t>
            </w:r>
            <w:r w:rsidR="00BB7F56" w:rsidRPr="00DB5037">
              <w:rPr>
                <w:rFonts w:eastAsia="Times New Roman"/>
                <w:sz w:val="28"/>
                <w:szCs w:val="28"/>
                <w:lang w:eastAsia="lv-LV"/>
              </w:rPr>
              <w:t xml:space="preserve"> (piemēram, </w:t>
            </w:r>
            <w:r w:rsidR="00343238" w:rsidRPr="00DB5037">
              <w:rPr>
                <w:rFonts w:eastAsia="Times New Roman"/>
                <w:sz w:val="28"/>
                <w:szCs w:val="28"/>
                <w:lang w:eastAsia="lv-LV"/>
              </w:rPr>
              <w:t>pienākums aizstāt izmantotās bīstamās ķīmiskās vielas</w:t>
            </w:r>
            <w:r w:rsidR="00BB7F56" w:rsidRPr="00DB5037">
              <w:rPr>
                <w:rFonts w:eastAsia="Times New Roman"/>
                <w:sz w:val="28"/>
                <w:szCs w:val="28"/>
                <w:lang w:eastAsia="lv-LV"/>
              </w:rPr>
              <w:t xml:space="preserve"> un maisījumu</w:t>
            </w:r>
            <w:r w:rsidR="00343238" w:rsidRPr="00DB5037">
              <w:rPr>
                <w:rFonts w:eastAsia="Times New Roman"/>
                <w:sz w:val="28"/>
                <w:szCs w:val="28"/>
                <w:lang w:eastAsia="lv-LV"/>
              </w:rPr>
              <w:t>s ar mazāk bīstamām</w:t>
            </w:r>
            <w:r w:rsidR="00BB7F56" w:rsidRPr="00DB5037">
              <w:rPr>
                <w:rFonts w:eastAsia="Times New Roman"/>
                <w:sz w:val="28"/>
                <w:szCs w:val="28"/>
                <w:lang w:eastAsia="lv-LV"/>
              </w:rPr>
              <w:t>)</w:t>
            </w:r>
            <w:r w:rsidR="00225B03" w:rsidRPr="00DB5037">
              <w:rPr>
                <w:rFonts w:eastAsia="Times New Roman"/>
                <w:sz w:val="28"/>
                <w:szCs w:val="28"/>
                <w:lang w:eastAsia="lv-LV"/>
              </w:rPr>
              <w:t>;</w:t>
            </w:r>
          </w:p>
          <w:p w:rsidR="00053B7F"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3) </w:t>
            </w:r>
            <w:r w:rsidR="007A2AEB" w:rsidRPr="00DB5037">
              <w:rPr>
                <w:rFonts w:eastAsia="Times New Roman"/>
                <w:sz w:val="28"/>
                <w:szCs w:val="28"/>
                <w:lang w:eastAsia="lv-LV"/>
              </w:rPr>
              <w:t xml:space="preserve">šīm iekārtām piemērojamās robežvērtības </w:t>
            </w:r>
            <w:r w:rsidR="000F79FA" w:rsidRPr="00DB5037">
              <w:rPr>
                <w:rFonts w:eastAsia="Times New Roman"/>
                <w:sz w:val="28"/>
                <w:szCs w:val="28"/>
                <w:lang w:eastAsia="lv-LV"/>
              </w:rPr>
              <w:t>un</w:t>
            </w:r>
            <w:r w:rsidR="007A2AEB" w:rsidRPr="00DB5037">
              <w:rPr>
                <w:rFonts w:eastAsia="Times New Roman"/>
                <w:sz w:val="28"/>
                <w:szCs w:val="28"/>
                <w:lang w:eastAsia="lv-LV"/>
              </w:rPr>
              <w:t xml:space="preserve"> mērķa emisijas limita noteikšanas kārtību;</w:t>
            </w:r>
          </w:p>
          <w:p w:rsidR="00053B7F"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4) </w:t>
            </w:r>
            <w:r w:rsidR="007A2AEB" w:rsidRPr="00DB5037">
              <w:rPr>
                <w:rFonts w:eastAsia="Times New Roman"/>
                <w:sz w:val="28"/>
                <w:szCs w:val="28"/>
                <w:lang w:eastAsia="lv-LV"/>
              </w:rPr>
              <w:t xml:space="preserve">kārtību, kādā tiek </w:t>
            </w:r>
            <w:r w:rsidR="002F0D18" w:rsidRPr="00DB5037">
              <w:rPr>
                <w:rFonts w:eastAsia="Times New Roman"/>
                <w:sz w:val="28"/>
                <w:szCs w:val="28"/>
                <w:lang w:eastAsia="lv-LV"/>
              </w:rPr>
              <w:t>veikta šo iekārtu darbības kontrole</w:t>
            </w:r>
            <w:r w:rsidR="007D6DB1" w:rsidRPr="00DB5037">
              <w:rPr>
                <w:rFonts w:eastAsia="Times New Roman"/>
                <w:sz w:val="28"/>
                <w:szCs w:val="28"/>
                <w:lang w:eastAsia="lv-LV"/>
              </w:rPr>
              <w:t>, veikts monitorings</w:t>
            </w:r>
            <w:r w:rsidR="007A2AEB" w:rsidRPr="00DB5037">
              <w:rPr>
                <w:rFonts w:eastAsia="Times New Roman"/>
                <w:sz w:val="28"/>
                <w:szCs w:val="28"/>
                <w:lang w:eastAsia="lv-LV"/>
              </w:rPr>
              <w:t xml:space="preserve"> un </w:t>
            </w:r>
            <w:r w:rsidR="007D6DB1" w:rsidRPr="00DB5037">
              <w:rPr>
                <w:rFonts w:eastAsia="Times New Roman"/>
                <w:sz w:val="28"/>
                <w:szCs w:val="28"/>
                <w:lang w:eastAsia="lv-LV"/>
              </w:rPr>
              <w:t xml:space="preserve">novērtēta to </w:t>
            </w:r>
            <w:r w:rsidR="007A2AEB" w:rsidRPr="00DB5037">
              <w:rPr>
                <w:rFonts w:eastAsia="Times New Roman"/>
                <w:sz w:val="28"/>
                <w:szCs w:val="28"/>
                <w:lang w:eastAsia="lv-LV"/>
              </w:rPr>
              <w:t>atbilstība noteiktajām robežvērtībām</w:t>
            </w:r>
            <w:r w:rsidR="007D6DB1" w:rsidRPr="00DB5037">
              <w:rPr>
                <w:rFonts w:eastAsia="Times New Roman"/>
                <w:sz w:val="28"/>
                <w:szCs w:val="28"/>
                <w:lang w:eastAsia="lv-LV"/>
              </w:rPr>
              <w:t>;</w:t>
            </w:r>
            <w:r w:rsidR="002F0D18" w:rsidRPr="00DB5037">
              <w:rPr>
                <w:rFonts w:eastAsia="Times New Roman"/>
                <w:sz w:val="28"/>
                <w:szCs w:val="28"/>
                <w:lang w:eastAsia="lv-LV"/>
              </w:rPr>
              <w:t xml:space="preserve"> </w:t>
            </w:r>
          </w:p>
          <w:p w:rsidR="002F0D18" w:rsidRPr="00DB5037" w:rsidRDefault="00053B7F"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5)</w:t>
            </w:r>
            <w:r w:rsidR="002F0D18" w:rsidRPr="00DB5037">
              <w:rPr>
                <w:rFonts w:eastAsia="Times New Roman"/>
                <w:sz w:val="28"/>
                <w:szCs w:val="28"/>
                <w:lang w:eastAsia="lv-LV"/>
              </w:rPr>
              <w:t xml:space="preserve"> </w:t>
            </w:r>
            <w:r w:rsidR="007D6DB1" w:rsidRPr="00DB5037">
              <w:rPr>
                <w:rFonts w:eastAsia="Times New Roman"/>
                <w:sz w:val="28"/>
                <w:szCs w:val="28"/>
                <w:lang w:eastAsia="lv-LV"/>
              </w:rPr>
              <w:t>atbildīgās institūcijas, kas</w:t>
            </w:r>
            <w:r w:rsidR="002F0D18" w:rsidRPr="00DB5037">
              <w:rPr>
                <w:rFonts w:eastAsia="Times New Roman"/>
                <w:sz w:val="28"/>
                <w:szCs w:val="28"/>
                <w:lang w:eastAsia="lv-LV"/>
              </w:rPr>
              <w:t xml:space="preserve"> </w:t>
            </w:r>
            <w:r w:rsidR="007D6DB1" w:rsidRPr="00DB5037">
              <w:rPr>
                <w:rFonts w:eastAsia="Times New Roman"/>
                <w:sz w:val="28"/>
                <w:szCs w:val="28"/>
                <w:lang w:eastAsia="lv-LV"/>
              </w:rPr>
              <w:t>sagatavo un sniedz</w:t>
            </w:r>
            <w:r w:rsidR="002F0D18" w:rsidRPr="00DB5037">
              <w:rPr>
                <w:rFonts w:eastAsia="Times New Roman"/>
                <w:sz w:val="28"/>
                <w:szCs w:val="28"/>
                <w:lang w:eastAsia="lv-LV"/>
              </w:rPr>
              <w:t xml:space="preserve"> informācij</w:t>
            </w:r>
            <w:r w:rsidR="007D6DB1" w:rsidRPr="00DB5037">
              <w:rPr>
                <w:rFonts w:eastAsia="Times New Roman"/>
                <w:sz w:val="28"/>
                <w:szCs w:val="28"/>
                <w:lang w:eastAsia="lv-LV"/>
              </w:rPr>
              <w:t>u</w:t>
            </w:r>
            <w:r w:rsidR="002F0D18" w:rsidRPr="00DB5037">
              <w:rPr>
                <w:rFonts w:eastAsia="Times New Roman"/>
                <w:sz w:val="28"/>
                <w:szCs w:val="28"/>
                <w:lang w:eastAsia="lv-LV"/>
              </w:rPr>
              <w:t xml:space="preserve"> </w:t>
            </w:r>
            <w:r w:rsidR="007A2AEB" w:rsidRPr="00DB5037">
              <w:rPr>
                <w:rFonts w:eastAsia="Times New Roman"/>
                <w:sz w:val="28"/>
                <w:szCs w:val="28"/>
                <w:lang w:eastAsia="lv-LV"/>
              </w:rPr>
              <w:t xml:space="preserve">par šo noteikumu prasību izpildi </w:t>
            </w:r>
            <w:r w:rsidR="002F0D18" w:rsidRPr="00DB5037">
              <w:rPr>
                <w:rFonts w:eastAsia="Times New Roman"/>
                <w:sz w:val="28"/>
                <w:szCs w:val="28"/>
                <w:lang w:eastAsia="lv-LV"/>
              </w:rPr>
              <w:t>gan sabiedrībai, gan E</w:t>
            </w:r>
            <w:r w:rsidR="007A2AEB" w:rsidRPr="00DB5037">
              <w:rPr>
                <w:rFonts w:eastAsia="Times New Roman"/>
                <w:sz w:val="28"/>
                <w:szCs w:val="28"/>
                <w:lang w:eastAsia="lv-LV"/>
              </w:rPr>
              <w:t>iropas Komisijai</w:t>
            </w:r>
            <w:r w:rsidR="002F0D18" w:rsidRPr="00DB5037">
              <w:rPr>
                <w:rFonts w:eastAsia="Times New Roman"/>
                <w:sz w:val="28"/>
                <w:szCs w:val="28"/>
                <w:lang w:eastAsia="lv-LV"/>
              </w:rPr>
              <w:t>.</w:t>
            </w:r>
          </w:p>
          <w:p w:rsidR="00CB5AFD" w:rsidRPr="00DB5037" w:rsidRDefault="009A128A"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Noteikumu projektā iekļautās normas pamatā sakrīt ar MK noteikumos Nr.379 </w:t>
            </w:r>
            <w:r w:rsidR="00B1101B" w:rsidRPr="00DB5037">
              <w:rPr>
                <w:rFonts w:eastAsia="Times New Roman"/>
                <w:sz w:val="28"/>
                <w:szCs w:val="28"/>
                <w:lang w:eastAsia="lv-LV"/>
              </w:rPr>
              <w:t xml:space="preserve">GOS emitējošajām iekārtām noteiktajām </w:t>
            </w:r>
            <w:r w:rsidRPr="00DB5037">
              <w:rPr>
                <w:rFonts w:eastAsia="Times New Roman"/>
                <w:sz w:val="28"/>
                <w:szCs w:val="28"/>
                <w:lang w:eastAsia="lv-LV"/>
              </w:rPr>
              <w:t xml:space="preserve">prasībām. </w:t>
            </w:r>
            <w:r w:rsidR="00CB5AFD" w:rsidRPr="00DB5037">
              <w:rPr>
                <w:rFonts w:eastAsia="Times New Roman"/>
                <w:sz w:val="28"/>
                <w:szCs w:val="28"/>
                <w:lang w:eastAsia="lv-LV"/>
              </w:rPr>
              <w:t>Salīdzinājumā ar MK noteikumiem Nr.379 šajā noteikumu projektā:</w:t>
            </w:r>
          </w:p>
          <w:p w:rsidR="00CB5AFD" w:rsidRPr="00DB5037" w:rsidRDefault="00CB5AFD"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 atsevišķi sniegts noteikumu projektā lietoto terminu skaidrojums, kā arī </w:t>
            </w:r>
            <w:r w:rsidR="00D03C46" w:rsidRPr="00DB5037">
              <w:rPr>
                <w:rFonts w:eastAsia="Times New Roman"/>
                <w:sz w:val="28"/>
                <w:szCs w:val="28"/>
                <w:lang w:eastAsia="lv-LV"/>
              </w:rPr>
              <w:t xml:space="preserve">labākai noteikumu izpratnei </w:t>
            </w:r>
            <w:r w:rsidRPr="00DB5037">
              <w:rPr>
                <w:rFonts w:eastAsia="Times New Roman"/>
                <w:sz w:val="28"/>
                <w:szCs w:val="28"/>
                <w:lang w:eastAsia="lv-LV"/>
              </w:rPr>
              <w:t>iekļauti jaun</w:t>
            </w:r>
            <w:r w:rsidR="005B1F96" w:rsidRPr="00DB5037">
              <w:rPr>
                <w:rFonts w:eastAsia="Times New Roman"/>
                <w:sz w:val="28"/>
                <w:szCs w:val="28"/>
                <w:lang w:eastAsia="lv-LV"/>
              </w:rPr>
              <w:t>i</w:t>
            </w:r>
            <w:r w:rsidRPr="00DB5037">
              <w:rPr>
                <w:rFonts w:eastAsia="Times New Roman"/>
                <w:sz w:val="28"/>
                <w:szCs w:val="28"/>
                <w:lang w:eastAsia="lv-LV"/>
              </w:rPr>
              <w:t xml:space="preserve"> terminu skaidrojumi (3.2., 3.6., 3.9.</w:t>
            </w:r>
            <w:r w:rsidR="00176966" w:rsidRPr="00DB5037">
              <w:rPr>
                <w:rFonts w:eastAsia="Times New Roman"/>
                <w:sz w:val="28"/>
                <w:szCs w:val="28"/>
                <w:lang w:eastAsia="lv-LV"/>
              </w:rPr>
              <w:t>apakšpunkts</w:t>
            </w:r>
            <w:r w:rsidRPr="00DB5037">
              <w:rPr>
                <w:rFonts w:eastAsia="Times New Roman"/>
                <w:sz w:val="28"/>
                <w:szCs w:val="28"/>
                <w:lang w:eastAsia="lv-LV"/>
              </w:rPr>
              <w:t>);</w:t>
            </w:r>
          </w:p>
          <w:p w:rsidR="00CB5AFD" w:rsidRPr="00DB5037" w:rsidRDefault="00CB5AFD" w:rsidP="006F2872">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p</w:t>
            </w:r>
            <w:r w:rsidR="009A128A" w:rsidRPr="00DB5037">
              <w:rPr>
                <w:rFonts w:eastAsia="Times New Roman"/>
                <w:sz w:val="28"/>
                <w:szCs w:val="28"/>
                <w:lang w:eastAsia="lv-LV"/>
              </w:rPr>
              <w:t xml:space="preserve">recizētas </w:t>
            </w:r>
            <w:r w:rsidR="00122B68" w:rsidRPr="00DB5037">
              <w:rPr>
                <w:rFonts w:eastAsia="Times New Roman"/>
                <w:sz w:val="28"/>
                <w:szCs w:val="28"/>
                <w:lang w:eastAsia="lv-LV"/>
              </w:rPr>
              <w:t>iepriekš noteikumos noteiktās</w:t>
            </w:r>
            <w:r w:rsidR="009A128A" w:rsidRPr="00DB5037">
              <w:rPr>
                <w:rFonts w:eastAsia="Times New Roman"/>
                <w:sz w:val="28"/>
                <w:szCs w:val="28"/>
                <w:lang w:eastAsia="lv-LV"/>
              </w:rPr>
              <w:t xml:space="preserve"> </w:t>
            </w:r>
            <w:r w:rsidR="00122B68" w:rsidRPr="00DB5037">
              <w:rPr>
                <w:rFonts w:eastAsia="Times New Roman"/>
                <w:sz w:val="28"/>
                <w:szCs w:val="28"/>
                <w:lang w:eastAsia="lv-LV"/>
              </w:rPr>
              <w:t>prasības</w:t>
            </w:r>
            <w:r w:rsidR="00A725CF">
              <w:rPr>
                <w:rFonts w:eastAsia="Times New Roman"/>
                <w:sz w:val="28"/>
                <w:szCs w:val="28"/>
                <w:lang w:eastAsia="lv-LV"/>
              </w:rPr>
              <w:t xml:space="preserve"> </w:t>
            </w:r>
            <w:r w:rsidR="009A128A" w:rsidRPr="00DB5037">
              <w:rPr>
                <w:rFonts w:eastAsia="Times New Roman"/>
                <w:sz w:val="28"/>
                <w:szCs w:val="28"/>
                <w:lang w:eastAsia="lv-LV"/>
              </w:rPr>
              <w:t>(</w:t>
            </w:r>
            <w:r w:rsidR="004259FB" w:rsidRPr="00DB5037">
              <w:rPr>
                <w:rFonts w:eastAsia="Times New Roman"/>
                <w:sz w:val="28"/>
                <w:szCs w:val="28"/>
                <w:lang w:eastAsia="lv-LV"/>
              </w:rPr>
              <w:t>3.1., 8., 14., 15., 17., 26., 27., 29., 30.</w:t>
            </w:r>
            <w:r w:rsidR="009A128A" w:rsidRPr="00DB5037">
              <w:rPr>
                <w:rFonts w:eastAsia="Times New Roman"/>
                <w:sz w:val="28"/>
                <w:szCs w:val="28"/>
                <w:lang w:eastAsia="lv-LV"/>
              </w:rPr>
              <w:t>punkts)</w:t>
            </w:r>
            <w:r w:rsidRPr="00DB5037">
              <w:rPr>
                <w:rFonts w:eastAsia="Times New Roman"/>
                <w:sz w:val="28"/>
                <w:szCs w:val="28"/>
                <w:lang w:eastAsia="lv-LV"/>
              </w:rPr>
              <w:t>;</w:t>
            </w:r>
          </w:p>
          <w:p w:rsidR="004A30EB" w:rsidRDefault="00CB5AFD" w:rsidP="00E1228F">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 - </w:t>
            </w:r>
            <w:r w:rsidR="00B93025">
              <w:rPr>
                <w:rFonts w:eastAsia="Times New Roman"/>
                <w:sz w:val="28"/>
                <w:szCs w:val="28"/>
                <w:lang w:eastAsia="lv-LV"/>
              </w:rPr>
              <w:t>salīdzinājumā ar MK noteikumiem Nr.379 noteiktas šādas jaunas prasības:</w:t>
            </w:r>
          </w:p>
          <w:p w:rsidR="00D44AB9" w:rsidRDefault="00D44AB9" w:rsidP="00B0760E">
            <w:pPr>
              <w:spacing w:before="75" w:after="75" w:line="240" w:lineRule="auto"/>
              <w:ind w:firstLine="567"/>
              <w:jc w:val="both"/>
              <w:rPr>
                <w:rFonts w:eastAsia="Times New Roman"/>
                <w:sz w:val="28"/>
                <w:szCs w:val="28"/>
                <w:lang w:eastAsia="lv-LV"/>
              </w:rPr>
            </w:pPr>
            <w:r>
              <w:rPr>
                <w:rFonts w:eastAsia="Times New Roman"/>
                <w:sz w:val="28"/>
                <w:szCs w:val="28"/>
                <w:lang w:eastAsia="lv-LV"/>
              </w:rPr>
              <w:t xml:space="preserve">1) </w:t>
            </w:r>
            <w:r w:rsidR="004079DC" w:rsidRPr="00D44AB9">
              <w:rPr>
                <w:rFonts w:eastAsia="Times New Roman"/>
                <w:sz w:val="28"/>
                <w:szCs w:val="28"/>
                <w:lang w:eastAsia="lv-LV"/>
              </w:rPr>
              <w:t>noteikts, kādas izmaiņas veiktajā darbībā var uzskatīt par būtiskām</w:t>
            </w:r>
            <w:r w:rsidR="0028531A" w:rsidRPr="00D44AB9">
              <w:rPr>
                <w:rFonts w:eastAsia="Times New Roman"/>
                <w:sz w:val="28"/>
                <w:szCs w:val="28"/>
                <w:lang w:eastAsia="lv-LV"/>
              </w:rPr>
              <w:t xml:space="preserve"> un kādas prasības tādos gadījumos operatoram ir jāi</w:t>
            </w:r>
            <w:r w:rsidR="00A516BD" w:rsidRPr="00D44AB9">
              <w:rPr>
                <w:rFonts w:eastAsia="Times New Roman"/>
                <w:sz w:val="28"/>
                <w:szCs w:val="28"/>
                <w:lang w:eastAsia="lv-LV"/>
              </w:rPr>
              <w:t>e</w:t>
            </w:r>
            <w:r w:rsidR="0028531A" w:rsidRPr="00D44AB9">
              <w:rPr>
                <w:rFonts w:eastAsia="Times New Roman"/>
                <w:sz w:val="28"/>
                <w:szCs w:val="28"/>
                <w:lang w:eastAsia="lv-LV"/>
              </w:rPr>
              <w:t>vēro</w:t>
            </w:r>
            <w:r w:rsidRPr="00D44AB9">
              <w:rPr>
                <w:rFonts w:eastAsia="Times New Roman"/>
                <w:sz w:val="28"/>
                <w:szCs w:val="28"/>
                <w:lang w:eastAsia="lv-LV"/>
              </w:rPr>
              <w:t xml:space="preserve"> (5.-7.punkts)</w:t>
            </w:r>
            <w:r w:rsidR="004079DC" w:rsidRPr="00D44AB9">
              <w:rPr>
                <w:rFonts w:eastAsia="Times New Roman"/>
                <w:sz w:val="28"/>
                <w:szCs w:val="28"/>
                <w:lang w:eastAsia="lv-LV"/>
              </w:rPr>
              <w:t>;</w:t>
            </w:r>
          </w:p>
          <w:p w:rsidR="00D44AB9" w:rsidRDefault="00D44AB9" w:rsidP="00B0760E">
            <w:pPr>
              <w:spacing w:before="75" w:after="75" w:line="240" w:lineRule="auto"/>
              <w:ind w:firstLine="567"/>
              <w:jc w:val="both"/>
              <w:rPr>
                <w:rFonts w:eastAsia="Times New Roman"/>
                <w:sz w:val="28"/>
                <w:szCs w:val="28"/>
                <w:lang w:eastAsia="lv-LV"/>
              </w:rPr>
            </w:pPr>
            <w:r>
              <w:rPr>
                <w:rFonts w:eastAsia="Times New Roman"/>
                <w:sz w:val="28"/>
                <w:szCs w:val="28"/>
                <w:lang w:eastAsia="lv-LV"/>
              </w:rPr>
              <w:t xml:space="preserve">2) </w:t>
            </w:r>
            <w:r w:rsidR="009C577C">
              <w:rPr>
                <w:rFonts w:eastAsia="Times New Roman"/>
                <w:sz w:val="28"/>
                <w:szCs w:val="28"/>
                <w:lang w:eastAsia="lv-LV"/>
              </w:rPr>
              <w:t xml:space="preserve">noteikts </w:t>
            </w:r>
            <w:r w:rsidRPr="00D44AB9">
              <w:rPr>
                <w:rFonts w:eastAsia="Times New Roman"/>
                <w:sz w:val="28"/>
                <w:szCs w:val="28"/>
                <w:lang w:eastAsia="lv-LV"/>
              </w:rPr>
              <w:t>kādi noteikumi jāievēro iekārtām, kurās tiek veiktas divas vai vairākas darbības (20.punkts);</w:t>
            </w:r>
          </w:p>
          <w:p w:rsidR="00D44AB9" w:rsidRDefault="00D44AB9" w:rsidP="00B0760E">
            <w:pPr>
              <w:spacing w:before="75" w:after="75" w:line="240" w:lineRule="auto"/>
              <w:ind w:firstLine="567"/>
              <w:jc w:val="both"/>
              <w:rPr>
                <w:rFonts w:eastAsia="Times New Roman"/>
                <w:sz w:val="28"/>
                <w:szCs w:val="28"/>
                <w:lang w:eastAsia="lv-LV"/>
              </w:rPr>
            </w:pPr>
            <w:r>
              <w:rPr>
                <w:rFonts w:eastAsia="Times New Roman"/>
                <w:sz w:val="28"/>
                <w:szCs w:val="28"/>
                <w:lang w:eastAsia="lv-LV"/>
              </w:rPr>
              <w:t xml:space="preserve">3) </w:t>
            </w:r>
            <w:r w:rsidR="00B93025">
              <w:rPr>
                <w:rFonts w:eastAsia="Times New Roman"/>
                <w:sz w:val="28"/>
                <w:szCs w:val="28"/>
                <w:lang w:eastAsia="lv-LV"/>
              </w:rPr>
              <w:t>mainīti</w:t>
            </w:r>
            <w:r w:rsidRPr="00D44AB9">
              <w:rPr>
                <w:rFonts w:eastAsia="Times New Roman"/>
                <w:sz w:val="28"/>
                <w:szCs w:val="28"/>
                <w:lang w:eastAsia="lv-LV"/>
              </w:rPr>
              <w:t xml:space="preserve"> bīstamo ķīmisko vielu </w:t>
            </w:r>
            <w:r w:rsidR="00B93025">
              <w:rPr>
                <w:rFonts w:eastAsia="Times New Roman"/>
                <w:sz w:val="28"/>
                <w:szCs w:val="28"/>
                <w:lang w:eastAsia="lv-LV"/>
              </w:rPr>
              <w:t>iedarbības raksturojumu apzīmējumi</w:t>
            </w:r>
            <w:r w:rsidRPr="00D44AB9">
              <w:rPr>
                <w:rFonts w:eastAsia="Times New Roman"/>
                <w:sz w:val="28"/>
                <w:szCs w:val="28"/>
                <w:lang w:eastAsia="lv-LV"/>
              </w:rPr>
              <w:t xml:space="preserve">, kas stāsies spēkā 2015.gada </w:t>
            </w:r>
            <w:r w:rsidRPr="00D44AB9">
              <w:rPr>
                <w:rFonts w:eastAsia="Times New Roman"/>
                <w:sz w:val="28"/>
                <w:szCs w:val="28"/>
                <w:lang w:eastAsia="lv-LV"/>
              </w:rPr>
              <w:lastRenderedPageBreak/>
              <w:t>1.jūnijā (31.-33.punkts);</w:t>
            </w:r>
          </w:p>
          <w:p w:rsidR="00D44AB9" w:rsidRPr="00CA100E" w:rsidRDefault="00D44AB9" w:rsidP="00B0760E">
            <w:pPr>
              <w:spacing w:before="75" w:after="75" w:line="240" w:lineRule="auto"/>
              <w:ind w:firstLine="567"/>
              <w:jc w:val="both"/>
              <w:rPr>
                <w:rFonts w:eastAsia="Times New Roman"/>
                <w:sz w:val="28"/>
                <w:szCs w:val="28"/>
                <w:lang w:eastAsia="lv-LV"/>
              </w:rPr>
            </w:pPr>
            <w:r>
              <w:rPr>
                <w:rFonts w:eastAsia="Times New Roman"/>
                <w:sz w:val="28"/>
                <w:szCs w:val="28"/>
                <w:lang w:eastAsia="lv-LV"/>
              </w:rPr>
              <w:t>4)</w:t>
            </w:r>
            <w:r w:rsidR="00C85B3B">
              <w:rPr>
                <w:rFonts w:eastAsia="Times New Roman"/>
                <w:sz w:val="28"/>
                <w:szCs w:val="28"/>
                <w:lang w:eastAsia="lv-LV"/>
              </w:rPr>
              <w:t xml:space="preserve"> </w:t>
            </w:r>
            <w:r w:rsidR="00905410">
              <w:rPr>
                <w:rFonts w:eastAsia="Times New Roman"/>
                <w:sz w:val="28"/>
                <w:szCs w:val="28"/>
                <w:lang w:eastAsia="lv-LV"/>
              </w:rPr>
              <w:t xml:space="preserve">sniegts darbības </w:t>
            </w:r>
            <w:r w:rsidR="00C85B3B">
              <w:rPr>
                <w:rFonts w:eastAsia="Times New Roman"/>
                <w:sz w:val="28"/>
                <w:szCs w:val="28"/>
                <w:lang w:eastAsia="lv-LV"/>
              </w:rPr>
              <w:t>„transportlīdzekļu galīgā apdare”</w:t>
            </w:r>
            <w:r w:rsidR="00905410">
              <w:rPr>
                <w:rFonts w:eastAsia="Times New Roman"/>
                <w:sz w:val="28"/>
                <w:szCs w:val="28"/>
                <w:lang w:eastAsia="lv-LV"/>
              </w:rPr>
              <w:t xml:space="preserve"> skaidrojums (</w:t>
            </w:r>
            <w:r w:rsidR="00905410" w:rsidRPr="00CA100E">
              <w:rPr>
                <w:rFonts w:eastAsia="Times New Roman"/>
                <w:sz w:val="28"/>
                <w:szCs w:val="28"/>
                <w:lang w:eastAsia="lv-LV"/>
              </w:rPr>
              <w:t>1.pielikuma 4.punkts);</w:t>
            </w:r>
          </w:p>
          <w:p w:rsidR="00CA100E" w:rsidRPr="00CA100E" w:rsidRDefault="00905410" w:rsidP="00B0760E">
            <w:pPr>
              <w:pStyle w:val="msolistparagraph0"/>
              <w:ind w:left="0" w:firstLine="567"/>
              <w:jc w:val="both"/>
              <w:rPr>
                <w:rFonts w:ascii="Times New Roman" w:hAnsi="Times New Roman"/>
                <w:sz w:val="28"/>
                <w:szCs w:val="28"/>
              </w:rPr>
            </w:pPr>
            <w:r w:rsidRPr="00CA100E">
              <w:rPr>
                <w:rFonts w:ascii="Times New Roman" w:hAnsi="Times New Roman"/>
                <w:sz w:val="28"/>
                <w:szCs w:val="28"/>
              </w:rPr>
              <w:t xml:space="preserve">5) noteikumu projektā iekļauta atskaites forma, kas operatoram turpmāk būs jāaizpilda un jāiesniedz reizi gadā reģionālajā vides pārvaldē. Tas nepieciešams, lai </w:t>
            </w:r>
            <w:r w:rsidR="00B93025">
              <w:rPr>
                <w:rFonts w:ascii="Times New Roman" w:hAnsi="Times New Roman"/>
                <w:sz w:val="28"/>
                <w:szCs w:val="28"/>
              </w:rPr>
              <w:t>Valsts vides dienests</w:t>
            </w:r>
            <w:r w:rsidRPr="00CA100E">
              <w:rPr>
                <w:rFonts w:ascii="Times New Roman" w:hAnsi="Times New Roman"/>
                <w:sz w:val="28"/>
                <w:szCs w:val="28"/>
              </w:rPr>
              <w:t xml:space="preserve"> var pārbaudīt šo noteikumu prasību izpildi, kā arī sagatavot nepieciešamo informāciju Eiropas Komisijai (5.pielikums).</w:t>
            </w:r>
            <w:r w:rsidR="00CA100E" w:rsidRPr="00CA100E">
              <w:rPr>
                <w:rFonts w:ascii="Times New Roman" w:hAnsi="Times New Roman"/>
                <w:sz w:val="28"/>
                <w:szCs w:val="28"/>
              </w:rPr>
              <w:t xml:space="preserve"> </w:t>
            </w:r>
          </w:p>
          <w:p w:rsidR="00905410" w:rsidRPr="00D44AB9" w:rsidRDefault="00905410" w:rsidP="00CA100E">
            <w:pPr>
              <w:pStyle w:val="msolistparagraph0"/>
              <w:tabs>
                <w:tab w:val="left" w:pos="3101"/>
              </w:tabs>
              <w:ind w:left="0"/>
              <w:jc w:val="both"/>
              <w:rPr>
                <w:sz w:val="28"/>
                <w:szCs w:val="28"/>
              </w:rPr>
            </w:pPr>
          </w:p>
        </w:tc>
      </w:tr>
      <w:tr w:rsidR="00B30CCA" w:rsidRPr="00DB5037" w:rsidTr="00F71C82">
        <w:trPr>
          <w:trHeight w:val="476"/>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5.</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izstrādē iesaistītās institūcijas</w:t>
            </w:r>
          </w:p>
        </w:tc>
        <w:tc>
          <w:tcPr>
            <w:tcW w:w="3590" w:type="pct"/>
            <w:tcBorders>
              <w:top w:val="outset" w:sz="6" w:space="0" w:color="auto"/>
              <w:left w:val="outset" w:sz="6" w:space="0" w:color="auto"/>
              <w:bottom w:val="outset" w:sz="6" w:space="0" w:color="auto"/>
              <w:right w:val="outset" w:sz="6" w:space="0" w:color="auto"/>
            </w:tcBorders>
            <w:hideMark/>
          </w:tcPr>
          <w:p w:rsidR="004A30EB" w:rsidRPr="00DB5037" w:rsidRDefault="00B30CCA" w:rsidP="0031449C">
            <w:pPr>
              <w:spacing w:before="75" w:after="75" w:line="240" w:lineRule="auto"/>
              <w:rPr>
                <w:rFonts w:eastAsia="Times New Roman"/>
                <w:sz w:val="28"/>
                <w:szCs w:val="28"/>
                <w:lang w:eastAsia="lv-LV"/>
              </w:rPr>
            </w:pPr>
            <w:r w:rsidRPr="00DB5037">
              <w:rPr>
                <w:rFonts w:eastAsia="Times New Roman"/>
                <w:sz w:val="28"/>
                <w:szCs w:val="28"/>
                <w:lang w:eastAsia="lv-LV"/>
              </w:rPr>
              <w:t> </w:t>
            </w:r>
            <w:r w:rsidR="002821B7" w:rsidRPr="00DB5037">
              <w:rPr>
                <w:rFonts w:eastAsia="Times New Roman"/>
                <w:sz w:val="28"/>
                <w:szCs w:val="28"/>
                <w:lang w:eastAsia="lv-LV"/>
              </w:rPr>
              <w:t>Valsts Vides dienests</w:t>
            </w:r>
          </w:p>
        </w:tc>
      </w:tr>
      <w:tr w:rsidR="00B30CCA" w:rsidRPr="00DB5037" w:rsidTr="00F71C82">
        <w:trPr>
          <w:trHeight w:val="995"/>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6.</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Iemesli, kādēļ netika nodrošināta sabiedrības līdzdalība</w:t>
            </w:r>
          </w:p>
        </w:tc>
        <w:tc>
          <w:tcPr>
            <w:tcW w:w="3590" w:type="pct"/>
            <w:tcBorders>
              <w:top w:val="outset" w:sz="6" w:space="0" w:color="auto"/>
              <w:left w:val="outset" w:sz="6" w:space="0" w:color="auto"/>
              <w:bottom w:val="outset" w:sz="6" w:space="0" w:color="auto"/>
              <w:right w:val="outset" w:sz="6" w:space="0" w:color="auto"/>
            </w:tcBorders>
            <w:hideMark/>
          </w:tcPr>
          <w:p w:rsidR="00B30CCA" w:rsidRPr="00087996" w:rsidRDefault="00087996" w:rsidP="006A3C67">
            <w:pPr>
              <w:spacing w:before="75" w:after="75" w:line="240" w:lineRule="auto"/>
              <w:rPr>
                <w:rFonts w:eastAsia="Times New Roman"/>
                <w:sz w:val="28"/>
                <w:szCs w:val="28"/>
                <w:lang w:eastAsia="lv-LV"/>
              </w:rPr>
            </w:pPr>
            <w:r w:rsidRPr="00087996">
              <w:rPr>
                <w:bCs/>
                <w:iCs/>
                <w:sz w:val="28"/>
                <w:szCs w:val="28"/>
              </w:rPr>
              <w:t>Projekts šo jomu neskar</w:t>
            </w:r>
          </w:p>
        </w:tc>
      </w:tr>
      <w:tr w:rsidR="00B30CCA" w:rsidRPr="00DB5037" w:rsidTr="00F71C82">
        <w:trPr>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7.</w:t>
            </w:r>
          </w:p>
        </w:tc>
        <w:tc>
          <w:tcPr>
            <w:tcW w:w="1167"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3590" w:type="pct"/>
            <w:tcBorders>
              <w:top w:val="outset" w:sz="6" w:space="0" w:color="auto"/>
              <w:left w:val="outset" w:sz="6" w:space="0" w:color="auto"/>
              <w:bottom w:val="outset" w:sz="6" w:space="0" w:color="auto"/>
              <w:right w:val="outset" w:sz="6" w:space="0" w:color="auto"/>
            </w:tcBorders>
            <w:hideMark/>
          </w:tcPr>
          <w:p w:rsidR="00B30CCA" w:rsidRPr="00DB5037" w:rsidRDefault="00B30CCA" w:rsidP="002821B7">
            <w:pPr>
              <w:spacing w:before="75" w:after="75" w:line="240" w:lineRule="auto"/>
              <w:rPr>
                <w:rFonts w:eastAsia="Times New Roman"/>
                <w:sz w:val="28"/>
                <w:szCs w:val="28"/>
                <w:lang w:eastAsia="lv-LV"/>
              </w:rPr>
            </w:pPr>
            <w:r w:rsidRPr="00DB5037">
              <w:rPr>
                <w:rFonts w:eastAsia="Times New Roman"/>
                <w:sz w:val="28"/>
                <w:szCs w:val="28"/>
                <w:lang w:eastAsia="lv-LV"/>
              </w:rPr>
              <w:t> </w:t>
            </w:r>
            <w:r w:rsidR="002821B7" w:rsidRPr="00DB5037">
              <w:rPr>
                <w:rFonts w:eastAsia="Times New Roman"/>
                <w:sz w:val="28"/>
                <w:szCs w:val="28"/>
                <w:lang w:eastAsia="lv-LV"/>
              </w:rPr>
              <w:t>Nav</w:t>
            </w:r>
          </w:p>
        </w:tc>
      </w:tr>
    </w:tbl>
    <w:p w:rsidR="00B30CCA" w:rsidRPr="00DB5037" w:rsidRDefault="00B30CCA" w:rsidP="00B30CCA">
      <w:pPr>
        <w:spacing w:before="75" w:after="75" w:line="240" w:lineRule="auto"/>
        <w:ind w:firstLine="375"/>
        <w:jc w:val="both"/>
        <w:rPr>
          <w:rFonts w:eastAsia="Times New Roman"/>
          <w:sz w:val="28"/>
          <w:szCs w:val="28"/>
          <w:lang w:eastAsia="lv-LV"/>
        </w:rPr>
      </w:pPr>
      <w:r w:rsidRPr="00DB5037">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4032"/>
        <w:gridCol w:w="4550"/>
      </w:tblGrid>
      <w:tr w:rsidR="00B30CCA" w:rsidRPr="00DB5037" w:rsidTr="00FB103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 II. Tiesību akta projekta ietekme uz sabiedrību</w:t>
            </w:r>
          </w:p>
        </w:tc>
      </w:tr>
      <w:tr w:rsidR="00B30CCA" w:rsidRPr="00DB5037" w:rsidTr="00E676AA">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4032"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Sabiedrības mērķgrupa</w:t>
            </w:r>
          </w:p>
        </w:tc>
        <w:tc>
          <w:tcPr>
            <w:tcW w:w="4550" w:type="dxa"/>
            <w:tcBorders>
              <w:top w:val="outset" w:sz="6" w:space="0" w:color="auto"/>
              <w:left w:val="outset" w:sz="6" w:space="0" w:color="auto"/>
              <w:bottom w:val="outset" w:sz="6" w:space="0" w:color="auto"/>
              <w:right w:val="outset" w:sz="6" w:space="0" w:color="auto"/>
            </w:tcBorders>
            <w:hideMark/>
          </w:tcPr>
          <w:p w:rsidR="00FB103F" w:rsidRPr="00DB5037" w:rsidRDefault="00236B29" w:rsidP="00FB103F">
            <w:pPr>
              <w:spacing w:after="0" w:line="240" w:lineRule="auto"/>
              <w:ind w:firstLine="397"/>
              <w:jc w:val="both"/>
              <w:rPr>
                <w:rFonts w:eastAsia="Times New Roman"/>
                <w:sz w:val="28"/>
                <w:szCs w:val="28"/>
                <w:lang w:eastAsia="lv-LV"/>
              </w:rPr>
            </w:pPr>
            <w:r w:rsidRPr="00DB5037">
              <w:rPr>
                <w:rFonts w:eastAsia="Times New Roman"/>
                <w:sz w:val="28"/>
                <w:szCs w:val="28"/>
                <w:lang w:eastAsia="lv-LV"/>
              </w:rPr>
              <w:t>1)</w:t>
            </w:r>
            <w:r w:rsidR="00B30CCA" w:rsidRPr="00DB5037">
              <w:rPr>
                <w:rFonts w:eastAsia="Times New Roman"/>
                <w:sz w:val="28"/>
                <w:szCs w:val="28"/>
                <w:lang w:eastAsia="lv-LV"/>
              </w:rPr>
              <w:t>  </w:t>
            </w:r>
            <w:r w:rsidR="004A30EB" w:rsidRPr="00DB5037">
              <w:rPr>
                <w:rFonts w:eastAsia="Calibri"/>
                <w:sz w:val="28"/>
                <w:szCs w:val="28"/>
              </w:rPr>
              <w:t xml:space="preserve">Komersanti un iestādes (operatori), kuri </w:t>
            </w:r>
            <w:r w:rsidR="00FB103F" w:rsidRPr="00DB5037">
              <w:rPr>
                <w:sz w:val="28"/>
                <w:szCs w:val="28"/>
              </w:rPr>
              <w:t xml:space="preserve">savai darbībai izmanto </w:t>
            </w:r>
            <w:r w:rsidR="00FB103F" w:rsidRPr="00DB5037">
              <w:rPr>
                <w:rFonts w:eastAsia="Calibri"/>
                <w:sz w:val="28"/>
                <w:szCs w:val="28"/>
              </w:rPr>
              <w:t>iekārtas</w:t>
            </w:r>
            <w:r w:rsidR="00FB103F" w:rsidRPr="00DB5037">
              <w:rPr>
                <w:sz w:val="28"/>
                <w:szCs w:val="28"/>
              </w:rPr>
              <w:t xml:space="preserve"> un veic darbības</w:t>
            </w:r>
            <w:r w:rsidR="00FB103F" w:rsidRPr="00DB5037">
              <w:rPr>
                <w:rFonts w:eastAsia="Calibri"/>
                <w:sz w:val="28"/>
                <w:szCs w:val="28"/>
              </w:rPr>
              <w:t xml:space="preserve">, kurās izmanto </w:t>
            </w:r>
            <w:r w:rsidR="00FB103F" w:rsidRPr="00DB5037">
              <w:rPr>
                <w:sz w:val="28"/>
                <w:szCs w:val="28"/>
              </w:rPr>
              <w:t>organiskos</w:t>
            </w:r>
            <w:r w:rsidR="00FB103F" w:rsidRPr="00DB5037">
              <w:rPr>
                <w:rFonts w:eastAsia="Calibri"/>
                <w:sz w:val="28"/>
                <w:szCs w:val="28"/>
              </w:rPr>
              <w:t xml:space="preserve"> šķīdinātājus</w:t>
            </w:r>
            <w:r w:rsidR="00FB103F" w:rsidRPr="00DB5037">
              <w:rPr>
                <w:sz w:val="28"/>
                <w:szCs w:val="28"/>
              </w:rPr>
              <w:t xml:space="preserve"> un kas rada gaistošo organisko savienojumu emisiju gaisā.</w:t>
            </w:r>
          </w:p>
          <w:p w:rsidR="00B30CCA" w:rsidRPr="00DB5037" w:rsidRDefault="004A30EB" w:rsidP="00FB103F">
            <w:pPr>
              <w:spacing w:after="0" w:line="240" w:lineRule="auto"/>
              <w:ind w:firstLine="397"/>
              <w:jc w:val="both"/>
              <w:rPr>
                <w:sz w:val="28"/>
                <w:szCs w:val="28"/>
              </w:rPr>
            </w:pPr>
            <w:r w:rsidRPr="00DB5037">
              <w:rPr>
                <w:rFonts w:eastAsia="Calibri"/>
                <w:sz w:val="28"/>
                <w:szCs w:val="28"/>
              </w:rPr>
              <w:t>Saskaņā ar valsts SIA „Latvijas Vides, ģeoloģijas un meteoroloģijas</w:t>
            </w:r>
            <w:r w:rsidR="00855E83" w:rsidRPr="00DB5037">
              <w:rPr>
                <w:rFonts w:eastAsia="Calibri"/>
                <w:sz w:val="28"/>
                <w:szCs w:val="28"/>
              </w:rPr>
              <w:t xml:space="preserve"> centrs</w:t>
            </w:r>
            <w:r w:rsidRPr="00DB5037">
              <w:rPr>
                <w:rFonts w:eastAsia="Calibri"/>
                <w:sz w:val="28"/>
                <w:szCs w:val="28"/>
              </w:rPr>
              <w:t>”</w:t>
            </w:r>
            <w:r w:rsidR="00FB103F" w:rsidRPr="00DB5037">
              <w:rPr>
                <w:sz w:val="28"/>
                <w:szCs w:val="28"/>
              </w:rPr>
              <w:t xml:space="preserve"> un Valsts vides dienesta</w:t>
            </w:r>
            <w:r w:rsidRPr="00DB5037">
              <w:rPr>
                <w:rFonts w:eastAsia="Calibri"/>
                <w:sz w:val="28"/>
                <w:szCs w:val="28"/>
              </w:rPr>
              <w:t xml:space="preserve"> sagatavoto informāciju 20</w:t>
            </w:r>
            <w:r w:rsidR="00FB103F" w:rsidRPr="00DB5037">
              <w:rPr>
                <w:sz w:val="28"/>
                <w:szCs w:val="28"/>
              </w:rPr>
              <w:t>10</w:t>
            </w:r>
            <w:r w:rsidRPr="00DB5037">
              <w:rPr>
                <w:rFonts w:eastAsia="Calibri"/>
                <w:sz w:val="28"/>
                <w:szCs w:val="28"/>
              </w:rPr>
              <w:t xml:space="preserve">.gadā Latvijā bija </w:t>
            </w:r>
            <w:r w:rsidR="00FB103F" w:rsidRPr="00DB5037">
              <w:rPr>
                <w:sz w:val="28"/>
                <w:szCs w:val="28"/>
              </w:rPr>
              <w:t>aptuveni</w:t>
            </w:r>
            <w:r w:rsidR="00E77CE4" w:rsidRPr="00DB5037">
              <w:rPr>
                <w:sz w:val="28"/>
                <w:szCs w:val="28"/>
              </w:rPr>
              <w:t xml:space="preserve"> 50 -</w:t>
            </w:r>
            <w:r w:rsidR="00FB103F" w:rsidRPr="00DB5037">
              <w:rPr>
                <w:sz w:val="28"/>
                <w:szCs w:val="28"/>
              </w:rPr>
              <w:t xml:space="preserve"> 60 GOS emitējošas</w:t>
            </w:r>
            <w:r w:rsidRPr="00DB5037">
              <w:rPr>
                <w:rFonts w:eastAsia="Calibri"/>
                <w:sz w:val="28"/>
                <w:szCs w:val="28"/>
              </w:rPr>
              <w:t xml:space="preserve"> iekārtas</w:t>
            </w:r>
            <w:r w:rsidR="00FB103F" w:rsidRPr="00DB5037">
              <w:rPr>
                <w:sz w:val="28"/>
                <w:szCs w:val="28"/>
              </w:rPr>
              <w:t>.</w:t>
            </w:r>
          </w:p>
          <w:p w:rsidR="00236B29" w:rsidRPr="00DB5037" w:rsidRDefault="00236B29" w:rsidP="00FB103F">
            <w:pPr>
              <w:spacing w:after="0" w:line="240" w:lineRule="auto"/>
              <w:ind w:firstLine="397"/>
              <w:jc w:val="both"/>
              <w:rPr>
                <w:rFonts w:eastAsia="Times New Roman"/>
                <w:sz w:val="28"/>
                <w:szCs w:val="28"/>
                <w:lang w:eastAsia="lv-LV"/>
              </w:rPr>
            </w:pPr>
            <w:r w:rsidRPr="00DB5037">
              <w:rPr>
                <w:rFonts w:eastAsia="Times New Roman"/>
                <w:sz w:val="28"/>
                <w:szCs w:val="28"/>
                <w:lang w:eastAsia="lv-LV"/>
              </w:rPr>
              <w:t>2) kontroles institūcija – Valsts vides dienests.</w:t>
            </w:r>
          </w:p>
        </w:tc>
      </w:tr>
      <w:tr w:rsidR="00B30CCA" w:rsidRPr="00DB5037" w:rsidTr="00E676AA">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2.</w:t>
            </w:r>
          </w:p>
        </w:tc>
        <w:tc>
          <w:tcPr>
            <w:tcW w:w="4032"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Citas sabiedrības grupas (bez mērķgrupas),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hideMark/>
          </w:tcPr>
          <w:p w:rsidR="00233C13" w:rsidRPr="00087996" w:rsidRDefault="00B30CCA" w:rsidP="00070DB2">
            <w:pPr>
              <w:spacing w:after="0" w:line="240" w:lineRule="auto"/>
              <w:rPr>
                <w:rFonts w:eastAsia="Calibri"/>
                <w:sz w:val="28"/>
                <w:szCs w:val="28"/>
              </w:rPr>
            </w:pPr>
            <w:r w:rsidRPr="00087996">
              <w:rPr>
                <w:rFonts w:eastAsia="Times New Roman"/>
                <w:sz w:val="28"/>
                <w:szCs w:val="28"/>
                <w:lang w:eastAsia="lv-LV"/>
              </w:rPr>
              <w:t> </w:t>
            </w:r>
            <w:r w:rsidR="009C57BE" w:rsidRPr="00087996">
              <w:rPr>
                <w:rFonts w:eastAsia="Calibri"/>
                <w:sz w:val="28"/>
                <w:szCs w:val="28"/>
              </w:rPr>
              <w:t>Sabiedrība, kuru</w:t>
            </w:r>
            <w:r w:rsidR="00A84B50" w:rsidRPr="00087996">
              <w:rPr>
                <w:rFonts w:eastAsia="Calibri"/>
                <w:sz w:val="28"/>
                <w:szCs w:val="28"/>
              </w:rPr>
              <w:t xml:space="preserve"> indivīdiem tiek nodrošinātas iespējas dzīvot kvalitatīvā vidē</w:t>
            </w:r>
            <w:r w:rsidR="0074370C" w:rsidRPr="00087996">
              <w:rPr>
                <w:rFonts w:eastAsia="Calibri"/>
                <w:sz w:val="28"/>
                <w:szCs w:val="28"/>
              </w:rPr>
              <w:t>.</w:t>
            </w:r>
          </w:p>
        </w:tc>
      </w:tr>
      <w:tr w:rsidR="00B30CCA" w:rsidRPr="00DB5037" w:rsidTr="00E676A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3.</w:t>
            </w:r>
          </w:p>
        </w:tc>
        <w:tc>
          <w:tcPr>
            <w:tcW w:w="4032"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Tiesiskā regulējuma finansiālā ietekme</w:t>
            </w:r>
          </w:p>
        </w:tc>
        <w:tc>
          <w:tcPr>
            <w:tcW w:w="4550" w:type="dxa"/>
            <w:tcBorders>
              <w:top w:val="outset" w:sz="6" w:space="0" w:color="auto"/>
              <w:left w:val="outset" w:sz="6" w:space="0" w:color="auto"/>
              <w:bottom w:val="outset" w:sz="6" w:space="0" w:color="auto"/>
              <w:right w:val="outset" w:sz="6" w:space="0" w:color="auto"/>
            </w:tcBorders>
            <w:hideMark/>
          </w:tcPr>
          <w:p w:rsidR="00B30CCA" w:rsidRPr="00087996" w:rsidRDefault="00B30CCA" w:rsidP="00070DB2">
            <w:pPr>
              <w:spacing w:after="0"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E676A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4.</w:t>
            </w:r>
          </w:p>
        </w:tc>
        <w:tc>
          <w:tcPr>
            <w:tcW w:w="4032"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hideMark/>
          </w:tcPr>
          <w:p w:rsidR="00B30CCA" w:rsidRPr="00087996" w:rsidRDefault="00B30CCA" w:rsidP="00070DB2">
            <w:pPr>
              <w:spacing w:after="0" w:line="240" w:lineRule="auto"/>
              <w:rPr>
                <w:rFonts w:eastAsia="Times New Roman"/>
                <w:color w:val="C00000"/>
                <w:sz w:val="28"/>
                <w:szCs w:val="28"/>
                <w:lang w:eastAsia="lv-LV"/>
              </w:rPr>
            </w:pPr>
            <w:r w:rsidRPr="00087996">
              <w:rPr>
                <w:rFonts w:eastAsia="Times New Roman"/>
                <w:sz w:val="28"/>
                <w:szCs w:val="28"/>
                <w:lang w:eastAsia="lv-LV"/>
              </w:rPr>
              <w:t> </w:t>
            </w:r>
            <w:r w:rsidR="00233C13" w:rsidRPr="00087996">
              <w:rPr>
                <w:rFonts w:eastAsia="Calibri"/>
                <w:sz w:val="28"/>
                <w:szCs w:val="28"/>
              </w:rPr>
              <w:t xml:space="preserve">Noteikumu projektā minēto prasību izpilde nodrošinās </w:t>
            </w:r>
            <w:r w:rsidR="00233C13" w:rsidRPr="00087996">
              <w:rPr>
                <w:sz w:val="28"/>
                <w:szCs w:val="28"/>
              </w:rPr>
              <w:t xml:space="preserve">vides un </w:t>
            </w:r>
            <w:r w:rsidR="00233C13" w:rsidRPr="00087996">
              <w:rPr>
                <w:rFonts w:eastAsia="Calibri"/>
                <w:sz w:val="28"/>
                <w:szCs w:val="28"/>
              </w:rPr>
              <w:t>sabiedrības veselības aizsardzību.</w:t>
            </w:r>
            <w:r w:rsidR="0074370C" w:rsidRPr="00087996">
              <w:rPr>
                <w:sz w:val="28"/>
                <w:szCs w:val="28"/>
              </w:rPr>
              <w:t xml:space="preserve"> </w:t>
            </w:r>
          </w:p>
        </w:tc>
      </w:tr>
      <w:tr w:rsidR="00B30CCA" w:rsidRPr="00DB5037" w:rsidTr="00E676AA">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5.</w:t>
            </w:r>
          </w:p>
        </w:tc>
        <w:tc>
          <w:tcPr>
            <w:tcW w:w="4032" w:type="dxa"/>
            <w:tcBorders>
              <w:top w:val="outset" w:sz="6" w:space="0" w:color="auto"/>
              <w:left w:val="outset" w:sz="6" w:space="0" w:color="auto"/>
              <w:bottom w:val="outset" w:sz="6" w:space="0" w:color="auto"/>
              <w:right w:val="outset" w:sz="6" w:space="0" w:color="auto"/>
            </w:tcBorders>
            <w:hideMark/>
          </w:tcPr>
          <w:p w:rsidR="00B30CCA" w:rsidRPr="00087996" w:rsidRDefault="00B30CCA" w:rsidP="00B30CCA">
            <w:pPr>
              <w:spacing w:before="75" w:after="75" w:line="240" w:lineRule="auto"/>
              <w:rPr>
                <w:rFonts w:eastAsia="Times New Roman"/>
                <w:sz w:val="28"/>
                <w:szCs w:val="28"/>
                <w:lang w:eastAsia="lv-LV"/>
              </w:rPr>
            </w:pPr>
            <w:r w:rsidRPr="00087996">
              <w:rPr>
                <w:rFonts w:eastAsia="Times New Roman"/>
                <w:sz w:val="28"/>
                <w:szCs w:val="28"/>
                <w:lang w:eastAsia="lv-LV"/>
              </w:rPr>
              <w:t> Administratīvās procedūras raksturojums</w:t>
            </w:r>
          </w:p>
        </w:tc>
        <w:tc>
          <w:tcPr>
            <w:tcW w:w="4550" w:type="dxa"/>
            <w:tcBorders>
              <w:top w:val="outset" w:sz="6" w:space="0" w:color="auto"/>
              <w:left w:val="outset" w:sz="6" w:space="0" w:color="auto"/>
              <w:bottom w:val="outset" w:sz="6" w:space="0" w:color="auto"/>
              <w:right w:val="outset" w:sz="6" w:space="0" w:color="auto"/>
            </w:tcBorders>
            <w:hideMark/>
          </w:tcPr>
          <w:p w:rsidR="00B30CCA" w:rsidRPr="00087996" w:rsidRDefault="00B30CCA" w:rsidP="00070DB2">
            <w:pPr>
              <w:spacing w:after="0"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E676AA">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6.</w:t>
            </w:r>
          </w:p>
        </w:tc>
        <w:tc>
          <w:tcPr>
            <w:tcW w:w="4032" w:type="dxa"/>
            <w:tcBorders>
              <w:top w:val="outset" w:sz="6" w:space="0" w:color="auto"/>
              <w:left w:val="outset" w:sz="6" w:space="0" w:color="auto"/>
              <w:bottom w:val="outset" w:sz="6" w:space="0" w:color="auto"/>
              <w:right w:val="outset" w:sz="6" w:space="0" w:color="auto"/>
            </w:tcBorders>
            <w:hideMark/>
          </w:tcPr>
          <w:p w:rsidR="00B30CCA" w:rsidRPr="00087996" w:rsidRDefault="00B30CCA" w:rsidP="00B30CCA">
            <w:pPr>
              <w:spacing w:before="75" w:after="75" w:line="240" w:lineRule="auto"/>
              <w:rPr>
                <w:rFonts w:eastAsia="Times New Roman"/>
                <w:sz w:val="28"/>
                <w:szCs w:val="28"/>
                <w:lang w:eastAsia="lv-LV"/>
              </w:rPr>
            </w:pPr>
            <w:r w:rsidRPr="00087996">
              <w:rPr>
                <w:rFonts w:eastAsia="Times New Roman"/>
                <w:sz w:val="28"/>
                <w:szCs w:val="28"/>
                <w:lang w:eastAsia="lv-LV"/>
              </w:rPr>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hideMark/>
          </w:tcPr>
          <w:p w:rsidR="00B30CCA" w:rsidRPr="00087996" w:rsidRDefault="00B30CCA" w:rsidP="00070DB2">
            <w:pPr>
              <w:spacing w:after="0"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E676AA">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7.</w:t>
            </w:r>
          </w:p>
        </w:tc>
        <w:tc>
          <w:tcPr>
            <w:tcW w:w="4032"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4550" w:type="dxa"/>
            <w:tcBorders>
              <w:top w:val="outset" w:sz="6" w:space="0" w:color="auto"/>
              <w:left w:val="outset" w:sz="6" w:space="0" w:color="auto"/>
              <w:bottom w:val="outset" w:sz="6" w:space="0" w:color="auto"/>
              <w:right w:val="outset" w:sz="6" w:space="0" w:color="auto"/>
            </w:tcBorders>
            <w:hideMark/>
          </w:tcPr>
          <w:p w:rsidR="00B30CCA" w:rsidRPr="00DB5037" w:rsidRDefault="00B30CCA" w:rsidP="00070DB2">
            <w:pPr>
              <w:spacing w:after="0" w:line="240" w:lineRule="auto"/>
              <w:rPr>
                <w:rFonts w:eastAsia="Times New Roman"/>
                <w:sz w:val="28"/>
                <w:szCs w:val="28"/>
                <w:lang w:eastAsia="lv-LV"/>
              </w:rPr>
            </w:pPr>
            <w:r w:rsidRPr="00DB5037">
              <w:rPr>
                <w:rFonts w:eastAsia="Times New Roman"/>
                <w:sz w:val="28"/>
                <w:szCs w:val="28"/>
                <w:lang w:eastAsia="lv-LV"/>
              </w:rPr>
              <w:t> </w:t>
            </w:r>
            <w:r w:rsidR="00F9519C" w:rsidRPr="00DB5037">
              <w:rPr>
                <w:rFonts w:eastAsia="Times New Roman"/>
                <w:sz w:val="28"/>
                <w:szCs w:val="28"/>
                <w:lang w:eastAsia="lv-LV"/>
              </w:rPr>
              <w:t>Nav</w:t>
            </w:r>
          </w:p>
        </w:tc>
      </w:tr>
    </w:tbl>
    <w:p w:rsidR="00B30CCA" w:rsidRPr="00DB5037" w:rsidRDefault="00B30CCA" w:rsidP="00B30CCA">
      <w:pPr>
        <w:spacing w:before="75" w:after="75" w:line="240" w:lineRule="auto"/>
        <w:rPr>
          <w:rFonts w:eastAsia="Times New Roman"/>
          <w:sz w:val="28"/>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693"/>
        <w:gridCol w:w="5967"/>
      </w:tblGrid>
      <w:tr w:rsidR="00B30CCA" w:rsidRPr="00DB5037" w:rsidTr="00062C97">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 IV. Tiesību akta projekta ietekme uz spēkā esošo tiesību normu sistēmu</w:t>
            </w:r>
          </w:p>
        </w:tc>
      </w:tr>
      <w:tr w:rsidR="00B30CCA" w:rsidRPr="00DB5037" w:rsidTr="00F71C8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2693"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Nepieciešamie saistītie tiesību aktu projekti</w:t>
            </w:r>
          </w:p>
        </w:tc>
        <w:tc>
          <w:tcPr>
            <w:tcW w:w="5967" w:type="dxa"/>
            <w:tcBorders>
              <w:top w:val="outset" w:sz="6" w:space="0" w:color="auto"/>
              <w:left w:val="outset" w:sz="6" w:space="0" w:color="auto"/>
              <w:bottom w:val="outset" w:sz="6" w:space="0" w:color="auto"/>
              <w:right w:val="outset" w:sz="6" w:space="0" w:color="auto"/>
            </w:tcBorders>
            <w:hideMark/>
          </w:tcPr>
          <w:p w:rsidR="007A2D9F" w:rsidRPr="00DB5037" w:rsidRDefault="00B30CCA" w:rsidP="0036610B">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w:t>
            </w:r>
            <w:r w:rsidR="00062C97" w:rsidRPr="00DB5037">
              <w:rPr>
                <w:rFonts w:eastAsia="Times New Roman"/>
                <w:sz w:val="28"/>
                <w:szCs w:val="28"/>
                <w:lang w:eastAsia="lv-LV"/>
              </w:rPr>
              <w:t xml:space="preserve">1) </w:t>
            </w:r>
            <w:r w:rsidR="0036610B" w:rsidRPr="00DB5037">
              <w:rPr>
                <w:rFonts w:eastAsia="Times New Roman"/>
                <w:sz w:val="28"/>
                <w:szCs w:val="28"/>
                <w:lang w:eastAsia="lv-LV"/>
              </w:rPr>
              <w:t>Jāveic g</w:t>
            </w:r>
            <w:r w:rsidR="00DA6B5E" w:rsidRPr="00DB5037">
              <w:rPr>
                <w:rFonts w:eastAsia="Times New Roman"/>
                <w:sz w:val="28"/>
                <w:szCs w:val="28"/>
                <w:lang w:eastAsia="lv-LV"/>
              </w:rPr>
              <w:t>rozījumi</w:t>
            </w:r>
            <w:r w:rsidR="00BF3A2C" w:rsidRPr="00DB5037">
              <w:rPr>
                <w:rFonts w:eastAsia="Times New Roman"/>
                <w:sz w:val="28"/>
                <w:szCs w:val="28"/>
                <w:lang w:eastAsia="lv-LV"/>
              </w:rPr>
              <w:t xml:space="preserve"> likumā „Par piesārņojumu”</w:t>
            </w:r>
            <w:r w:rsidR="00062C97" w:rsidRPr="00DB5037">
              <w:rPr>
                <w:rFonts w:eastAsia="Times New Roman"/>
                <w:sz w:val="28"/>
                <w:szCs w:val="28"/>
                <w:lang w:eastAsia="lv-LV"/>
              </w:rPr>
              <w:t xml:space="preserve">, </w:t>
            </w:r>
            <w:r w:rsidR="00344D89" w:rsidRPr="00DB5037">
              <w:rPr>
                <w:rFonts w:eastAsia="Times New Roman"/>
                <w:sz w:val="28"/>
                <w:szCs w:val="28"/>
                <w:lang w:eastAsia="lv-LV"/>
              </w:rPr>
              <w:t xml:space="preserve">lai </w:t>
            </w:r>
            <w:r w:rsidR="007A2D9F" w:rsidRPr="00DB5037">
              <w:rPr>
                <w:rFonts w:eastAsia="Times New Roman"/>
                <w:sz w:val="28"/>
                <w:szCs w:val="28"/>
                <w:lang w:eastAsia="lv-LV"/>
              </w:rPr>
              <w:t>tajā ietvertu pilnvarojumu Ministru kabinetam izdot šos noteikumus</w:t>
            </w:r>
            <w:r w:rsidR="00DA6B5E" w:rsidRPr="00DB5037">
              <w:rPr>
                <w:rFonts w:eastAsia="Times New Roman"/>
                <w:sz w:val="28"/>
                <w:szCs w:val="28"/>
                <w:lang w:eastAsia="lv-LV"/>
              </w:rPr>
              <w:t xml:space="preserve"> (Izsludināti 03.05.2012. Valsts sekretāru sanāksmē, </w:t>
            </w:r>
            <w:r w:rsidR="00533DA9" w:rsidRPr="00DB5037">
              <w:rPr>
                <w:rFonts w:eastAsia="Times New Roman"/>
                <w:sz w:val="28"/>
                <w:szCs w:val="28"/>
                <w:lang w:eastAsia="lv-LV"/>
              </w:rPr>
              <w:t xml:space="preserve">Protokols Nr.18, </w:t>
            </w:r>
            <w:bookmarkStart w:id="4" w:name="9"/>
            <w:r w:rsidR="00533DA9" w:rsidRPr="00DB5037">
              <w:rPr>
                <w:sz w:val="28"/>
                <w:szCs w:val="28"/>
              </w:rPr>
              <w:t>9.§</w:t>
            </w:r>
            <w:bookmarkEnd w:id="4"/>
            <w:r w:rsidR="00CF56AC">
              <w:rPr>
                <w:sz w:val="28"/>
                <w:szCs w:val="28"/>
              </w:rPr>
              <w:t xml:space="preserve">, </w:t>
            </w:r>
            <w:r w:rsidR="00D83577" w:rsidRPr="00DB5037">
              <w:rPr>
                <w:sz w:val="28"/>
                <w:szCs w:val="28"/>
              </w:rPr>
              <w:t>atbildīgā par izstrādi – VARAM, termiņš – 2013.gada 7.janvāris)</w:t>
            </w:r>
            <w:r w:rsidR="00533DA9" w:rsidRPr="00DB5037">
              <w:rPr>
                <w:sz w:val="28"/>
                <w:szCs w:val="28"/>
              </w:rPr>
              <w:t>;</w:t>
            </w:r>
          </w:p>
          <w:p w:rsidR="00062C97" w:rsidRPr="00DB5037" w:rsidRDefault="00062C97" w:rsidP="0036610B">
            <w:pPr>
              <w:spacing w:before="75" w:after="75" w:line="240" w:lineRule="auto"/>
              <w:ind w:firstLine="397"/>
              <w:jc w:val="both"/>
              <w:rPr>
                <w:rFonts w:eastAsia="Times New Roman"/>
                <w:sz w:val="28"/>
                <w:szCs w:val="28"/>
                <w:lang w:eastAsia="lv-LV"/>
              </w:rPr>
            </w:pPr>
            <w:r w:rsidRPr="00DB5037">
              <w:rPr>
                <w:rFonts w:eastAsia="Times New Roman"/>
                <w:sz w:val="28"/>
                <w:szCs w:val="28"/>
                <w:lang w:eastAsia="lv-LV"/>
              </w:rPr>
              <w:t xml:space="preserve">2) </w:t>
            </w:r>
            <w:r w:rsidR="0036610B" w:rsidRPr="00DB5037">
              <w:rPr>
                <w:rFonts w:eastAsia="Times New Roman"/>
                <w:sz w:val="28"/>
                <w:szCs w:val="28"/>
                <w:lang w:eastAsia="lv-LV"/>
              </w:rPr>
              <w:t>Jāveic g</w:t>
            </w:r>
            <w:r w:rsidR="00DA6B5E" w:rsidRPr="00DB5037">
              <w:rPr>
                <w:rFonts w:eastAsia="Times New Roman"/>
                <w:sz w:val="28"/>
                <w:szCs w:val="28"/>
                <w:lang w:eastAsia="lv-LV"/>
              </w:rPr>
              <w:t>rozījumi</w:t>
            </w:r>
            <w:r w:rsidRPr="00DB5037">
              <w:rPr>
                <w:rFonts w:eastAsia="Times New Roman"/>
                <w:sz w:val="28"/>
                <w:szCs w:val="28"/>
                <w:lang w:eastAsia="lv-LV"/>
              </w:rPr>
              <w:t xml:space="preserve"> 2007.gada 3.aprīļa Ministra kabineta noteikumos Nr.231 „Noteikumi par gaistošo organisko savienojumu emisijas ierobežošanu no noteiktiem produktiem”, kuru 3.punktā </w:t>
            </w:r>
            <w:r w:rsidR="00DA6B5E" w:rsidRPr="00DB5037">
              <w:rPr>
                <w:rFonts w:eastAsia="Times New Roman"/>
                <w:sz w:val="28"/>
                <w:szCs w:val="28"/>
                <w:lang w:eastAsia="lv-LV"/>
              </w:rPr>
              <w:t>jā</w:t>
            </w:r>
            <w:r w:rsidR="0036610B" w:rsidRPr="00DB5037">
              <w:rPr>
                <w:rFonts w:eastAsia="Times New Roman"/>
                <w:sz w:val="28"/>
                <w:szCs w:val="28"/>
                <w:lang w:eastAsia="lv-LV"/>
              </w:rPr>
              <w:t>sniedz</w:t>
            </w:r>
            <w:r w:rsidR="00DA6B5E" w:rsidRPr="00DB5037">
              <w:rPr>
                <w:rFonts w:eastAsia="Times New Roman"/>
                <w:sz w:val="28"/>
                <w:szCs w:val="28"/>
                <w:lang w:eastAsia="lv-LV"/>
              </w:rPr>
              <w:t xml:space="preserve"> atsauce uz šiem noteikumiem</w:t>
            </w:r>
            <w:r w:rsidR="008D309A" w:rsidRPr="00DB5037">
              <w:rPr>
                <w:rFonts w:eastAsia="Times New Roman"/>
                <w:sz w:val="28"/>
                <w:szCs w:val="28"/>
                <w:lang w:eastAsia="lv-LV"/>
              </w:rPr>
              <w:t xml:space="preserve"> (</w:t>
            </w:r>
            <w:r w:rsidR="00CF56AC">
              <w:rPr>
                <w:rFonts w:eastAsia="Times New Roman"/>
                <w:sz w:val="28"/>
                <w:szCs w:val="28"/>
                <w:lang w:eastAsia="lv-LV"/>
              </w:rPr>
              <w:t xml:space="preserve">grozījumi tiks veikti pēc šī noteikumu projekta stāšanās spēkā, </w:t>
            </w:r>
            <w:r w:rsidR="008D309A" w:rsidRPr="00DB5037">
              <w:rPr>
                <w:sz w:val="28"/>
                <w:szCs w:val="28"/>
              </w:rPr>
              <w:t>atbildīgā par izstrādi – VARAM)</w:t>
            </w:r>
            <w:r w:rsidR="0036610B" w:rsidRPr="00DB5037">
              <w:rPr>
                <w:rFonts w:eastAsia="Times New Roman"/>
                <w:sz w:val="28"/>
                <w:szCs w:val="28"/>
                <w:lang w:eastAsia="lv-LV"/>
              </w:rPr>
              <w:t>;</w:t>
            </w:r>
          </w:p>
          <w:p w:rsidR="00062C97" w:rsidRPr="004430D9" w:rsidRDefault="00062C97" w:rsidP="0036610B">
            <w:pPr>
              <w:autoSpaceDE w:val="0"/>
              <w:autoSpaceDN w:val="0"/>
              <w:adjustRightInd w:val="0"/>
              <w:spacing w:after="0" w:line="240" w:lineRule="auto"/>
              <w:ind w:firstLine="397"/>
              <w:jc w:val="both"/>
              <w:rPr>
                <w:bCs/>
                <w:sz w:val="28"/>
                <w:szCs w:val="28"/>
              </w:rPr>
            </w:pPr>
            <w:r w:rsidRPr="00DB5037">
              <w:rPr>
                <w:rFonts w:eastAsia="Times New Roman"/>
                <w:sz w:val="28"/>
                <w:szCs w:val="28"/>
                <w:lang w:eastAsia="lv-LV"/>
              </w:rPr>
              <w:t xml:space="preserve">3) </w:t>
            </w:r>
            <w:r w:rsidR="0036610B" w:rsidRPr="00DB5037">
              <w:rPr>
                <w:rFonts w:eastAsia="Times New Roman"/>
                <w:sz w:val="28"/>
                <w:szCs w:val="28"/>
                <w:lang w:eastAsia="lv-LV"/>
              </w:rPr>
              <w:t>Jāveic g</w:t>
            </w:r>
            <w:r w:rsidR="00DA6B5E" w:rsidRPr="00DB5037">
              <w:rPr>
                <w:rFonts w:eastAsia="Times New Roman"/>
                <w:sz w:val="28"/>
                <w:szCs w:val="28"/>
                <w:lang w:eastAsia="lv-LV"/>
              </w:rPr>
              <w:t>rozījumi Ministru kabineta 2010.gada 30.novembra noteikumos Nr.</w:t>
            </w:r>
            <w:r w:rsidRPr="00DB5037">
              <w:rPr>
                <w:rFonts w:eastAsia="Times New Roman"/>
                <w:sz w:val="28"/>
                <w:szCs w:val="28"/>
                <w:lang w:eastAsia="lv-LV"/>
              </w:rPr>
              <w:t>1082</w:t>
            </w:r>
            <w:r w:rsidR="00DA6B5E" w:rsidRPr="00DB5037">
              <w:rPr>
                <w:rFonts w:eastAsia="Times New Roman"/>
                <w:sz w:val="28"/>
                <w:szCs w:val="28"/>
                <w:lang w:eastAsia="lv-LV"/>
              </w:rPr>
              <w:t xml:space="preserve"> „</w:t>
            </w:r>
            <w:r w:rsidR="00DA6B5E" w:rsidRPr="00DB5037">
              <w:rPr>
                <w:bCs/>
                <w:sz w:val="28"/>
                <w:szCs w:val="28"/>
              </w:rPr>
              <w:t>Kārtība, kādā piesakāmas A, B un C kategorijas piesārņojošas darbības un izsniedzamas atļaujas A un B kategorijas piesārņojošo darbību veikšanai” 17.punktā, kā arī 1.pielikuma 8</w:t>
            </w:r>
            <w:r w:rsidR="0036610B" w:rsidRPr="00DB5037">
              <w:rPr>
                <w:bCs/>
                <w:sz w:val="28"/>
                <w:szCs w:val="28"/>
              </w:rPr>
              <w:t>.1.4.apakšpunktā, kurā jāsniedz</w:t>
            </w:r>
            <w:r w:rsidR="00DA6B5E" w:rsidRPr="00DB5037">
              <w:rPr>
                <w:bCs/>
                <w:sz w:val="28"/>
                <w:szCs w:val="28"/>
              </w:rPr>
              <w:t xml:space="preserve"> atsauce </w:t>
            </w:r>
            <w:r w:rsidR="00DA6B5E" w:rsidRPr="00CF56AC">
              <w:rPr>
                <w:bCs/>
                <w:sz w:val="28"/>
                <w:szCs w:val="28"/>
              </w:rPr>
              <w:t>uz šiem noteikumiem</w:t>
            </w:r>
            <w:r w:rsidR="00D83577" w:rsidRPr="00CF56AC">
              <w:rPr>
                <w:bCs/>
                <w:sz w:val="28"/>
                <w:szCs w:val="28"/>
              </w:rPr>
              <w:t xml:space="preserve"> (</w:t>
            </w:r>
            <w:r w:rsidR="00CF56AC" w:rsidRPr="00CF56AC">
              <w:rPr>
                <w:bCs/>
                <w:sz w:val="28"/>
                <w:szCs w:val="28"/>
              </w:rPr>
              <w:t xml:space="preserve">noteikumu projekts ir </w:t>
            </w:r>
            <w:r w:rsidR="00CF56AC" w:rsidRPr="004430D9">
              <w:rPr>
                <w:bCs/>
                <w:sz w:val="28"/>
                <w:szCs w:val="28"/>
              </w:rPr>
              <w:t>izstrādes stadijā un to plānots 2012.gadā izsludināt Valsts sekretāru sanāksmē,</w:t>
            </w:r>
            <w:r w:rsidR="00CF56AC" w:rsidRPr="004430D9">
              <w:rPr>
                <w:sz w:val="28"/>
                <w:szCs w:val="28"/>
              </w:rPr>
              <w:t xml:space="preserve"> </w:t>
            </w:r>
            <w:r w:rsidR="00D83577" w:rsidRPr="004430D9">
              <w:rPr>
                <w:sz w:val="28"/>
                <w:szCs w:val="28"/>
              </w:rPr>
              <w:t>atbildīgā par izstrādi – VARAM, termiņš – 2013.gada 7.janvāris)</w:t>
            </w:r>
            <w:r w:rsidR="0036610B" w:rsidRPr="004430D9">
              <w:rPr>
                <w:bCs/>
                <w:sz w:val="28"/>
                <w:szCs w:val="28"/>
              </w:rPr>
              <w:t>;</w:t>
            </w:r>
          </w:p>
          <w:p w:rsidR="0036610B" w:rsidRPr="00DB5037" w:rsidRDefault="0036610B" w:rsidP="0036610B">
            <w:pPr>
              <w:autoSpaceDE w:val="0"/>
              <w:autoSpaceDN w:val="0"/>
              <w:adjustRightInd w:val="0"/>
              <w:spacing w:after="0" w:line="240" w:lineRule="auto"/>
              <w:ind w:firstLine="397"/>
              <w:jc w:val="both"/>
              <w:rPr>
                <w:b/>
                <w:bCs/>
                <w:sz w:val="28"/>
                <w:szCs w:val="28"/>
              </w:rPr>
            </w:pPr>
            <w:r w:rsidRPr="004430D9">
              <w:rPr>
                <w:bCs/>
                <w:sz w:val="28"/>
                <w:szCs w:val="28"/>
              </w:rPr>
              <w:t xml:space="preserve">4) Jāatzīst par spēku zaudējušiem Ministru kabineta 2002.gada 20.augusta noteikumus Nr.379 </w:t>
            </w:r>
            <w:r w:rsidRPr="004430D9">
              <w:rPr>
                <w:bCs/>
                <w:sz w:val="28"/>
                <w:szCs w:val="28"/>
              </w:rPr>
              <w:lastRenderedPageBreak/>
              <w:t>„Kārtība, kādā novēršama, ierobežojama un kontrolējama gaisu piesārņojošo vielu emisija no stacionāriem piesārņojuma avotiem”</w:t>
            </w:r>
            <w:r w:rsidR="00D83577" w:rsidRPr="004430D9">
              <w:rPr>
                <w:bCs/>
                <w:sz w:val="28"/>
                <w:szCs w:val="28"/>
              </w:rPr>
              <w:t xml:space="preserve"> </w:t>
            </w:r>
            <w:r w:rsidR="00D83577" w:rsidRPr="004430D9">
              <w:rPr>
                <w:sz w:val="28"/>
                <w:szCs w:val="28"/>
              </w:rPr>
              <w:t>(atbildīgā</w:t>
            </w:r>
            <w:r w:rsidR="00D83577" w:rsidRPr="00DB5037">
              <w:rPr>
                <w:sz w:val="28"/>
                <w:szCs w:val="28"/>
              </w:rPr>
              <w:t xml:space="preserve"> par izstrādi – VARAM, termiņš – 2013.gada 7.janvāris)</w:t>
            </w:r>
            <w:r w:rsidRPr="00DB5037">
              <w:rPr>
                <w:bCs/>
                <w:sz w:val="28"/>
                <w:szCs w:val="28"/>
              </w:rPr>
              <w:t>.</w:t>
            </w:r>
          </w:p>
        </w:tc>
      </w:tr>
      <w:tr w:rsidR="00B30CCA" w:rsidRPr="00DB5037" w:rsidTr="00F71C82">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2.</w:t>
            </w:r>
          </w:p>
        </w:tc>
        <w:tc>
          <w:tcPr>
            <w:tcW w:w="2693"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5967"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Nav</w:t>
            </w:r>
          </w:p>
        </w:tc>
      </w:tr>
    </w:tbl>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B30CCA" w:rsidRPr="00DB5037" w:rsidTr="00F71C82">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 V. Tiesību akta projekta atbilstība Latvijas Republikas starptautiskajām saistībām</w:t>
            </w:r>
          </w:p>
        </w:tc>
      </w:tr>
      <w:tr w:rsidR="00B30CCA" w:rsidRPr="00DB5037" w:rsidTr="00E676A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297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Saistības pret Eiropas Savienību</w:t>
            </w:r>
          </w:p>
        </w:tc>
        <w:tc>
          <w:tcPr>
            <w:tcW w:w="5684" w:type="dxa"/>
            <w:tcBorders>
              <w:top w:val="outset" w:sz="6" w:space="0" w:color="auto"/>
              <w:left w:val="outset" w:sz="6" w:space="0" w:color="auto"/>
              <w:bottom w:val="outset" w:sz="6" w:space="0" w:color="auto"/>
              <w:right w:val="outset" w:sz="6" w:space="0" w:color="auto"/>
            </w:tcBorders>
            <w:hideMark/>
          </w:tcPr>
          <w:p w:rsidR="008209FD" w:rsidRPr="00DB5037" w:rsidRDefault="00573715" w:rsidP="007427E1">
            <w:pPr>
              <w:spacing w:before="75" w:after="75" w:line="240" w:lineRule="auto"/>
              <w:jc w:val="both"/>
              <w:rPr>
                <w:sz w:val="28"/>
                <w:szCs w:val="28"/>
              </w:rPr>
            </w:pPr>
            <w:r w:rsidRPr="00DB5037">
              <w:rPr>
                <w:sz w:val="28"/>
                <w:szCs w:val="28"/>
              </w:rPr>
              <w:t xml:space="preserve">Eiropas Parlamenta un Padomes 2010.gada 24.novembra Direktīva </w:t>
            </w:r>
            <w:r w:rsidRPr="007D5890">
              <w:rPr>
                <w:sz w:val="28"/>
                <w:szCs w:val="28"/>
              </w:rPr>
              <w:t xml:space="preserve">2010/75/ES par rūpnieciskajām emisijām (piesārņojuma integrēta novēršana un kontrole) </w:t>
            </w:r>
            <w:r w:rsidR="007427E1" w:rsidRPr="007D5890">
              <w:rPr>
                <w:sz w:val="28"/>
                <w:szCs w:val="28"/>
              </w:rPr>
              <w:t>I un V</w:t>
            </w:r>
            <w:r w:rsidRPr="007D5890">
              <w:rPr>
                <w:sz w:val="28"/>
                <w:szCs w:val="28"/>
              </w:rPr>
              <w:t xml:space="preserve"> nodaļa – īpaši noteikumi par iekārtām un darbībām, kurās izmanto organiskos šķīdinātājus</w:t>
            </w:r>
            <w:r w:rsidR="008209FD" w:rsidRPr="00DB5037">
              <w:rPr>
                <w:sz w:val="28"/>
                <w:szCs w:val="28"/>
              </w:rPr>
              <w:t>. Direktīvas prasības jāpārņem līdz 2013.gada 7.janvārim.</w:t>
            </w:r>
          </w:p>
        </w:tc>
      </w:tr>
      <w:tr w:rsidR="00B30CCA" w:rsidRPr="00DB5037" w:rsidTr="00E676A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2.</w:t>
            </w:r>
          </w:p>
        </w:tc>
        <w:tc>
          <w:tcPr>
            <w:tcW w:w="297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Citas starptautiskās saistības</w:t>
            </w:r>
          </w:p>
        </w:tc>
        <w:tc>
          <w:tcPr>
            <w:tcW w:w="5684" w:type="dxa"/>
            <w:tcBorders>
              <w:top w:val="outset" w:sz="6" w:space="0" w:color="auto"/>
              <w:left w:val="outset" w:sz="6" w:space="0" w:color="auto"/>
              <w:bottom w:val="outset" w:sz="6" w:space="0" w:color="auto"/>
              <w:right w:val="outset" w:sz="6" w:space="0" w:color="auto"/>
            </w:tcBorders>
            <w:hideMark/>
          </w:tcPr>
          <w:p w:rsidR="00B30CCA" w:rsidRPr="00DB5037" w:rsidRDefault="00B30CCA" w:rsidP="00046443">
            <w:pPr>
              <w:spacing w:before="75" w:after="75" w:line="240" w:lineRule="auto"/>
              <w:rPr>
                <w:rFonts w:eastAsia="Times New Roman"/>
                <w:sz w:val="28"/>
                <w:szCs w:val="28"/>
                <w:lang w:eastAsia="lv-LV"/>
              </w:rPr>
            </w:pPr>
            <w:r w:rsidRPr="00DB5037">
              <w:rPr>
                <w:rFonts w:eastAsia="Times New Roman"/>
                <w:sz w:val="28"/>
                <w:szCs w:val="28"/>
                <w:lang w:eastAsia="lv-LV"/>
              </w:rPr>
              <w:t> </w:t>
            </w:r>
            <w:r w:rsidR="00604B76" w:rsidRPr="00DB5037">
              <w:rPr>
                <w:sz w:val="28"/>
                <w:szCs w:val="28"/>
              </w:rPr>
              <w:t xml:space="preserve">1979.gada Ženēvas Konvencija „Par robežšķērsojošo gaisa piesārņošanu lielos attālumos samazināšanu un ierobežošanu” </w:t>
            </w:r>
            <w:r w:rsidR="00445DEB" w:rsidRPr="00DB5037">
              <w:rPr>
                <w:sz w:val="28"/>
                <w:szCs w:val="28"/>
              </w:rPr>
              <w:t>un tās 1999.</w:t>
            </w:r>
            <w:r w:rsidR="00604B76" w:rsidRPr="00DB5037">
              <w:rPr>
                <w:sz w:val="28"/>
                <w:szCs w:val="28"/>
              </w:rPr>
              <w:t>gada Gēteborgas protokol</w:t>
            </w:r>
            <w:r w:rsidR="00445DEB" w:rsidRPr="00DB5037">
              <w:rPr>
                <w:sz w:val="28"/>
                <w:szCs w:val="28"/>
              </w:rPr>
              <w:t>s</w:t>
            </w:r>
            <w:r w:rsidR="00604B76" w:rsidRPr="00DB5037">
              <w:rPr>
                <w:sz w:val="28"/>
                <w:szCs w:val="28"/>
              </w:rPr>
              <w:t xml:space="preserve"> </w:t>
            </w:r>
            <w:r w:rsidR="00604B76" w:rsidRPr="00DB5037">
              <w:rPr>
                <w:rFonts w:eastAsia="Times New Roman"/>
                <w:sz w:val="28"/>
                <w:szCs w:val="28"/>
                <w:lang w:eastAsia="lv-LV"/>
              </w:rPr>
              <w:t xml:space="preserve">“Par paskābināšanas, eitrofikācijas un </w:t>
            </w:r>
            <w:proofErr w:type="spellStart"/>
            <w:r w:rsidR="00604B76" w:rsidRPr="00DB5037">
              <w:rPr>
                <w:rFonts w:eastAsia="Times New Roman"/>
                <w:sz w:val="28"/>
                <w:szCs w:val="28"/>
                <w:lang w:eastAsia="lv-LV"/>
              </w:rPr>
              <w:t>piezemes</w:t>
            </w:r>
            <w:proofErr w:type="spellEnd"/>
            <w:r w:rsidR="00604B76" w:rsidRPr="00DB5037">
              <w:rPr>
                <w:rFonts w:eastAsia="Times New Roman"/>
                <w:sz w:val="28"/>
                <w:szCs w:val="28"/>
                <w:lang w:eastAsia="lv-LV"/>
              </w:rPr>
              <w:t xml:space="preserve"> ozona līmeņa samazināšanu”.</w:t>
            </w:r>
          </w:p>
        </w:tc>
      </w:tr>
      <w:tr w:rsidR="00B30CCA" w:rsidRPr="00DB5037" w:rsidTr="00E676A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3.</w:t>
            </w:r>
          </w:p>
        </w:tc>
        <w:tc>
          <w:tcPr>
            <w:tcW w:w="297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5684" w:type="dxa"/>
            <w:tcBorders>
              <w:top w:val="outset" w:sz="6" w:space="0" w:color="auto"/>
              <w:left w:val="outset" w:sz="6" w:space="0" w:color="auto"/>
              <w:bottom w:val="outset" w:sz="6" w:space="0" w:color="auto"/>
              <w:right w:val="outset" w:sz="6" w:space="0" w:color="auto"/>
            </w:tcBorders>
            <w:hideMark/>
          </w:tcPr>
          <w:p w:rsidR="00B30CCA" w:rsidRPr="00DB5037" w:rsidRDefault="00B30CCA" w:rsidP="008209FD">
            <w:pPr>
              <w:spacing w:before="75" w:after="75" w:line="240" w:lineRule="auto"/>
              <w:rPr>
                <w:rFonts w:eastAsia="Times New Roman"/>
                <w:sz w:val="28"/>
                <w:szCs w:val="28"/>
                <w:lang w:eastAsia="lv-LV"/>
              </w:rPr>
            </w:pPr>
            <w:r w:rsidRPr="00DB5037">
              <w:rPr>
                <w:rFonts w:eastAsia="Times New Roman"/>
                <w:sz w:val="28"/>
                <w:szCs w:val="28"/>
                <w:lang w:eastAsia="lv-LV"/>
              </w:rPr>
              <w:t> </w:t>
            </w:r>
            <w:r w:rsidR="008209FD" w:rsidRPr="00DB5037">
              <w:rPr>
                <w:rFonts w:eastAsia="Times New Roman"/>
                <w:sz w:val="28"/>
                <w:szCs w:val="28"/>
                <w:lang w:eastAsia="lv-LV"/>
              </w:rPr>
              <w:t>Nav</w:t>
            </w:r>
          </w:p>
        </w:tc>
      </w:tr>
    </w:tbl>
    <w:p w:rsidR="00B30CCA" w:rsidRPr="00DB5037" w:rsidRDefault="00B30CCA" w:rsidP="00B30CCA">
      <w:pPr>
        <w:spacing w:before="75" w:after="75" w:line="240" w:lineRule="auto"/>
        <w:ind w:firstLine="375"/>
        <w:jc w:val="both"/>
        <w:rPr>
          <w:rFonts w:eastAsia="Times New Roman"/>
          <w:sz w:val="28"/>
          <w:szCs w:val="28"/>
          <w:lang w:eastAsia="lv-LV"/>
        </w:rPr>
      </w:pPr>
      <w:r w:rsidRPr="00DB5037">
        <w:rPr>
          <w:rFonts w:eastAsia="Times New Roman"/>
          <w:sz w:val="28"/>
          <w:szCs w:val="28"/>
          <w:lang w:eastAsia="lv-LV"/>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3"/>
        <w:gridCol w:w="1975"/>
        <w:gridCol w:w="1858"/>
        <w:gridCol w:w="2745"/>
      </w:tblGrid>
      <w:tr w:rsidR="00B30CCA" w:rsidRPr="00DB5037" w:rsidTr="00C3644B">
        <w:trPr>
          <w:trHeight w:val="523"/>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 1.tabula</w:t>
            </w:r>
          </w:p>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Tiesību akta projekta atbilstība ES tiesību aktiem</w:t>
            </w:r>
          </w:p>
        </w:tc>
      </w:tr>
      <w:tr w:rsidR="00B30CCA" w:rsidRPr="00DB5037" w:rsidTr="00C3644B">
        <w:trPr>
          <w:trHeight w:val="163"/>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3" w:lineRule="atLeast"/>
              <w:rPr>
                <w:rFonts w:eastAsia="Times New Roman"/>
                <w:sz w:val="28"/>
                <w:szCs w:val="28"/>
                <w:lang w:eastAsia="lv-LV"/>
              </w:rPr>
            </w:pPr>
            <w:r w:rsidRPr="00DB5037">
              <w:rPr>
                <w:rFonts w:eastAsia="Times New Roman"/>
                <w:sz w:val="28"/>
                <w:szCs w:val="28"/>
                <w:lang w:eastAsia="lv-LV"/>
              </w:rPr>
              <w:t>  </w:t>
            </w:r>
          </w:p>
        </w:tc>
      </w:tr>
      <w:tr w:rsidR="00B30CCA" w:rsidRPr="00DB5037" w:rsidTr="00C81523">
        <w:trPr>
          <w:trHeight w:val="165"/>
          <w:tblCellSpacing w:w="0" w:type="dxa"/>
        </w:trPr>
        <w:tc>
          <w:tcPr>
            <w:tcW w:w="1386"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5" w:lineRule="atLeast"/>
              <w:jc w:val="center"/>
              <w:rPr>
                <w:rFonts w:eastAsia="Times New Roman"/>
                <w:sz w:val="28"/>
                <w:szCs w:val="28"/>
                <w:lang w:eastAsia="lv-LV"/>
              </w:rPr>
            </w:pPr>
            <w:r w:rsidRPr="00DB5037">
              <w:rPr>
                <w:rFonts w:eastAsia="Times New Roman"/>
                <w:sz w:val="28"/>
                <w:szCs w:val="28"/>
                <w:lang w:eastAsia="lv-LV"/>
              </w:rPr>
              <w:t> A</w:t>
            </w:r>
          </w:p>
        </w:tc>
        <w:tc>
          <w:tcPr>
            <w:tcW w:w="1085"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5" w:lineRule="atLeast"/>
              <w:jc w:val="center"/>
              <w:rPr>
                <w:rFonts w:eastAsia="Times New Roman"/>
                <w:sz w:val="28"/>
                <w:szCs w:val="28"/>
                <w:lang w:eastAsia="lv-LV"/>
              </w:rPr>
            </w:pPr>
            <w:r w:rsidRPr="00DB5037">
              <w:rPr>
                <w:rFonts w:eastAsia="Times New Roman"/>
                <w:sz w:val="28"/>
                <w:szCs w:val="28"/>
                <w:lang w:eastAsia="lv-LV"/>
              </w:rPr>
              <w:t> B</w:t>
            </w:r>
          </w:p>
        </w:tc>
        <w:tc>
          <w:tcPr>
            <w:tcW w:w="1021"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5" w:lineRule="atLeast"/>
              <w:jc w:val="center"/>
              <w:rPr>
                <w:rFonts w:eastAsia="Times New Roman"/>
                <w:sz w:val="28"/>
                <w:szCs w:val="28"/>
                <w:lang w:eastAsia="lv-LV"/>
              </w:rPr>
            </w:pPr>
            <w:r w:rsidRPr="00DB5037">
              <w:rPr>
                <w:rFonts w:eastAsia="Times New Roman"/>
                <w:sz w:val="28"/>
                <w:szCs w:val="28"/>
                <w:lang w:eastAsia="lv-LV"/>
              </w:rPr>
              <w:t> C</w:t>
            </w:r>
          </w:p>
        </w:tc>
        <w:tc>
          <w:tcPr>
            <w:tcW w:w="1509"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5" w:lineRule="atLeast"/>
              <w:jc w:val="center"/>
              <w:rPr>
                <w:rFonts w:eastAsia="Times New Roman"/>
                <w:sz w:val="28"/>
                <w:szCs w:val="28"/>
                <w:lang w:eastAsia="lv-LV"/>
              </w:rPr>
            </w:pPr>
            <w:r w:rsidRPr="00DB5037">
              <w:rPr>
                <w:rFonts w:eastAsia="Times New Roman"/>
                <w:sz w:val="28"/>
                <w:szCs w:val="28"/>
                <w:lang w:eastAsia="lv-LV"/>
              </w:rPr>
              <w:t> D</w:t>
            </w:r>
          </w:p>
        </w:tc>
      </w:tr>
      <w:tr w:rsidR="00B30CCA" w:rsidRPr="00DB5037" w:rsidTr="00C81523">
        <w:trPr>
          <w:trHeight w:val="2138"/>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B30CCA" w:rsidRPr="00DB5037" w:rsidRDefault="00B30CCA" w:rsidP="002351D9">
            <w:pPr>
              <w:spacing w:before="75" w:after="75" w:line="240" w:lineRule="auto"/>
              <w:rPr>
                <w:rFonts w:eastAsia="Times New Roman"/>
                <w:sz w:val="28"/>
                <w:szCs w:val="28"/>
                <w:lang w:eastAsia="lv-LV"/>
              </w:rPr>
            </w:pPr>
            <w:r w:rsidRPr="00DB5037">
              <w:rPr>
                <w:rFonts w:eastAsia="Times New Roman"/>
                <w:sz w:val="28"/>
                <w:szCs w:val="28"/>
                <w:lang w:eastAsia="lv-LV"/>
              </w:rPr>
              <w:t> Attiecīgā ES tiesību akta panta numurs (uzskaitot katru tiesību akta</w:t>
            </w:r>
            <w:r w:rsidRPr="00DB5037">
              <w:rPr>
                <w:rFonts w:eastAsia="Times New Roman"/>
                <w:sz w:val="28"/>
                <w:szCs w:val="28"/>
                <w:lang w:eastAsia="lv-LV"/>
              </w:rPr>
              <w:br/>
              <w:t>vienību – pantu, daļu, punktu, apakšpunktu</w:t>
            </w:r>
            <w:r w:rsidR="002351D9" w:rsidRPr="00DB5037">
              <w:rPr>
                <w:rFonts w:eastAsia="Times New Roman"/>
                <w:sz w:val="28"/>
                <w:szCs w:val="28"/>
                <w:lang w:eastAsia="lv-LV"/>
              </w:rPr>
              <w:t>)</w:t>
            </w:r>
          </w:p>
        </w:tc>
        <w:tc>
          <w:tcPr>
            <w:tcW w:w="1085" w:type="pct"/>
            <w:tcBorders>
              <w:top w:val="outset" w:sz="6" w:space="0" w:color="auto"/>
              <w:left w:val="outset" w:sz="6" w:space="0" w:color="auto"/>
              <w:bottom w:val="outset" w:sz="6" w:space="0" w:color="auto"/>
              <w:right w:val="outset" w:sz="6" w:space="0" w:color="auto"/>
            </w:tcBorders>
            <w:hideMark/>
          </w:tcPr>
          <w:p w:rsidR="00B30CCA" w:rsidRPr="00DB5037" w:rsidRDefault="00B30CCA" w:rsidP="002351D9">
            <w:pPr>
              <w:spacing w:before="75" w:after="75" w:line="240" w:lineRule="auto"/>
              <w:rPr>
                <w:rFonts w:eastAsia="Times New Roman"/>
                <w:sz w:val="28"/>
                <w:szCs w:val="28"/>
                <w:lang w:eastAsia="lv-LV"/>
              </w:rPr>
            </w:pPr>
            <w:r w:rsidRPr="00DB5037">
              <w:rPr>
                <w:rFonts w:eastAsia="Times New Roman"/>
                <w:sz w:val="28"/>
                <w:szCs w:val="28"/>
                <w:lang w:eastAsia="lv-LV"/>
              </w:rPr>
              <w:t> Projekta vienība, kas pārņem vai ievieš katru šīs tabulas A ailē minēto ES tiesību akta vienību</w:t>
            </w:r>
          </w:p>
        </w:tc>
        <w:tc>
          <w:tcPr>
            <w:tcW w:w="1021" w:type="pct"/>
            <w:tcBorders>
              <w:top w:val="outset" w:sz="6" w:space="0" w:color="auto"/>
              <w:left w:val="outset" w:sz="6" w:space="0" w:color="auto"/>
              <w:bottom w:val="outset" w:sz="6" w:space="0" w:color="auto"/>
              <w:right w:val="outset" w:sz="6" w:space="0" w:color="auto"/>
            </w:tcBorders>
            <w:hideMark/>
          </w:tcPr>
          <w:p w:rsidR="00B30CCA" w:rsidRPr="00DB5037" w:rsidRDefault="00B30CCA" w:rsidP="002351D9">
            <w:pPr>
              <w:spacing w:before="75" w:after="75" w:line="240" w:lineRule="auto"/>
              <w:rPr>
                <w:rFonts w:eastAsia="Times New Roman"/>
                <w:sz w:val="28"/>
                <w:szCs w:val="28"/>
                <w:lang w:eastAsia="lv-LV"/>
              </w:rPr>
            </w:pPr>
            <w:r w:rsidRPr="00DB5037">
              <w:rPr>
                <w:rFonts w:eastAsia="Times New Roman"/>
                <w:sz w:val="28"/>
                <w:szCs w:val="28"/>
                <w:lang w:eastAsia="lv-LV"/>
              </w:rPr>
              <w:t xml:space="preserve"> Informācija par to, vai šīs tabulas A ailē minētās ES tiesību akta vienības tiek pārņemtas vai ieviestas pilnībā </w:t>
            </w:r>
            <w:r w:rsidRPr="00DB5037">
              <w:rPr>
                <w:rFonts w:eastAsia="Times New Roman"/>
                <w:sz w:val="28"/>
                <w:szCs w:val="28"/>
                <w:lang w:eastAsia="lv-LV"/>
              </w:rPr>
              <w:lastRenderedPageBreak/>
              <w:t>vai daļēji.</w:t>
            </w:r>
          </w:p>
        </w:tc>
        <w:tc>
          <w:tcPr>
            <w:tcW w:w="1509" w:type="pct"/>
            <w:tcBorders>
              <w:top w:val="outset" w:sz="6" w:space="0" w:color="auto"/>
              <w:left w:val="outset" w:sz="6" w:space="0" w:color="auto"/>
              <w:bottom w:val="outset" w:sz="6" w:space="0" w:color="auto"/>
              <w:right w:val="outset" w:sz="6" w:space="0" w:color="auto"/>
            </w:tcBorders>
            <w:hideMark/>
          </w:tcPr>
          <w:p w:rsidR="00B30CCA" w:rsidRPr="00DB5037" w:rsidRDefault="00B30CCA" w:rsidP="002351D9">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Informācija par to, vai šīs tabulas B ailē minētās projekta vienības paredz stingrākas prasības nekā šīs tabulas A ailē minētās ES tiesību akta vienības.</w:t>
            </w:r>
          </w:p>
        </w:tc>
      </w:tr>
      <w:tr w:rsidR="002351D9" w:rsidRPr="00DB5037" w:rsidTr="002351D9">
        <w:trPr>
          <w:trHeight w:val="525"/>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I nodaļa – Kopīgi noteikumi</w:t>
            </w:r>
          </w:p>
        </w:tc>
      </w:tr>
      <w:tr w:rsidR="00375028"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375028" w:rsidRPr="00DB5037" w:rsidRDefault="00404398" w:rsidP="00375028">
            <w:pPr>
              <w:spacing w:before="75" w:after="75" w:line="240" w:lineRule="auto"/>
              <w:rPr>
                <w:rFonts w:eastAsia="Times New Roman"/>
                <w:sz w:val="28"/>
                <w:szCs w:val="28"/>
                <w:lang w:eastAsia="lv-LV"/>
              </w:rPr>
            </w:pPr>
            <w:r w:rsidRPr="00DB5037">
              <w:rPr>
                <w:sz w:val="28"/>
                <w:szCs w:val="28"/>
              </w:rPr>
              <w:t>3.panta 44.punkts</w:t>
            </w:r>
          </w:p>
        </w:tc>
        <w:tc>
          <w:tcPr>
            <w:tcW w:w="1085" w:type="pct"/>
            <w:tcBorders>
              <w:top w:val="outset" w:sz="6" w:space="0" w:color="auto"/>
              <w:left w:val="outset" w:sz="6" w:space="0" w:color="auto"/>
              <w:bottom w:val="outset" w:sz="6" w:space="0" w:color="auto"/>
              <w:right w:val="outset" w:sz="6" w:space="0" w:color="auto"/>
            </w:tcBorders>
            <w:hideMark/>
          </w:tcPr>
          <w:p w:rsidR="00375028" w:rsidRPr="00DB5037" w:rsidRDefault="0017794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1</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375028" w:rsidRPr="00DB5037" w:rsidRDefault="00745F6C" w:rsidP="00B30CCA">
            <w:pPr>
              <w:spacing w:before="75" w:after="75" w:line="240" w:lineRule="auto"/>
              <w:rPr>
                <w:rFonts w:eastAsia="Times New Roman"/>
                <w:sz w:val="28"/>
                <w:szCs w:val="28"/>
                <w:lang w:eastAsia="lv-LV"/>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375028"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3.panta 45.punkts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3.3.apakšpunkts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3.panta 46.punkts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2</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3.panta 47.punkts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6</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2351D9">
        <w:trPr>
          <w:trHeight w:val="292"/>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351D9" w:rsidRPr="007D5890" w:rsidRDefault="007427E1" w:rsidP="002351D9">
            <w:pPr>
              <w:rPr>
                <w:sz w:val="28"/>
                <w:szCs w:val="28"/>
              </w:rPr>
            </w:pPr>
            <w:r w:rsidRPr="007D5890">
              <w:rPr>
                <w:rFonts w:eastAsia="Times New Roman"/>
                <w:sz w:val="28"/>
                <w:szCs w:val="28"/>
                <w:lang w:eastAsia="lv-LV"/>
              </w:rPr>
              <w:t>V</w:t>
            </w:r>
            <w:r w:rsidR="002351D9" w:rsidRPr="007D5890">
              <w:rPr>
                <w:rFonts w:eastAsia="Times New Roman"/>
                <w:sz w:val="28"/>
                <w:szCs w:val="28"/>
                <w:lang w:eastAsia="lv-LV"/>
              </w:rPr>
              <w:t xml:space="preserve"> nodaļa – Īpaši noteikumi par iekārtām un darbībām, kurās izmanto organiskos šķīdinātājus </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56.pants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931711">
            <w:pPr>
              <w:spacing w:before="75" w:after="75" w:line="240" w:lineRule="auto"/>
              <w:rPr>
                <w:rFonts w:eastAsia="Times New Roman"/>
                <w:sz w:val="28"/>
                <w:szCs w:val="28"/>
                <w:lang w:eastAsia="lv-LV"/>
              </w:rPr>
            </w:pPr>
            <w:r w:rsidRPr="00DB5037">
              <w:rPr>
                <w:rFonts w:eastAsia="Times New Roman"/>
                <w:sz w:val="28"/>
                <w:szCs w:val="28"/>
                <w:lang w:eastAsia="lv-LV"/>
              </w:rPr>
              <w:t>2.punkts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1)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3.2.apakšpunkts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2)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w:t>
            </w:r>
            <w:r w:rsidR="008534A3" w:rsidRPr="00DB5037">
              <w:rPr>
                <w:rFonts w:eastAsia="Times New Roman"/>
                <w:sz w:val="28"/>
                <w:szCs w:val="28"/>
                <w:lang w:eastAsia="lv-LV"/>
              </w:rPr>
              <w:t>6</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3)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3.1.apakšpunkts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4)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w:t>
            </w:r>
            <w:r w:rsidR="008534A3" w:rsidRPr="00DB5037">
              <w:rPr>
                <w:rFonts w:eastAsia="Times New Roman"/>
                <w:sz w:val="28"/>
                <w:szCs w:val="28"/>
                <w:lang w:eastAsia="lv-LV"/>
              </w:rPr>
              <w:t>8</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375DCD" w:rsidRDefault="002351D9" w:rsidP="00375028">
            <w:pPr>
              <w:spacing w:before="75" w:after="75" w:line="240" w:lineRule="auto"/>
              <w:rPr>
                <w:rFonts w:eastAsia="Times New Roman"/>
                <w:sz w:val="28"/>
                <w:szCs w:val="28"/>
                <w:lang w:eastAsia="lv-LV"/>
              </w:rPr>
            </w:pPr>
            <w:r w:rsidRPr="00375DCD">
              <w:rPr>
                <w:sz w:val="28"/>
                <w:szCs w:val="28"/>
              </w:rPr>
              <w:t>57.panta 5)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w:t>
            </w:r>
            <w:r w:rsidR="008534A3" w:rsidRPr="00DB5037">
              <w:rPr>
                <w:rFonts w:eastAsia="Times New Roman"/>
                <w:sz w:val="28"/>
                <w:szCs w:val="28"/>
                <w:lang w:eastAsia="lv-LV"/>
              </w:rPr>
              <w:t>10</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 xml:space="preserve">57.panta 6) </w:t>
            </w:r>
            <w:r w:rsidRPr="00DB5037">
              <w:rPr>
                <w:sz w:val="28"/>
                <w:szCs w:val="28"/>
              </w:rPr>
              <w:lastRenderedPageBreak/>
              <w:t>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3.1</w:t>
            </w:r>
            <w:r w:rsidR="008534A3" w:rsidRPr="00DB5037">
              <w:rPr>
                <w:rFonts w:eastAsia="Times New Roman"/>
                <w:sz w:val="28"/>
                <w:szCs w:val="28"/>
                <w:lang w:eastAsia="lv-LV"/>
              </w:rPr>
              <w:t>8</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 xml:space="preserve">pārņemts </w:t>
            </w:r>
            <w:r w:rsidRPr="00DB5037">
              <w:rPr>
                <w:rFonts w:eastAsia="Times New Roman"/>
                <w:sz w:val="28"/>
                <w:szCs w:val="28"/>
                <w:lang w:eastAsia="lv-LV"/>
              </w:rPr>
              <w:lastRenderedPageBreak/>
              <w:t>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lastRenderedPageBreak/>
              <w:t xml:space="preserve">neparedz stingrākas </w:t>
            </w:r>
            <w:r w:rsidRPr="00DB5037">
              <w:rPr>
                <w:rFonts w:eastAsia="Times New Roman"/>
                <w:sz w:val="28"/>
                <w:szCs w:val="28"/>
                <w:lang w:eastAsia="lv-LV"/>
              </w:rPr>
              <w:lastRenderedPageBreak/>
              <w:t>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lastRenderedPageBreak/>
              <w:t>57.panta 7)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w:t>
            </w:r>
            <w:r w:rsidR="008534A3" w:rsidRPr="00DB5037">
              <w:rPr>
                <w:rFonts w:eastAsia="Times New Roman"/>
                <w:sz w:val="28"/>
                <w:szCs w:val="28"/>
                <w:lang w:eastAsia="lv-LV"/>
              </w:rPr>
              <w:t>5</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8)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w:t>
            </w:r>
            <w:r w:rsidR="008534A3" w:rsidRPr="00DB5037">
              <w:rPr>
                <w:rFonts w:eastAsia="Times New Roman"/>
                <w:sz w:val="28"/>
                <w:szCs w:val="28"/>
                <w:lang w:eastAsia="lv-LV"/>
              </w:rPr>
              <w:t>9</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9)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4</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10)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3</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11)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7</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12)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9</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57.panta 13) apakšpunkts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8534A3">
            <w:pPr>
              <w:spacing w:before="75" w:after="75" w:line="240" w:lineRule="auto"/>
              <w:rPr>
                <w:rFonts w:eastAsia="Times New Roman"/>
                <w:sz w:val="28"/>
                <w:szCs w:val="28"/>
                <w:lang w:eastAsia="lv-LV"/>
              </w:rPr>
            </w:pPr>
            <w:r w:rsidRPr="00DB5037">
              <w:rPr>
                <w:rFonts w:eastAsia="Times New Roman"/>
                <w:sz w:val="28"/>
                <w:szCs w:val="28"/>
                <w:lang w:eastAsia="lv-LV"/>
              </w:rPr>
              <w:t>3.1</w:t>
            </w:r>
            <w:r w:rsidR="008534A3" w:rsidRPr="00DB5037">
              <w:rPr>
                <w:rFonts w:eastAsia="Times New Roman"/>
                <w:sz w:val="28"/>
                <w:szCs w:val="28"/>
                <w:lang w:eastAsia="lv-LV"/>
              </w:rPr>
              <w:t>5</w:t>
            </w:r>
            <w:r w:rsidRPr="00DB5037">
              <w:rPr>
                <w:rFonts w:eastAsia="Times New Roman"/>
                <w:sz w:val="28"/>
                <w:szCs w:val="28"/>
                <w:lang w:eastAsia="lv-LV"/>
              </w:rPr>
              <w:t>.apakšpunkts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58.pants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8.punkts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59.panta 1.punkts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19. un 29.punkts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59.panta 2.punkts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C81523" w:rsidP="00B30CCA">
            <w:pPr>
              <w:spacing w:before="75" w:after="75" w:line="240" w:lineRule="auto"/>
              <w:rPr>
                <w:rFonts w:eastAsia="Times New Roman"/>
                <w:sz w:val="28"/>
                <w:szCs w:val="28"/>
                <w:lang w:eastAsia="lv-LV"/>
              </w:rPr>
            </w:pPr>
            <w:r w:rsidRPr="00A23E65">
              <w:rPr>
                <w:rFonts w:eastAsia="Times New Roman"/>
                <w:sz w:val="28"/>
                <w:szCs w:val="28"/>
                <w:lang w:eastAsia="lv-LV"/>
              </w:rPr>
              <w:t>Norma nav pārņemta, jo ir izmantota direktīvā paredzētā rīcības brīvība</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rsidP="00445DEB">
            <w:pPr>
              <w:spacing w:before="75" w:after="75" w:line="240" w:lineRule="auto"/>
              <w:rPr>
                <w:rFonts w:eastAsia="Times New Roman"/>
                <w:sz w:val="28"/>
                <w:szCs w:val="28"/>
                <w:lang w:eastAsia="lv-LV"/>
              </w:rPr>
            </w:pPr>
            <w:r w:rsidRPr="00DB5037">
              <w:rPr>
                <w:rFonts w:eastAsia="Times New Roman"/>
                <w:sz w:val="28"/>
                <w:szCs w:val="28"/>
                <w:lang w:eastAsia="lv-LV"/>
              </w:rPr>
              <w:t>Nav pārņemts</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F91F2A">
            <w:pPr>
              <w:rPr>
                <w:sz w:val="28"/>
                <w:szCs w:val="28"/>
              </w:rPr>
            </w:pPr>
            <w:r w:rsidRPr="00DB5037">
              <w:rPr>
                <w:rFonts w:eastAsia="Times New Roman"/>
                <w:sz w:val="28"/>
                <w:szCs w:val="28"/>
                <w:lang w:eastAsia="lv-LV"/>
              </w:rPr>
              <w:t>-</w:t>
            </w:r>
          </w:p>
        </w:tc>
      </w:tr>
      <w:tr w:rsidR="00C81523"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C81523" w:rsidRPr="00DB5037" w:rsidRDefault="00C81523" w:rsidP="00375028">
            <w:pPr>
              <w:spacing w:before="75" w:after="75" w:line="240" w:lineRule="auto"/>
              <w:rPr>
                <w:rFonts w:eastAsia="Times New Roman"/>
                <w:sz w:val="28"/>
                <w:szCs w:val="28"/>
                <w:lang w:eastAsia="lv-LV"/>
              </w:rPr>
            </w:pPr>
            <w:r w:rsidRPr="00DB5037">
              <w:rPr>
                <w:sz w:val="28"/>
                <w:szCs w:val="28"/>
              </w:rPr>
              <w:t>59.panta 3.punkts</w:t>
            </w:r>
          </w:p>
        </w:tc>
        <w:tc>
          <w:tcPr>
            <w:tcW w:w="1085" w:type="pct"/>
            <w:tcBorders>
              <w:top w:val="outset" w:sz="6" w:space="0" w:color="auto"/>
              <w:left w:val="outset" w:sz="6" w:space="0" w:color="auto"/>
              <w:bottom w:val="outset" w:sz="6" w:space="0" w:color="auto"/>
              <w:right w:val="outset" w:sz="6" w:space="0" w:color="auto"/>
            </w:tcBorders>
            <w:hideMark/>
          </w:tcPr>
          <w:p w:rsidR="00C81523" w:rsidRDefault="00C81523">
            <w:r w:rsidRPr="00C116DF">
              <w:rPr>
                <w:rFonts w:eastAsia="Times New Roman"/>
                <w:sz w:val="28"/>
                <w:szCs w:val="28"/>
                <w:lang w:eastAsia="lv-LV"/>
              </w:rPr>
              <w:t xml:space="preserve">Norma nav pārņemta, jo ir izmantota direktīvā paredzētā rīcības </w:t>
            </w:r>
            <w:r w:rsidRPr="00C116DF">
              <w:rPr>
                <w:rFonts w:eastAsia="Times New Roman"/>
                <w:sz w:val="28"/>
                <w:szCs w:val="28"/>
                <w:lang w:eastAsia="lv-LV"/>
              </w:rPr>
              <w:lastRenderedPageBreak/>
              <w:t xml:space="preserve">brīvība </w:t>
            </w:r>
          </w:p>
        </w:tc>
        <w:tc>
          <w:tcPr>
            <w:tcW w:w="1021" w:type="pct"/>
            <w:tcBorders>
              <w:top w:val="outset" w:sz="6" w:space="0" w:color="auto"/>
              <w:left w:val="outset" w:sz="6" w:space="0" w:color="auto"/>
              <w:bottom w:val="outset" w:sz="6" w:space="0" w:color="auto"/>
              <w:right w:val="outset" w:sz="6" w:space="0" w:color="auto"/>
            </w:tcBorders>
            <w:hideMark/>
          </w:tcPr>
          <w:p w:rsidR="00C81523" w:rsidRPr="00DB5037" w:rsidRDefault="00C81523" w:rsidP="00445DEB">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Nav pārņemts</w:t>
            </w:r>
          </w:p>
        </w:tc>
        <w:tc>
          <w:tcPr>
            <w:tcW w:w="1509" w:type="pct"/>
            <w:tcBorders>
              <w:top w:val="outset" w:sz="6" w:space="0" w:color="auto"/>
              <w:left w:val="outset" w:sz="6" w:space="0" w:color="auto"/>
              <w:bottom w:val="outset" w:sz="6" w:space="0" w:color="auto"/>
              <w:right w:val="outset" w:sz="6" w:space="0" w:color="auto"/>
            </w:tcBorders>
            <w:hideMark/>
          </w:tcPr>
          <w:p w:rsidR="00C81523" w:rsidRPr="00DB5037" w:rsidRDefault="00C81523">
            <w:pPr>
              <w:rPr>
                <w:sz w:val="28"/>
                <w:szCs w:val="28"/>
              </w:rPr>
            </w:pPr>
            <w:r w:rsidRPr="00DB5037">
              <w:rPr>
                <w:rFonts w:eastAsia="Times New Roman"/>
                <w:sz w:val="28"/>
                <w:szCs w:val="28"/>
                <w:lang w:eastAsia="lv-LV"/>
              </w:rPr>
              <w:t>-</w:t>
            </w:r>
          </w:p>
        </w:tc>
      </w:tr>
      <w:tr w:rsidR="00C81523"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C81523" w:rsidRPr="00DB5037" w:rsidRDefault="00C81523" w:rsidP="00375028">
            <w:pPr>
              <w:spacing w:before="75" w:after="75" w:line="240" w:lineRule="auto"/>
              <w:rPr>
                <w:rFonts w:eastAsia="Times New Roman"/>
                <w:sz w:val="28"/>
                <w:szCs w:val="28"/>
                <w:lang w:eastAsia="lv-LV"/>
              </w:rPr>
            </w:pPr>
            <w:r w:rsidRPr="00DB5037">
              <w:rPr>
                <w:sz w:val="28"/>
                <w:szCs w:val="28"/>
              </w:rPr>
              <w:lastRenderedPageBreak/>
              <w:t>59.panta 4.punkts</w:t>
            </w:r>
          </w:p>
        </w:tc>
        <w:tc>
          <w:tcPr>
            <w:tcW w:w="1085" w:type="pct"/>
            <w:tcBorders>
              <w:top w:val="outset" w:sz="6" w:space="0" w:color="auto"/>
              <w:left w:val="outset" w:sz="6" w:space="0" w:color="auto"/>
              <w:bottom w:val="outset" w:sz="6" w:space="0" w:color="auto"/>
              <w:right w:val="outset" w:sz="6" w:space="0" w:color="auto"/>
            </w:tcBorders>
            <w:hideMark/>
          </w:tcPr>
          <w:p w:rsidR="00C81523" w:rsidRDefault="00C81523">
            <w:r w:rsidRPr="00C116DF">
              <w:rPr>
                <w:rFonts w:eastAsia="Times New Roman"/>
                <w:sz w:val="28"/>
                <w:szCs w:val="28"/>
                <w:lang w:eastAsia="lv-LV"/>
              </w:rPr>
              <w:t xml:space="preserve">Norma nav pārņemta, jo ir izmantota direktīvā paredzētā rīcības brīvība </w:t>
            </w:r>
          </w:p>
        </w:tc>
        <w:tc>
          <w:tcPr>
            <w:tcW w:w="1021" w:type="pct"/>
            <w:tcBorders>
              <w:top w:val="outset" w:sz="6" w:space="0" w:color="auto"/>
              <w:left w:val="outset" w:sz="6" w:space="0" w:color="auto"/>
              <w:bottom w:val="outset" w:sz="6" w:space="0" w:color="auto"/>
              <w:right w:val="outset" w:sz="6" w:space="0" w:color="auto"/>
            </w:tcBorders>
            <w:hideMark/>
          </w:tcPr>
          <w:p w:rsidR="00C81523" w:rsidRPr="00DB5037" w:rsidRDefault="00C81523" w:rsidP="00445DEB">
            <w:pPr>
              <w:spacing w:before="75" w:after="75" w:line="240" w:lineRule="auto"/>
              <w:rPr>
                <w:rFonts w:eastAsia="Times New Roman"/>
                <w:sz w:val="28"/>
                <w:szCs w:val="28"/>
                <w:lang w:eastAsia="lv-LV"/>
              </w:rPr>
            </w:pPr>
            <w:r w:rsidRPr="00DB5037">
              <w:rPr>
                <w:rFonts w:eastAsia="Times New Roman"/>
                <w:sz w:val="28"/>
                <w:szCs w:val="28"/>
                <w:lang w:eastAsia="lv-LV"/>
              </w:rPr>
              <w:t>Nav pārņemts</w:t>
            </w:r>
          </w:p>
        </w:tc>
        <w:tc>
          <w:tcPr>
            <w:tcW w:w="1509" w:type="pct"/>
            <w:tcBorders>
              <w:top w:val="outset" w:sz="6" w:space="0" w:color="auto"/>
              <w:left w:val="outset" w:sz="6" w:space="0" w:color="auto"/>
              <w:bottom w:val="outset" w:sz="6" w:space="0" w:color="auto"/>
              <w:right w:val="outset" w:sz="6" w:space="0" w:color="auto"/>
            </w:tcBorders>
            <w:hideMark/>
          </w:tcPr>
          <w:p w:rsidR="00C81523" w:rsidRPr="00DB5037" w:rsidRDefault="00C81523">
            <w:pPr>
              <w:rPr>
                <w:sz w:val="28"/>
                <w:szCs w:val="28"/>
              </w:rPr>
            </w:pPr>
            <w:r w:rsidRPr="00DB5037">
              <w:rPr>
                <w:rFonts w:eastAsia="Times New Roman"/>
                <w:sz w:val="28"/>
                <w:szCs w:val="28"/>
                <w:lang w:eastAsia="lv-LV"/>
              </w:rPr>
              <w:t>-</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59.panta 5.punkts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9., 14. un 15.punkts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59.panta 6.punkts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20.punkts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59.panta 7.punkts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10.punkts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60.pants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16., 17. un 18.punkts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61.pants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21.-25.punkts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62.pants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26. un 27.punkts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63.pants 1.punkts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4. un 5.punkts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63.pants 2.punkts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6.punkts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63.pants 3.punkts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7.punkts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sz w:val="28"/>
                <w:szCs w:val="28"/>
              </w:rPr>
            </w:pPr>
            <w:r w:rsidRPr="00DB5037">
              <w:rPr>
                <w:sz w:val="28"/>
                <w:szCs w:val="28"/>
              </w:rPr>
              <w:t>64.pants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Nav nepieciešams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Nav nepieciešams</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Nav nepieciešams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65.panta 1.punkts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29. un 30.punkts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lastRenderedPageBreak/>
              <w:t>65.panta 2.punkts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29. un 30.punkts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82.pants 7.-9.punkts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31.-33.punkts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1.daļa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1.pielikums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2.daļa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2.pielikuma 1.daļa</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3.daļa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2.pielikuma 2.daļa</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4.daļas 1.punkts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14.punkts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4.daļas 2.punkts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15.punkts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92"/>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5.daļa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F05A94">
            <w:pPr>
              <w:spacing w:before="75" w:after="75" w:line="240" w:lineRule="auto"/>
              <w:rPr>
                <w:rFonts w:eastAsia="Times New Roman"/>
                <w:sz w:val="28"/>
                <w:szCs w:val="28"/>
                <w:lang w:eastAsia="lv-LV"/>
              </w:rPr>
            </w:pPr>
            <w:r w:rsidRPr="00DB5037">
              <w:rPr>
                <w:rFonts w:eastAsia="Times New Roman"/>
                <w:sz w:val="28"/>
                <w:szCs w:val="28"/>
                <w:lang w:eastAsia="lv-LV"/>
              </w:rPr>
              <w:t>11. - 13.punkts un 3.pielikums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40"/>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6.daļa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F05A94">
            <w:pPr>
              <w:spacing w:before="75" w:after="75" w:line="240" w:lineRule="auto"/>
              <w:rPr>
                <w:rFonts w:eastAsia="Times New Roman"/>
                <w:sz w:val="28"/>
                <w:szCs w:val="28"/>
                <w:lang w:eastAsia="lv-LV"/>
              </w:rPr>
            </w:pPr>
            <w:r w:rsidRPr="00DB5037">
              <w:rPr>
                <w:rFonts w:eastAsia="Times New Roman"/>
                <w:sz w:val="28"/>
                <w:szCs w:val="28"/>
                <w:lang w:eastAsia="lv-LV"/>
              </w:rPr>
              <w:t>16. - 18.punkts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258"/>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7.daļa</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F05A94">
            <w:pPr>
              <w:spacing w:before="75" w:after="75" w:line="240" w:lineRule="auto"/>
              <w:rPr>
                <w:rFonts w:eastAsia="Times New Roman"/>
                <w:sz w:val="28"/>
                <w:szCs w:val="28"/>
                <w:lang w:eastAsia="lv-LV"/>
              </w:rPr>
            </w:pPr>
            <w:r w:rsidRPr="00DB5037">
              <w:rPr>
                <w:rFonts w:eastAsia="Times New Roman"/>
                <w:sz w:val="28"/>
                <w:szCs w:val="28"/>
                <w:lang w:eastAsia="lv-LV"/>
              </w:rPr>
              <w:t>26., 27.punkts un 4.pielikums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434"/>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7D5890" w:rsidRDefault="002351D9" w:rsidP="00375028">
            <w:pPr>
              <w:spacing w:before="75" w:after="75" w:line="240" w:lineRule="auto"/>
              <w:rPr>
                <w:rFonts w:eastAsia="Times New Roman"/>
                <w:sz w:val="28"/>
                <w:szCs w:val="28"/>
                <w:lang w:eastAsia="lv-LV"/>
              </w:rPr>
            </w:pPr>
            <w:r w:rsidRPr="007D5890">
              <w:rPr>
                <w:sz w:val="28"/>
                <w:szCs w:val="28"/>
              </w:rPr>
              <w:t>VII pielikuma 8.daļas 1.punkts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7D5890" w:rsidRDefault="002351D9" w:rsidP="00572625">
            <w:pPr>
              <w:spacing w:before="75" w:after="75" w:line="240" w:lineRule="auto"/>
              <w:rPr>
                <w:rFonts w:eastAsia="Times New Roman"/>
                <w:sz w:val="28"/>
                <w:szCs w:val="28"/>
                <w:lang w:eastAsia="lv-LV"/>
              </w:rPr>
            </w:pPr>
            <w:r w:rsidRPr="007D5890">
              <w:rPr>
                <w:rFonts w:eastAsia="Times New Roman"/>
                <w:sz w:val="28"/>
                <w:szCs w:val="28"/>
                <w:lang w:eastAsia="lv-LV"/>
              </w:rPr>
              <w:t>2</w:t>
            </w:r>
            <w:r w:rsidR="00572625" w:rsidRPr="007D5890">
              <w:rPr>
                <w:rFonts w:eastAsia="Times New Roman"/>
                <w:sz w:val="28"/>
                <w:szCs w:val="28"/>
                <w:lang w:eastAsia="lv-LV"/>
              </w:rPr>
              <w:t>1</w:t>
            </w:r>
            <w:r w:rsidRPr="007D5890">
              <w:rPr>
                <w:rFonts w:eastAsia="Times New Roman"/>
                <w:sz w:val="28"/>
                <w:szCs w:val="28"/>
                <w:lang w:eastAsia="lv-LV"/>
              </w:rPr>
              <w:t>.punkts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7D5890" w:rsidRDefault="002351D9">
            <w:pPr>
              <w:rPr>
                <w:sz w:val="28"/>
                <w:szCs w:val="28"/>
              </w:rPr>
            </w:pPr>
            <w:r w:rsidRPr="007D5890">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434"/>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7D5890" w:rsidRDefault="002351D9" w:rsidP="00375028">
            <w:pPr>
              <w:spacing w:before="75" w:after="75" w:line="240" w:lineRule="auto"/>
              <w:rPr>
                <w:rFonts w:eastAsia="Times New Roman"/>
                <w:sz w:val="28"/>
                <w:szCs w:val="28"/>
                <w:lang w:eastAsia="lv-LV"/>
              </w:rPr>
            </w:pPr>
            <w:r w:rsidRPr="007D5890">
              <w:rPr>
                <w:sz w:val="28"/>
                <w:szCs w:val="28"/>
              </w:rPr>
              <w:t>VII pielikuma 8.daļas 2.punkts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7D5890" w:rsidRDefault="002351D9" w:rsidP="00572625">
            <w:pPr>
              <w:spacing w:before="75" w:after="75" w:line="240" w:lineRule="auto"/>
              <w:rPr>
                <w:rFonts w:eastAsia="Times New Roman"/>
                <w:sz w:val="28"/>
                <w:szCs w:val="28"/>
                <w:lang w:eastAsia="lv-LV"/>
              </w:rPr>
            </w:pPr>
            <w:r w:rsidRPr="007D5890">
              <w:rPr>
                <w:rFonts w:eastAsia="Times New Roman"/>
                <w:sz w:val="28"/>
                <w:szCs w:val="28"/>
                <w:lang w:eastAsia="lv-LV"/>
              </w:rPr>
              <w:t>2</w:t>
            </w:r>
            <w:r w:rsidR="00572625" w:rsidRPr="007D5890">
              <w:rPr>
                <w:rFonts w:eastAsia="Times New Roman"/>
                <w:sz w:val="28"/>
                <w:szCs w:val="28"/>
                <w:lang w:eastAsia="lv-LV"/>
              </w:rPr>
              <w:t>2</w:t>
            </w:r>
            <w:r w:rsidRPr="007D5890">
              <w:rPr>
                <w:rFonts w:eastAsia="Times New Roman"/>
                <w:sz w:val="28"/>
                <w:szCs w:val="28"/>
                <w:lang w:eastAsia="lv-LV"/>
              </w:rPr>
              <w:t>.punkts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7D5890" w:rsidRDefault="002351D9">
            <w:pPr>
              <w:rPr>
                <w:sz w:val="28"/>
                <w:szCs w:val="28"/>
              </w:rPr>
            </w:pPr>
            <w:r w:rsidRPr="007D5890">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434"/>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7D5890" w:rsidRDefault="002351D9" w:rsidP="00375028">
            <w:pPr>
              <w:spacing w:before="75" w:after="75" w:line="240" w:lineRule="auto"/>
              <w:rPr>
                <w:rFonts w:eastAsia="Times New Roman"/>
                <w:sz w:val="28"/>
                <w:szCs w:val="28"/>
                <w:lang w:eastAsia="lv-LV"/>
              </w:rPr>
            </w:pPr>
            <w:r w:rsidRPr="007D5890">
              <w:rPr>
                <w:sz w:val="28"/>
                <w:szCs w:val="28"/>
              </w:rPr>
              <w:t>VII pielikuma 8.daļas 3.punkts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7D5890" w:rsidRDefault="002351D9" w:rsidP="00B30CCA">
            <w:pPr>
              <w:spacing w:before="75" w:after="75" w:line="240" w:lineRule="auto"/>
              <w:rPr>
                <w:rFonts w:eastAsia="Times New Roman"/>
                <w:sz w:val="28"/>
                <w:szCs w:val="28"/>
                <w:lang w:eastAsia="lv-LV"/>
              </w:rPr>
            </w:pPr>
            <w:r w:rsidRPr="007D5890">
              <w:rPr>
                <w:rFonts w:eastAsia="Times New Roman"/>
                <w:sz w:val="28"/>
                <w:szCs w:val="28"/>
                <w:lang w:eastAsia="lv-LV"/>
              </w:rPr>
              <w:t>24., 25.punkts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7D5890" w:rsidRDefault="002351D9">
            <w:pPr>
              <w:rPr>
                <w:sz w:val="28"/>
                <w:szCs w:val="28"/>
              </w:rPr>
            </w:pPr>
            <w:r w:rsidRPr="007D5890">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2351D9" w:rsidRPr="00DB5037" w:rsidTr="00C81523">
        <w:trPr>
          <w:trHeight w:val="434"/>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2351D9" w:rsidRPr="00DB5037" w:rsidRDefault="002351D9" w:rsidP="00375028">
            <w:pPr>
              <w:spacing w:before="75" w:after="75" w:line="240" w:lineRule="auto"/>
              <w:rPr>
                <w:rFonts w:eastAsia="Times New Roman"/>
                <w:sz w:val="28"/>
                <w:szCs w:val="28"/>
                <w:lang w:eastAsia="lv-LV"/>
              </w:rPr>
            </w:pPr>
            <w:r w:rsidRPr="00DB5037">
              <w:rPr>
                <w:sz w:val="28"/>
                <w:szCs w:val="28"/>
              </w:rPr>
              <w:t>VII pielikuma 8.daļas 4.punkts</w:t>
            </w:r>
          </w:p>
        </w:tc>
        <w:tc>
          <w:tcPr>
            <w:tcW w:w="1085" w:type="pct"/>
            <w:tcBorders>
              <w:top w:val="outset" w:sz="6" w:space="0" w:color="auto"/>
              <w:left w:val="outset" w:sz="6" w:space="0" w:color="auto"/>
              <w:bottom w:val="outset" w:sz="6" w:space="0" w:color="auto"/>
              <w:right w:val="outset" w:sz="6" w:space="0" w:color="auto"/>
            </w:tcBorders>
            <w:hideMark/>
          </w:tcPr>
          <w:p w:rsidR="002351D9" w:rsidRPr="00DB5037" w:rsidRDefault="002351D9" w:rsidP="00B30CCA">
            <w:pPr>
              <w:spacing w:before="75" w:after="75" w:line="240" w:lineRule="auto"/>
              <w:rPr>
                <w:rFonts w:eastAsia="Times New Roman"/>
                <w:sz w:val="28"/>
                <w:szCs w:val="28"/>
                <w:lang w:eastAsia="lv-LV"/>
              </w:rPr>
            </w:pPr>
            <w:r w:rsidRPr="00DB5037">
              <w:rPr>
                <w:rFonts w:eastAsia="Times New Roman"/>
                <w:sz w:val="28"/>
                <w:szCs w:val="28"/>
                <w:lang w:eastAsia="lv-LV"/>
              </w:rPr>
              <w:t>23.punkts</w:t>
            </w:r>
          </w:p>
        </w:tc>
        <w:tc>
          <w:tcPr>
            <w:tcW w:w="1021"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pārņemts pilnībā</w:t>
            </w:r>
          </w:p>
        </w:tc>
        <w:tc>
          <w:tcPr>
            <w:tcW w:w="1509" w:type="pct"/>
            <w:tcBorders>
              <w:top w:val="outset" w:sz="6" w:space="0" w:color="auto"/>
              <w:left w:val="outset" w:sz="6" w:space="0" w:color="auto"/>
              <w:bottom w:val="outset" w:sz="6" w:space="0" w:color="auto"/>
              <w:right w:val="outset" w:sz="6" w:space="0" w:color="auto"/>
            </w:tcBorders>
            <w:hideMark/>
          </w:tcPr>
          <w:p w:rsidR="002351D9" w:rsidRPr="00DB5037" w:rsidRDefault="002351D9">
            <w:pPr>
              <w:rPr>
                <w:sz w:val="28"/>
                <w:szCs w:val="28"/>
              </w:rPr>
            </w:pPr>
            <w:r w:rsidRPr="00DB5037">
              <w:rPr>
                <w:rFonts w:eastAsia="Times New Roman"/>
                <w:sz w:val="28"/>
                <w:szCs w:val="28"/>
                <w:lang w:eastAsia="lv-LV"/>
              </w:rPr>
              <w:t>neparedz stingrākas prasības</w:t>
            </w:r>
          </w:p>
        </w:tc>
      </w:tr>
      <w:tr w:rsidR="00B30CCA" w:rsidRPr="00DB5037" w:rsidTr="00C81523">
        <w:trPr>
          <w:trHeight w:val="281"/>
          <w:tblCellSpacing w:w="0" w:type="dxa"/>
        </w:trPr>
        <w:tc>
          <w:tcPr>
            <w:tcW w:w="1386"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Kā ir izmantota ES tiesību aktā paredzētā rīcības brīvība dalībvalstij pārņemt vai ieviest noteiktas ES tiesību akta normas.</w:t>
            </w:r>
          </w:p>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Kādēļ?</w:t>
            </w:r>
          </w:p>
        </w:tc>
        <w:tc>
          <w:tcPr>
            <w:tcW w:w="3614" w:type="pct"/>
            <w:gridSpan w:val="3"/>
            <w:tcBorders>
              <w:top w:val="outset" w:sz="6" w:space="0" w:color="auto"/>
              <w:left w:val="outset" w:sz="6" w:space="0" w:color="auto"/>
              <w:bottom w:val="outset" w:sz="6" w:space="0" w:color="auto"/>
              <w:right w:val="outset" w:sz="6" w:space="0" w:color="auto"/>
            </w:tcBorders>
            <w:hideMark/>
          </w:tcPr>
          <w:p w:rsidR="00DE4861" w:rsidRPr="00DB5037" w:rsidRDefault="00B30CCA" w:rsidP="00DE4861">
            <w:pPr>
              <w:spacing w:before="75" w:after="75" w:line="240" w:lineRule="auto"/>
              <w:rPr>
                <w:rFonts w:eastAsia="Times New Roman"/>
                <w:sz w:val="28"/>
                <w:szCs w:val="28"/>
                <w:lang w:eastAsia="lv-LV"/>
              </w:rPr>
            </w:pPr>
            <w:r w:rsidRPr="00DB5037">
              <w:rPr>
                <w:rFonts w:eastAsia="Times New Roman"/>
                <w:sz w:val="28"/>
                <w:szCs w:val="28"/>
                <w:lang w:eastAsia="lv-LV"/>
              </w:rPr>
              <w:t> </w:t>
            </w:r>
            <w:r w:rsidR="00DE4861" w:rsidRPr="00DB5037">
              <w:rPr>
                <w:rFonts w:eastAsia="Times New Roman"/>
                <w:sz w:val="28"/>
                <w:szCs w:val="28"/>
                <w:lang w:eastAsia="lv-LV"/>
              </w:rPr>
              <w:t>Noteikumu projektā nav pārņemt</w:t>
            </w:r>
            <w:r w:rsidR="00947B40" w:rsidRPr="00DB5037">
              <w:rPr>
                <w:rFonts w:eastAsia="Times New Roman"/>
                <w:sz w:val="28"/>
                <w:szCs w:val="28"/>
                <w:lang w:eastAsia="lv-LV"/>
              </w:rPr>
              <w:t>as direktīvā iekļautās izvēles normas -</w:t>
            </w:r>
            <w:r w:rsidR="00DE4861" w:rsidRPr="00DB5037">
              <w:rPr>
                <w:rFonts w:eastAsia="Times New Roman"/>
                <w:sz w:val="28"/>
                <w:szCs w:val="28"/>
                <w:lang w:eastAsia="lv-LV"/>
              </w:rPr>
              <w:t xml:space="preserve"> 59.panta 2., 3. un 4.punkts</w:t>
            </w:r>
            <w:r w:rsidR="00947B40" w:rsidRPr="00DB5037">
              <w:rPr>
                <w:rFonts w:eastAsia="Times New Roman"/>
                <w:sz w:val="28"/>
                <w:szCs w:val="28"/>
                <w:lang w:eastAsia="lv-LV"/>
              </w:rPr>
              <w:t>.</w:t>
            </w:r>
          </w:p>
          <w:p w:rsidR="00B30CCA" w:rsidRPr="00DB5037" w:rsidRDefault="00483A9F" w:rsidP="00C40ABF">
            <w:pPr>
              <w:spacing w:before="75" w:after="75" w:line="240" w:lineRule="auto"/>
              <w:rPr>
                <w:rFonts w:eastAsia="Times New Roman"/>
                <w:sz w:val="28"/>
                <w:szCs w:val="28"/>
                <w:lang w:eastAsia="lv-LV"/>
              </w:rPr>
            </w:pPr>
            <w:r w:rsidRPr="00DB5037">
              <w:rPr>
                <w:rFonts w:eastAsia="Times New Roman"/>
                <w:sz w:val="28"/>
                <w:szCs w:val="28"/>
                <w:lang w:eastAsia="lv-LV"/>
              </w:rPr>
              <w:t>Lai novērstu iespējamo kaitējumu cilvēku veselībai un videi un lai visiem operatoriem būtu vienādas prasības, kā arī atvieglotu darbu kontrolējošajai iestādei nolemts La</w:t>
            </w:r>
            <w:r w:rsidRPr="007D5890">
              <w:rPr>
                <w:rFonts w:eastAsia="Times New Roman"/>
                <w:sz w:val="28"/>
                <w:szCs w:val="28"/>
                <w:lang w:eastAsia="lv-LV"/>
              </w:rPr>
              <w:t xml:space="preserve">tvijas </w:t>
            </w:r>
            <w:r w:rsidR="00C40ABF" w:rsidRPr="007D5890">
              <w:rPr>
                <w:rFonts w:eastAsia="Times New Roman"/>
                <w:sz w:val="28"/>
                <w:szCs w:val="28"/>
                <w:lang w:eastAsia="lv-LV"/>
              </w:rPr>
              <w:t>normatīvajos aktos</w:t>
            </w:r>
            <w:r w:rsidRPr="007D5890">
              <w:rPr>
                <w:rFonts w:eastAsia="Times New Roman"/>
                <w:sz w:val="28"/>
                <w:szCs w:val="28"/>
                <w:lang w:eastAsia="lv-LV"/>
              </w:rPr>
              <w:t xml:space="preserve"> neparedzēt </w:t>
            </w:r>
            <w:r w:rsidR="00D65358" w:rsidRPr="00DB5037">
              <w:rPr>
                <w:rFonts w:eastAsia="Times New Roman"/>
                <w:sz w:val="28"/>
                <w:szCs w:val="28"/>
                <w:lang w:eastAsia="lv-LV"/>
              </w:rPr>
              <w:t>direktīvas 59.pantā minētās</w:t>
            </w:r>
            <w:r w:rsidRPr="00DB5037">
              <w:rPr>
                <w:rFonts w:eastAsia="Times New Roman"/>
                <w:sz w:val="28"/>
                <w:szCs w:val="28"/>
                <w:lang w:eastAsia="lv-LV"/>
              </w:rPr>
              <w:t xml:space="preserve"> atkāpes.</w:t>
            </w:r>
            <w:r w:rsidR="00DE4861" w:rsidRPr="00DB5037">
              <w:rPr>
                <w:rFonts w:eastAsia="Times New Roman"/>
                <w:sz w:val="28"/>
                <w:szCs w:val="28"/>
                <w:lang w:eastAsia="lv-LV"/>
              </w:rPr>
              <w:t xml:space="preserve"> </w:t>
            </w:r>
          </w:p>
        </w:tc>
      </w:tr>
      <w:tr w:rsidR="00B30CCA" w:rsidRPr="00DB5037" w:rsidTr="00C81523">
        <w:trPr>
          <w:trHeight w:val="913"/>
          <w:tblCellSpacing w:w="0" w:type="dxa"/>
        </w:trPr>
        <w:tc>
          <w:tcPr>
            <w:tcW w:w="1386" w:type="pct"/>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4" w:type="pct"/>
            <w:gridSpan w:val="3"/>
            <w:tcBorders>
              <w:top w:val="outset" w:sz="6" w:space="0" w:color="auto"/>
              <w:left w:val="outset" w:sz="6" w:space="0" w:color="auto"/>
              <w:bottom w:val="outset" w:sz="6" w:space="0" w:color="auto"/>
              <w:right w:val="outset" w:sz="6" w:space="0" w:color="auto"/>
            </w:tcBorders>
            <w:hideMark/>
          </w:tcPr>
          <w:p w:rsidR="00B30CCA" w:rsidRPr="00087996" w:rsidRDefault="00B30CCA" w:rsidP="00145088">
            <w:pPr>
              <w:spacing w:before="75" w:after="75" w:line="240" w:lineRule="auto"/>
              <w:rPr>
                <w:rFonts w:eastAsia="Times New Roman"/>
                <w:sz w:val="28"/>
                <w:szCs w:val="28"/>
                <w:lang w:eastAsia="lv-LV"/>
              </w:rPr>
            </w:pPr>
            <w:r w:rsidRPr="00DB5037">
              <w:rPr>
                <w:rFonts w:eastAsia="Times New Roman"/>
                <w:sz w:val="28"/>
                <w:szCs w:val="28"/>
                <w:lang w:eastAsia="lv-LV"/>
              </w:rPr>
              <w:t> </w:t>
            </w:r>
            <w:r w:rsidR="00087996" w:rsidRPr="00087996">
              <w:rPr>
                <w:bCs/>
                <w:iCs/>
                <w:sz w:val="28"/>
                <w:szCs w:val="28"/>
              </w:rPr>
              <w:t>Projekts šo jomu neskar</w:t>
            </w:r>
          </w:p>
        </w:tc>
      </w:tr>
      <w:tr w:rsidR="00B30CCA" w:rsidRPr="00DB5037" w:rsidTr="00C81523">
        <w:trPr>
          <w:trHeight w:val="579"/>
          <w:tblCellSpacing w:w="0" w:type="dxa"/>
        </w:trPr>
        <w:tc>
          <w:tcPr>
            <w:tcW w:w="1386" w:type="pct"/>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3614" w:type="pct"/>
            <w:gridSpan w:val="3"/>
            <w:tcBorders>
              <w:top w:val="outset" w:sz="6" w:space="0" w:color="auto"/>
              <w:left w:val="outset" w:sz="6" w:space="0" w:color="auto"/>
              <w:bottom w:val="outset" w:sz="6" w:space="0" w:color="auto"/>
              <w:right w:val="outset" w:sz="6" w:space="0" w:color="auto"/>
            </w:tcBorders>
            <w:hideMark/>
          </w:tcPr>
          <w:p w:rsidR="00B30CCA" w:rsidRPr="00CF56AC" w:rsidRDefault="00B30CCA" w:rsidP="00145088">
            <w:pPr>
              <w:spacing w:before="75" w:after="75" w:line="240" w:lineRule="auto"/>
              <w:rPr>
                <w:sz w:val="28"/>
                <w:szCs w:val="28"/>
              </w:rPr>
            </w:pPr>
            <w:r w:rsidRPr="00DB5037">
              <w:rPr>
                <w:rFonts w:eastAsia="Times New Roman"/>
                <w:sz w:val="28"/>
                <w:szCs w:val="28"/>
                <w:lang w:eastAsia="lv-LV"/>
              </w:rPr>
              <w:t> </w:t>
            </w:r>
            <w:r w:rsidR="00145088" w:rsidRPr="00DB5037">
              <w:rPr>
                <w:rFonts w:eastAsia="Times New Roman"/>
                <w:sz w:val="28"/>
                <w:szCs w:val="28"/>
                <w:lang w:eastAsia="lv-LV"/>
              </w:rPr>
              <w:t xml:space="preserve">Pārējās Direktīvas </w:t>
            </w:r>
            <w:r w:rsidR="00145088" w:rsidRPr="00DB5037">
              <w:rPr>
                <w:sz w:val="28"/>
                <w:szCs w:val="28"/>
              </w:rPr>
              <w:t xml:space="preserve">2010/75/ES prasības tiks pārņemtas ar </w:t>
            </w:r>
            <w:r w:rsidR="00145088" w:rsidRPr="00CF56AC">
              <w:rPr>
                <w:sz w:val="28"/>
                <w:szCs w:val="28"/>
              </w:rPr>
              <w:t>šādiem normatīvajiem aktiem:</w:t>
            </w:r>
          </w:p>
          <w:p w:rsidR="00CF56AC" w:rsidRPr="00CF56AC" w:rsidRDefault="00CF56AC" w:rsidP="00CF56AC">
            <w:pPr>
              <w:spacing w:before="75" w:after="75" w:line="240" w:lineRule="auto"/>
              <w:jc w:val="both"/>
              <w:rPr>
                <w:sz w:val="28"/>
                <w:szCs w:val="28"/>
              </w:rPr>
            </w:pPr>
            <w:r w:rsidRPr="00CF56AC">
              <w:rPr>
                <w:sz w:val="28"/>
                <w:szCs w:val="28"/>
              </w:rPr>
              <w:t xml:space="preserve">1) grozījumi likumā „Par piesārņojumu” </w:t>
            </w:r>
            <w:r w:rsidRPr="00CF56AC">
              <w:rPr>
                <w:rFonts w:eastAsia="Times New Roman"/>
                <w:sz w:val="28"/>
                <w:szCs w:val="28"/>
                <w:lang w:eastAsia="lv-LV"/>
              </w:rPr>
              <w:t xml:space="preserve">(Izsludināti 03.05.2012. Valsts sekretāru sanāksmē, Protokols Nr.18, </w:t>
            </w:r>
            <w:r w:rsidRPr="00CF56AC">
              <w:rPr>
                <w:sz w:val="28"/>
                <w:szCs w:val="28"/>
              </w:rPr>
              <w:t>9.§);</w:t>
            </w:r>
          </w:p>
          <w:p w:rsidR="00CF56AC" w:rsidRPr="00CF56AC" w:rsidRDefault="00CF56AC" w:rsidP="00CF56AC">
            <w:pPr>
              <w:spacing w:before="75" w:after="75" w:line="240" w:lineRule="auto"/>
              <w:jc w:val="both"/>
              <w:rPr>
                <w:sz w:val="28"/>
                <w:szCs w:val="28"/>
              </w:rPr>
            </w:pPr>
            <w:r w:rsidRPr="00CF56AC">
              <w:rPr>
                <w:sz w:val="28"/>
                <w:szCs w:val="28"/>
              </w:rPr>
              <w:t xml:space="preserve">2) grozījumi </w:t>
            </w:r>
            <w:r w:rsidRPr="00CF56AC">
              <w:rPr>
                <w:rFonts w:eastAsia="Calibri"/>
                <w:sz w:val="28"/>
                <w:szCs w:val="28"/>
              </w:rPr>
              <w:t>Ministru kabineta 2010.gada 30.novembra noteikumos Nr.1082 „Kārtība, kādā piesakāmas A, B un C kategorijas piesārņojošas darbības un izsniedzamas atļaujas A un B kategorijas piesārņojošo darbību veikšanai” (</w:t>
            </w:r>
            <w:r w:rsidRPr="00CF56AC">
              <w:rPr>
                <w:bCs/>
                <w:sz w:val="28"/>
                <w:szCs w:val="28"/>
              </w:rPr>
              <w:t>noteikumu projekts ir izstrādes stadijā un to plānots 2012.gadā izsludināt Valsts sekretāru sanāksmē)</w:t>
            </w:r>
            <w:r w:rsidRPr="00CF56AC">
              <w:rPr>
                <w:sz w:val="28"/>
                <w:szCs w:val="28"/>
              </w:rPr>
              <w:t>;</w:t>
            </w:r>
          </w:p>
          <w:p w:rsidR="00CF56AC" w:rsidRPr="00CF56AC" w:rsidRDefault="00CF56AC" w:rsidP="00CF56AC">
            <w:pPr>
              <w:spacing w:before="75" w:after="75" w:line="240" w:lineRule="auto"/>
              <w:jc w:val="both"/>
              <w:rPr>
                <w:bCs/>
                <w:sz w:val="28"/>
                <w:szCs w:val="28"/>
              </w:rPr>
            </w:pPr>
            <w:r w:rsidRPr="00CF56AC">
              <w:rPr>
                <w:bCs/>
                <w:sz w:val="28"/>
                <w:szCs w:val="28"/>
              </w:rPr>
              <w:t xml:space="preserve">3) grozījumi </w:t>
            </w:r>
            <w:r w:rsidRPr="00CF56AC">
              <w:rPr>
                <w:rStyle w:val="Strong"/>
                <w:b w:val="0"/>
                <w:sz w:val="28"/>
                <w:szCs w:val="28"/>
              </w:rPr>
              <w:t xml:space="preserve">Ministru kabineta 2011.gada 24.maija noteikumos Nr.401 „Prasības atkritumu sadedzināšanai un atkritumu sadedzināšanas iekārtu darbībai”” (pieņemts ar </w:t>
            </w:r>
            <w:r w:rsidRPr="00CF56AC">
              <w:rPr>
                <w:rFonts w:eastAsia="Times New Roman"/>
                <w:sz w:val="28"/>
                <w:szCs w:val="28"/>
              </w:rPr>
              <w:t xml:space="preserve">2012.gada 2.oktobra </w:t>
            </w:r>
            <w:r w:rsidRPr="00CF56AC">
              <w:rPr>
                <w:rFonts w:eastAsia="Times New Roman"/>
                <w:bCs/>
                <w:sz w:val="28"/>
                <w:szCs w:val="28"/>
              </w:rPr>
              <w:t>Ministru kabineta noteikumiem Nr.676 „</w:t>
            </w:r>
            <w:r w:rsidRPr="00CF56AC">
              <w:rPr>
                <w:bCs/>
                <w:sz w:val="28"/>
                <w:szCs w:val="28"/>
              </w:rPr>
              <w:t xml:space="preserve">Grozījumi Ministru kabineta 2011.gada 24.maija noteikumos Nr.401 „Prasības atkritumu sadedzināšanai un </w:t>
            </w:r>
            <w:r w:rsidRPr="00CF56AC">
              <w:rPr>
                <w:bCs/>
                <w:sz w:val="28"/>
                <w:szCs w:val="28"/>
              </w:rPr>
              <w:lastRenderedPageBreak/>
              <w:t>atkritumu sadedzināšanas iekārtu darbībai”).</w:t>
            </w:r>
          </w:p>
          <w:p w:rsidR="00145088" w:rsidRPr="00DB5037" w:rsidRDefault="00145088" w:rsidP="00CF56AC">
            <w:pPr>
              <w:spacing w:before="75" w:after="75" w:line="240" w:lineRule="auto"/>
              <w:jc w:val="both"/>
              <w:rPr>
                <w:sz w:val="28"/>
                <w:szCs w:val="28"/>
              </w:rPr>
            </w:pPr>
            <w:r w:rsidRPr="00CF56AC">
              <w:rPr>
                <w:rFonts w:eastAsia="Calibri"/>
                <w:sz w:val="28"/>
                <w:szCs w:val="28"/>
              </w:rPr>
              <w:t>4) Ministru kabineta noteikumu projekts „Kārtība, kādā novēršama, ierobežojama un kontrolējama gaisu piesārņojošo vielu emisija no sadedzināšanas iekārtām”</w:t>
            </w:r>
            <w:r w:rsidR="00CF56AC" w:rsidRPr="00CF56AC">
              <w:rPr>
                <w:rFonts w:eastAsia="Calibri"/>
                <w:sz w:val="28"/>
                <w:szCs w:val="28"/>
              </w:rPr>
              <w:t xml:space="preserve"> (</w:t>
            </w:r>
            <w:r w:rsidR="00CF56AC" w:rsidRPr="00CF56AC">
              <w:rPr>
                <w:bCs/>
                <w:sz w:val="28"/>
                <w:szCs w:val="28"/>
              </w:rPr>
              <w:t>tiks izsludināts Valsts sekretāru sanāksmē vienlaicīgi ar šo noteikumu projektu).</w:t>
            </w:r>
          </w:p>
        </w:tc>
      </w:tr>
    </w:tbl>
    <w:p w:rsidR="00B30CCA" w:rsidRPr="00DB5037" w:rsidRDefault="00B30CCA" w:rsidP="00B30CCA">
      <w:pPr>
        <w:spacing w:before="75" w:after="75" w:line="240" w:lineRule="auto"/>
        <w:ind w:firstLine="375"/>
        <w:jc w:val="both"/>
        <w:rPr>
          <w:rFonts w:eastAsia="Times New Roman"/>
          <w:sz w:val="28"/>
          <w:szCs w:val="28"/>
          <w:lang w:eastAsia="lv-LV"/>
        </w:rPr>
      </w:pPr>
      <w:r w:rsidRPr="00DB5037">
        <w:rPr>
          <w:rFonts w:eastAsia="Times New Roman"/>
          <w:sz w:val="28"/>
          <w:szCs w:val="28"/>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1843"/>
        <w:gridCol w:w="2126"/>
        <w:gridCol w:w="2140"/>
      </w:tblGrid>
      <w:tr w:rsidR="00B30CCA" w:rsidRPr="00DB5037" w:rsidTr="00CD1DB9">
        <w:trPr>
          <w:trHeight w:val="792"/>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 2.tabula</w:t>
            </w:r>
          </w:p>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Ar tiesību akta projektu uzņemtās saistības, kas izriet no starptautiskajiem tiesību aktiem vai starptautiskas institūcijas vai organizācijas dokumentiem</w:t>
            </w:r>
          </w:p>
          <w:p w:rsidR="00B30CCA" w:rsidRPr="00DB5037" w:rsidRDefault="00B30CCA" w:rsidP="00B30CCA">
            <w:pPr>
              <w:spacing w:before="150" w:after="150" w:line="240" w:lineRule="auto"/>
              <w:jc w:val="center"/>
              <w:rPr>
                <w:rFonts w:eastAsia="Times New Roman"/>
                <w:b/>
                <w:bCs/>
                <w:sz w:val="28"/>
                <w:szCs w:val="28"/>
                <w:lang w:eastAsia="lv-LV"/>
              </w:rPr>
            </w:pPr>
            <w:r w:rsidRPr="00DB5037">
              <w:rPr>
                <w:rFonts w:eastAsia="Times New Roman"/>
                <w:b/>
                <w:bCs/>
                <w:sz w:val="28"/>
                <w:szCs w:val="28"/>
                <w:lang w:eastAsia="lv-LV"/>
              </w:rPr>
              <w:t>Pasākumi šo saistību izpildei</w:t>
            </w:r>
          </w:p>
        </w:tc>
      </w:tr>
      <w:tr w:rsidR="00B30CCA" w:rsidRPr="00DB5037" w:rsidTr="00E676AA">
        <w:trPr>
          <w:trHeight w:val="547"/>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Attiecīgā starptautiskā tiesību akta vai starptautiskas institūcijas vai organizācijas dokumenta (turpmāk – starptautiskais dokuments) datums, numurs un nosaukums</w:t>
            </w:r>
          </w:p>
        </w:tc>
        <w:tc>
          <w:tcPr>
            <w:tcW w:w="6109" w:type="dxa"/>
            <w:gridSpan w:val="3"/>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w:t>
            </w:r>
            <w:r w:rsidR="00445DEB" w:rsidRPr="00DB5037">
              <w:rPr>
                <w:sz w:val="28"/>
                <w:szCs w:val="28"/>
              </w:rPr>
              <w:t xml:space="preserve">1979.gada Ženēvas Konvencija „Par robežšķērsojošo gaisa piesārņošanu lielos attālumos samazināšanu un ierobežošanu” un tās 1999.gada Gēteborgas protokols </w:t>
            </w:r>
            <w:r w:rsidR="00445DEB" w:rsidRPr="00DB5037">
              <w:rPr>
                <w:rFonts w:eastAsia="Times New Roman"/>
                <w:sz w:val="28"/>
                <w:szCs w:val="28"/>
                <w:lang w:eastAsia="lv-LV"/>
              </w:rPr>
              <w:t xml:space="preserve">“Par paskābināšanas, eitrofikācijas un </w:t>
            </w:r>
            <w:proofErr w:type="spellStart"/>
            <w:r w:rsidR="00445DEB" w:rsidRPr="00DB5037">
              <w:rPr>
                <w:rFonts w:eastAsia="Times New Roman"/>
                <w:sz w:val="28"/>
                <w:szCs w:val="28"/>
                <w:lang w:eastAsia="lv-LV"/>
              </w:rPr>
              <w:t>piezemes</w:t>
            </w:r>
            <w:proofErr w:type="spellEnd"/>
            <w:r w:rsidR="00445DEB" w:rsidRPr="00DB5037">
              <w:rPr>
                <w:rFonts w:eastAsia="Times New Roman"/>
                <w:sz w:val="28"/>
                <w:szCs w:val="28"/>
                <w:lang w:eastAsia="lv-LV"/>
              </w:rPr>
              <w:t xml:space="preserve"> ozona līmeņa samazināšanu”</w:t>
            </w:r>
            <w:r w:rsidR="00D663C9" w:rsidRPr="00DB5037">
              <w:rPr>
                <w:rFonts w:eastAsia="Times New Roman"/>
                <w:sz w:val="28"/>
                <w:szCs w:val="28"/>
                <w:lang w:eastAsia="lv-LV"/>
              </w:rPr>
              <w:t xml:space="preserve"> (turpmāk – protokols)</w:t>
            </w:r>
            <w:r w:rsidR="00445DEB" w:rsidRPr="00DB5037">
              <w:rPr>
                <w:rFonts w:eastAsia="Times New Roman"/>
                <w:sz w:val="28"/>
                <w:szCs w:val="28"/>
                <w:lang w:eastAsia="lv-LV"/>
              </w:rPr>
              <w:t>.</w:t>
            </w:r>
          </w:p>
        </w:tc>
      </w:tr>
      <w:tr w:rsidR="00B30CCA" w:rsidRPr="00DB5037" w:rsidTr="00CD1DB9">
        <w:trPr>
          <w:trHeight w:val="163"/>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3" w:lineRule="atLeast"/>
              <w:rPr>
                <w:rFonts w:eastAsia="Times New Roman"/>
                <w:sz w:val="28"/>
                <w:szCs w:val="28"/>
                <w:lang w:eastAsia="lv-LV"/>
              </w:rPr>
            </w:pPr>
            <w:r w:rsidRPr="00DB5037">
              <w:rPr>
                <w:rFonts w:eastAsia="Times New Roman"/>
                <w:sz w:val="28"/>
                <w:szCs w:val="28"/>
                <w:lang w:eastAsia="lv-LV"/>
              </w:rPr>
              <w:t>  </w:t>
            </w:r>
          </w:p>
        </w:tc>
      </w:tr>
      <w:tr w:rsidR="00B30CCA" w:rsidRPr="00DB5037" w:rsidTr="00E676AA">
        <w:trPr>
          <w:trHeight w:val="341"/>
          <w:tblCellSpacing w:w="0" w:type="dxa"/>
        </w:trPr>
        <w:tc>
          <w:tcPr>
            <w:tcW w:w="4835" w:type="dxa"/>
            <w:gridSpan w:val="2"/>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sz w:val="28"/>
                <w:szCs w:val="28"/>
                <w:lang w:eastAsia="lv-LV"/>
              </w:rPr>
              <w:t> A</w:t>
            </w:r>
          </w:p>
        </w:tc>
        <w:tc>
          <w:tcPr>
            <w:tcW w:w="2126" w:type="dxa"/>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sz w:val="28"/>
                <w:szCs w:val="28"/>
                <w:lang w:eastAsia="lv-LV"/>
              </w:rPr>
              <w:t> B</w:t>
            </w:r>
          </w:p>
        </w:tc>
        <w:tc>
          <w:tcPr>
            <w:tcW w:w="2140" w:type="dxa"/>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sz w:val="28"/>
                <w:szCs w:val="28"/>
                <w:lang w:eastAsia="lv-LV"/>
              </w:rPr>
              <w:t> C</w:t>
            </w:r>
          </w:p>
        </w:tc>
      </w:tr>
      <w:tr w:rsidR="00B30CCA" w:rsidRPr="00DB5037" w:rsidTr="00E676AA">
        <w:trPr>
          <w:trHeight w:val="688"/>
          <w:tblCellSpacing w:w="0" w:type="dxa"/>
        </w:trPr>
        <w:tc>
          <w:tcPr>
            <w:tcW w:w="4835" w:type="dxa"/>
            <w:gridSpan w:val="2"/>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Starptautiskās saistības (pēc būtības), kas izriet no norādītā starptautiskā dokumenta.</w:t>
            </w:r>
          </w:p>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w:t>
            </w:r>
          </w:p>
          <w:p w:rsidR="00B30CCA" w:rsidRPr="00DB5037" w:rsidRDefault="00B30CCA" w:rsidP="00B30CCA">
            <w:pPr>
              <w:spacing w:before="75" w:after="75" w:line="240" w:lineRule="auto"/>
              <w:rPr>
                <w:rFonts w:eastAsia="Times New Roman"/>
                <w:sz w:val="28"/>
                <w:szCs w:val="28"/>
                <w:lang w:eastAsia="lv-LV"/>
              </w:rPr>
            </w:pPr>
          </w:p>
        </w:tc>
        <w:tc>
          <w:tcPr>
            <w:tcW w:w="212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Ja pasākumi vai uzdevumi, ar ko tiks izpildītas starptautiskās saistības, tiek noteikti projektā, norāda attiecīgo projekta vienību.</w:t>
            </w:r>
          </w:p>
        </w:tc>
        <w:tc>
          <w:tcPr>
            <w:tcW w:w="2140"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Informācija par to, vai starptautiskās saistības, kas minētas šīs tabulas A ailē, tiek izpildītas pilnībā vai daļēji.</w:t>
            </w:r>
          </w:p>
          <w:p w:rsidR="00B30CCA" w:rsidRPr="00DB5037" w:rsidRDefault="00B30CCA" w:rsidP="00B30CCA">
            <w:pPr>
              <w:spacing w:before="75" w:after="75" w:line="240" w:lineRule="auto"/>
              <w:rPr>
                <w:rFonts w:eastAsia="Times New Roman"/>
                <w:sz w:val="28"/>
                <w:szCs w:val="28"/>
                <w:lang w:eastAsia="lv-LV"/>
              </w:rPr>
            </w:pPr>
          </w:p>
        </w:tc>
      </w:tr>
      <w:tr w:rsidR="00445DEB" w:rsidRPr="00DB5037" w:rsidTr="00E676AA">
        <w:trPr>
          <w:trHeight w:val="1425"/>
          <w:tblCellSpacing w:w="0" w:type="dxa"/>
        </w:trPr>
        <w:tc>
          <w:tcPr>
            <w:tcW w:w="4835" w:type="dxa"/>
            <w:gridSpan w:val="2"/>
            <w:tcBorders>
              <w:top w:val="outset" w:sz="6" w:space="0" w:color="auto"/>
              <w:left w:val="outset" w:sz="6" w:space="0" w:color="auto"/>
              <w:bottom w:val="outset" w:sz="6" w:space="0" w:color="auto"/>
              <w:right w:val="outset" w:sz="6" w:space="0" w:color="auto"/>
            </w:tcBorders>
            <w:hideMark/>
          </w:tcPr>
          <w:p w:rsidR="00CD1DB9" w:rsidRPr="00DB5037" w:rsidRDefault="00445DEB" w:rsidP="00CD1DB9">
            <w:pPr>
              <w:spacing w:before="75" w:after="75" w:line="240" w:lineRule="auto"/>
              <w:rPr>
                <w:rFonts w:eastAsia="Times New Roman"/>
                <w:sz w:val="28"/>
                <w:szCs w:val="28"/>
                <w:lang w:eastAsia="lv-LV"/>
              </w:rPr>
            </w:pPr>
            <w:r w:rsidRPr="00DB5037">
              <w:rPr>
                <w:rFonts w:eastAsia="Times New Roman"/>
                <w:sz w:val="28"/>
                <w:szCs w:val="28"/>
                <w:lang w:eastAsia="lv-LV"/>
              </w:rPr>
              <w:t>P</w:t>
            </w:r>
            <w:r w:rsidR="00CD1DB9" w:rsidRPr="00DB5037">
              <w:rPr>
                <w:rFonts w:eastAsia="Times New Roman"/>
                <w:sz w:val="28"/>
                <w:szCs w:val="28"/>
                <w:lang w:eastAsia="lv-LV"/>
              </w:rPr>
              <w:t>rotokols uzliek Latvijai šādus pienākumus:</w:t>
            </w:r>
          </w:p>
          <w:p w:rsidR="00CD1DB9" w:rsidRPr="00DB5037" w:rsidRDefault="00CD1DB9" w:rsidP="00CD1DB9">
            <w:pPr>
              <w:spacing w:before="75" w:after="75" w:line="240" w:lineRule="auto"/>
              <w:rPr>
                <w:rFonts w:eastAsia="Times New Roman"/>
                <w:sz w:val="28"/>
                <w:szCs w:val="28"/>
                <w:lang w:eastAsia="lv-LV"/>
              </w:rPr>
            </w:pPr>
            <w:r w:rsidRPr="00DB5037">
              <w:rPr>
                <w:rFonts w:eastAsia="Times New Roman"/>
                <w:sz w:val="28"/>
                <w:szCs w:val="28"/>
                <w:lang w:eastAsia="lv-LV"/>
              </w:rPr>
              <w:t xml:space="preserve">1) </w:t>
            </w:r>
            <w:r w:rsidR="00445DEB" w:rsidRPr="00DB5037">
              <w:rPr>
                <w:rFonts w:eastAsia="Times New Roman"/>
                <w:sz w:val="28"/>
                <w:szCs w:val="28"/>
                <w:lang w:eastAsia="lv-LV"/>
              </w:rPr>
              <w:t xml:space="preserve">pienākums </w:t>
            </w:r>
            <w:r w:rsidRPr="00DB5037">
              <w:rPr>
                <w:rFonts w:eastAsia="Times New Roman"/>
                <w:sz w:val="28"/>
                <w:szCs w:val="28"/>
                <w:lang w:eastAsia="lv-LV"/>
              </w:rPr>
              <w:t xml:space="preserve">veikt attiecīgus pasākumus, lai Latvija pēc 2010.gada nepārsniegtu </w:t>
            </w:r>
            <w:r w:rsidR="00445DEB" w:rsidRPr="00DB5037">
              <w:rPr>
                <w:rFonts w:eastAsia="Times New Roman"/>
                <w:sz w:val="28"/>
                <w:szCs w:val="28"/>
                <w:lang w:eastAsia="lv-LV"/>
              </w:rPr>
              <w:t xml:space="preserve">maksimāli pieļaujamo </w:t>
            </w:r>
            <w:r w:rsidRPr="00DB5037">
              <w:rPr>
                <w:rFonts w:eastAsia="Times New Roman"/>
                <w:sz w:val="28"/>
                <w:szCs w:val="28"/>
                <w:lang w:eastAsia="lv-LV"/>
              </w:rPr>
              <w:t>gaistošo organisko</w:t>
            </w:r>
            <w:r w:rsidR="00445DEB" w:rsidRPr="00DB5037">
              <w:rPr>
                <w:rFonts w:eastAsia="Times New Roman"/>
                <w:sz w:val="28"/>
                <w:szCs w:val="28"/>
                <w:lang w:eastAsia="lv-LV"/>
              </w:rPr>
              <w:t xml:space="preserve"> emisiju valstī </w:t>
            </w:r>
            <w:r w:rsidR="00375DCD">
              <w:rPr>
                <w:rFonts w:eastAsia="Times New Roman"/>
                <w:sz w:val="28"/>
                <w:szCs w:val="28"/>
                <w:lang w:eastAsia="lv-LV"/>
              </w:rPr>
              <w:t xml:space="preserve">(protokola 3.pants un II </w:t>
            </w:r>
            <w:r w:rsidRPr="00DB5037">
              <w:rPr>
                <w:rFonts w:eastAsia="Times New Roman"/>
                <w:sz w:val="28"/>
                <w:szCs w:val="28"/>
                <w:lang w:eastAsia="lv-LV"/>
              </w:rPr>
              <w:lastRenderedPageBreak/>
              <w:t>pielikuma (4.tabula));</w:t>
            </w:r>
          </w:p>
          <w:p w:rsidR="00CD1DB9" w:rsidRPr="00DB5037" w:rsidRDefault="00CD1DB9" w:rsidP="00CD1DB9">
            <w:pPr>
              <w:spacing w:before="75" w:after="75" w:line="240" w:lineRule="auto"/>
              <w:rPr>
                <w:rFonts w:eastAsia="Times New Roman"/>
                <w:sz w:val="28"/>
                <w:szCs w:val="28"/>
                <w:lang w:eastAsia="lv-LV"/>
              </w:rPr>
            </w:pPr>
            <w:r w:rsidRPr="00DB5037">
              <w:rPr>
                <w:rFonts w:eastAsia="Times New Roman"/>
                <w:sz w:val="28"/>
                <w:szCs w:val="28"/>
                <w:lang w:eastAsia="lv-LV"/>
              </w:rPr>
              <w:t>2)</w:t>
            </w:r>
            <w:r w:rsidR="00E878C4" w:rsidRPr="00DB5037">
              <w:rPr>
                <w:rFonts w:eastAsia="Times New Roman"/>
                <w:sz w:val="28"/>
                <w:szCs w:val="28"/>
                <w:lang w:eastAsia="lv-LV"/>
              </w:rPr>
              <w:t xml:space="preserve"> pienākums</w:t>
            </w:r>
            <w:r w:rsidRPr="00DB5037">
              <w:rPr>
                <w:rFonts w:eastAsia="Times New Roman"/>
                <w:sz w:val="28"/>
                <w:szCs w:val="28"/>
                <w:lang w:eastAsia="lv-LV"/>
              </w:rPr>
              <w:t xml:space="preserve"> noteikt prasības, kas jāievēro iekārtām, kurās izmanto organiskos šķīdinātājus, lai samazinātu to radīto gaistošo organisko savienojumu emisiju gaisā (3.pants un VI pielikums);</w:t>
            </w:r>
          </w:p>
          <w:p w:rsidR="00445DEB" w:rsidRPr="00DB5037" w:rsidRDefault="00CD1DB9" w:rsidP="00B30CCA">
            <w:pPr>
              <w:spacing w:before="75" w:after="75" w:line="240" w:lineRule="auto"/>
              <w:rPr>
                <w:rFonts w:eastAsia="Times New Roman"/>
                <w:sz w:val="28"/>
                <w:szCs w:val="28"/>
                <w:lang w:eastAsia="lv-LV"/>
              </w:rPr>
            </w:pPr>
            <w:r w:rsidRPr="00DB5037">
              <w:rPr>
                <w:rFonts w:eastAsia="Times New Roman"/>
                <w:sz w:val="28"/>
                <w:szCs w:val="28"/>
                <w:lang w:eastAsia="lv-LV"/>
              </w:rPr>
              <w:t>3) pienākums sniegt informāciju par šī protokola ieviešanas pasākumiem (7.pants).</w:t>
            </w:r>
          </w:p>
        </w:tc>
        <w:tc>
          <w:tcPr>
            <w:tcW w:w="2126" w:type="dxa"/>
            <w:tcBorders>
              <w:top w:val="outset" w:sz="6" w:space="0" w:color="auto"/>
              <w:left w:val="outset" w:sz="6" w:space="0" w:color="auto"/>
              <w:bottom w:val="outset" w:sz="6" w:space="0" w:color="auto"/>
              <w:right w:val="outset" w:sz="6" w:space="0" w:color="auto"/>
            </w:tcBorders>
            <w:hideMark/>
          </w:tcPr>
          <w:p w:rsidR="00445DEB" w:rsidRPr="00DB5037" w:rsidRDefault="006F4A20"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Izstrādātais noteikumu projekts palīdz izpildīt protokolā noteiktos pienākumus</w:t>
            </w:r>
          </w:p>
        </w:tc>
        <w:tc>
          <w:tcPr>
            <w:tcW w:w="2140" w:type="dxa"/>
            <w:tcBorders>
              <w:top w:val="outset" w:sz="6" w:space="0" w:color="auto"/>
              <w:left w:val="outset" w:sz="6" w:space="0" w:color="auto"/>
              <w:bottom w:val="outset" w:sz="6" w:space="0" w:color="auto"/>
              <w:right w:val="outset" w:sz="6" w:space="0" w:color="auto"/>
            </w:tcBorders>
            <w:hideMark/>
          </w:tcPr>
          <w:p w:rsidR="00445DEB" w:rsidRPr="00DB5037" w:rsidRDefault="003A35D0" w:rsidP="00B30CCA">
            <w:pPr>
              <w:spacing w:before="75" w:after="75" w:line="240" w:lineRule="auto"/>
              <w:rPr>
                <w:rFonts w:eastAsia="Times New Roman"/>
                <w:sz w:val="28"/>
                <w:szCs w:val="28"/>
                <w:lang w:eastAsia="lv-LV"/>
              </w:rPr>
            </w:pPr>
            <w:r w:rsidRPr="00DB5037">
              <w:rPr>
                <w:rFonts w:eastAsia="Times New Roman"/>
                <w:sz w:val="28"/>
                <w:szCs w:val="28"/>
                <w:lang w:eastAsia="lv-LV"/>
              </w:rPr>
              <w:t>Saistības izpildītas pilnībā</w:t>
            </w:r>
          </w:p>
        </w:tc>
      </w:tr>
      <w:tr w:rsidR="00B30CCA" w:rsidRPr="00DB5037" w:rsidTr="00E676AA">
        <w:trPr>
          <w:trHeight w:val="161"/>
          <w:tblCellSpacing w:w="0" w:type="dxa"/>
        </w:trPr>
        <w:tc>
          <w:tcPr>
            <w:tcW w:w="4835" w:type="dxa"/>
            <w:gridSpan w:val="2"/>
            <w:tcBorders>
              <w:top w:val="outset" w:sz="6" w:space="0" w:color="auto"/>
              <w:left w:val="outset" w:sz="6" w:space="0" w:color="auto"/>
              <w:bottom w:val="outset" w:sz="6" w:space="0" w:color="auto"/>
              <w:right w:val="outset" w:sz="6" w:space="0" w:color="auto"/>
            </w:tcBorders>
            <w:vAlign w:val="center"/>
            <w:hideMark/>
          </w:tcPr>
          <w:p w:rsidR="00B30CCA" w:rsidRPr="00DB5037" w:rsidRDefault="00B30CCA" w:rsidP="00B30CCA">
            <w:pPr>
              <w:spacing w:before="75" w:after="75" w:line="161" w:lineRule="atLeast"/>
              <w:rPr>
                <w:rFonts w:eastAsia="Times New Roman"/>
                <w:sz w:val="28"/>
                <w:szCs w:val="28"/>
                <w:lang w:eastAsia="lv-LV"/>
              </w:rPr>
            </w:pPr>
            <w:r w:rsidRPr="00DB5037">
              <w:rPr>
                <w:rFonts w:eastAsia="Times New Roman"/>
                <w:sz w:val="28"/>
                <w:szCs w:val="28"/>
                <w:lang w:eastAsia="lv-LV"/>
              </w:rPr>
              <w:lastRenderedPageBreak/>
              <w:t> Vai starptautiskajā dokumentā paredzētās saistības nav pretrunā ar jau esošajām Latvijas Republikas starptautiskajām saistībām</w:t>
            </w:r>
          </w:p>
        </w:tc>
        <w:tc>
          <w:tcPr>
            <w:tcW w:w="4266" w:type="dxa"/>
            <w:gridSpan w:val="2"/>
            <w:tcBorders>
              <w:top w:val="outset" w:sz="6" w:space="0" w:color="auto"/>
              <w:left w:val="outset" w:sz="6" w:space="0" w:color="auto"/>
              <w:bottom w:val="outset" w:sz="6" w:space="0" w:color="auto"/>
              <w:right w:val="outset" w:sz="6" w:space="0" w:color="auto"/>
            </w:tcBorders>
            <w:hideMark/>
          </w:tcPr>
          <w:p w:rsidR="00B30CCA" w:rsidRPr="00DB5037" w:rsidRDefault="00B30CCA" w:rsidP="003A35D0">
            <w:pPr>
              <w:spacing w:before="75" w:after="75" w:line="161" w:lineRule="atLeast"/>
              <w:rPr>
                <w:rFonts w:eastAsia="Times New Roman"/>
                <w:sz w:val="28"/>
                <w:szCs w:val="28"/>
                <w:lang w:eastAsia="lv-LV"/>
              </w:rPr>
            </w:pPr>
            <w:r w:rsidRPr="00DB5037">
              <w:rPr>
                <w:rFonts w:eastAsia="Times New Roman"/>
                <w:sz w:val="28"/>
                <w:szCs w:val="28"/>
                <w:lang w:eastAsia="lv-LV"/>
              </w:rPr>
              <w:t> </w:t>
            </w:r>
            <w:r w:rsidR="003A35D0" w:rsidRPr="00DB5037">
              <w:rPr>
                <w:rFonts w:eastAsia="Times New Roman"/>
                <w:sz w:val="28"/>
                <w:szCs w:val="28"/>
                <w:lang w:eastAsia="lv-LV"/>
              </w:rPr>
              <w:t>Nav pretrunā</w:t>
            </w:r>
          </w:p>
        </w:tc>
      </w:tr>
      <w:tr w:rsidR="00B30CCA" w:rsidRPr="00DB5037" w:rsidTr="00E676AA">
        <w:trPr>
          <w:trHeight w:val="709"/>
          <w:tblCellSpacing w:w="0" w:type="dxa"/>
        </w:trPr>
        <w:tc>
          <w:tcPr>
            <w:tcW w:w="4835" w:type="dxa"/>
            <w:gridSpan w:val="2"/>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4266" w:type="dxa"/>
            <w:gridSpan w:val="2"/>
            <w:tcBorders>
              <w:top w:val="outset" w:sz="6" w:space="0" w:color="auto"/>
              <w:left w:val="outset" w:sz="6" w:space="0" w:color="auto"/>
              <w:bottom w:val="outset" w:sz="6" w:space="0" w:color="auto"/>
              <w:right w:val="outset" w:sz="6" w:space="0" w:color="auto"/>
            </w:tcBorders>
            <w:hideMark/>
          </w:tcPr>
          <w:p w:rsidR="00B30CCA" w:rsidRPr="00DB5037" w:rsidRDefault="00B30CCA" w:rsidP="00E878C4">
            <w:pPr>
              <w:spacing w:before="75" w:after="75" w:line="240" w:lineRule="auto"/>
              <w:rPr>
                <w:rFonts w:eastAsia="Times New Roman"/>
                <w:sz w:val="28"/>
                <w:szCs w:val="28"/>
                <w:lang w:eastAsia="lv-LV"/>
              </w:rPr>
            </w:pPr>
            <w:r w:rsidRPr="00DB5037">
              <w:rPr>
                <w:rFonts w:eastAsia="Times New Roman"/>
                <w:sz w:val="28"/>
                <w:szCs w:val="28"/>
                <w:lang w:eastAsia="lv-LV"/>
              </w:rPr>
              <w:t> </w:t>
            </w:r>
            <w:r w:rsidR="00E878C4" w:rsidRPr="00DB5037">
              <w:rPr>
                <w:rFonts w:eastAsia="Times New Roman"/>
                <w:sz w:val="28"/>
                <w:szCs w:val="28"/>
                <w:lang w:eastAsia="lv-LV"/>
              </w:rPr>
              <w:t>Nav</w:t>
            </w:r>
          </w:p>
        </w:tc>
      </w:tr>
    </w:tbl>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3860"/>
        <w:gridCol w:w="4736"/>
      </w:tblGrid>
      <w:tr w:rsidR="00B30CCA" w:rsidRPr="00DB5037" w:rsidTr="00B30CCA">
        <w:trPr>
          <w:tblCellSpacing w:w="0" w:type="dxa"/>
        </w:trPr>
        <w:tc>
          <w:tcPr>
            <w:tcW w:w="10410" w:type="dxa"/>
            <w:gridSpan w:val="3"/>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b/>
                <w:bCs/>
                <w:sz w:val="28"/>
                <w:szCs w:val="28"/>
                <w:lang w:eastAsia="lv-LV"/>
              </w:rPr>
              <w:t> VI. Sabiedrības līdzdalība un šīs līdzdalības rezultāti</w:t>
            </w:r>
          </w:p>
        </w:tc>
      </w:tr>
      <w:tr w:rsidR="00B30CCA" w:rsidRPr="00DB5037" w:rsidTr="00B30CCA">
        <w:trPr>
          <w:trHeight w:val="55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00799D">
            <w:pPr>
              <w:spacing w:before="75" w:after="75" w:line="240" w:lineRule="auto"/>
              <w:jc w:val="both"/>
              <w:rPr>
                <w:sz w:val="28"/>
                <w:szCs w:val="28"/>
              </w:rPr>
            </w:pPr>
            <w:r w:rsidRPr="00DB5037">
              <w:rPr>
                <w:rFonts w:eastAsia="Times New Roman"/>
                <w:sz w:val="28"/>
                <w:szCs w:val="28"/>
                <w:lang w:eastAsia="lv-LV"/>
              </w:rPr>
              <w:t> </w:t>
            </w:r>
            <w:r w:rsidR="002D59D7" w:rsidRPr="00DB5037">
              <w:rPr>
                <w:sz w:val="28"/>
                <w:szCs w:val="28"/>
              </w:rPr>
              <w:t>Noteikumu projekts</w:t>
            </w:r>
            <w:r w:rsidR="00831CF9">
              <w:rPr>
                <w:sz w:val="28"/>
                <w:szCs w:val="28"/>
              </w:rPr>
              <w:t xml:space="preserve"> no 27.08.2012. – 22.10.2012.</w:t>
            </w:r>
            <w:r w:rsidR="0031501C" w:rsidRPr="00DB5037">
              <w:rPr>
                <w:sz w:val="28"/>
                <w:szCs w:val="28"/>
              </w:rPr>
              <w:t xml:space="preserve"> tika </w:t>
            </w:r>
            <w:r w:rsidR="002D59D7" w:rsidRPr="00DB5037">
              <w:rPr>
                <w:sz w:val="28"/>
                <w:szCs w:val="28"/>
              </w:rPr>
              <w:t xml:space="preserve">ievietots Vides aizsardzības un reģionālās attīstības ministrijas </w:t>
            </w:r>
            <w:proofErr w:type="spellStart"/>
            <w:r w:rsidR="002D59D7" w:rsidRPr="00DB5037">
              <w:rPr>
                <w:sz w:val="28"/>
                <w:szCs w:val="28"/>
              </w:rPr>
              <w:t>mājaslapā</w:t>
            </w:r>
            <w:proofErr w:type="spellEnd"/>
            <w:r w:rsidR="002D59D7" w:rsidRPr="00DB5037">
              <w:rPr>
                <w:sz w:val="28"/>
                <w:szCs w:val="28"/>
              </w:rPr>
              <w:t xml:space="preserve"> internetā </w:t>
            </w:r>
            <w:hyperlink r:id="rId9" w:history="1">
              <w:r w:rsidR="002D59D7" w:rsidRPr="00DB5037">
                <w:rPr>
                  <w:rStyle w:val="Hyperlink"/>
                  <w:sz w:val="28"/>
                  <w:szCs w:val="28"/>
                </w:rPr>
                <w:t>www.varam.gov.lv</w:t>
              </w:r>
            </w:hyperlink>
            <w:r w:rsidR="002D59D7" w:rsidRPr="00DB5037">
              <w:rPr>
                <w:sz w:val="28"/>
                <w:szCs w:val="28"/>
              </w:rPr>
              <w:t xml:space="preserve">.    </w:t>
            </w:r>
          </w:p>
        </w:tc>
      </w:tr>
      <w:tr w:rsidR="00B30CCA" w:rsidRPr="00DB5037" w:rsidTr="00B30CCA">
        <w:trPr>
          <w:trHeight w:val="339"/>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Sabiedrības līdzdalība projekta izstrādē</w:t>
            </w:r>
          </w:p>
        </w:tc>
        <w:tc>
          <w:tcPr>
            <w:tcW w:w="5355" w:type="dxa"/>
            <w:tcBorders>
              <w:top w:val="outset" w:sz="6" w:space="0" w:color="auto"/>
              <w:left w:val="outset" w:sz="6" w:space="0" w:color="auto"/>
              <w:bottom w:val="outset" w:sz="6" w:space="0" w:color="auto"/>
              <w:right w:val="outset" w:sz="6" w:space="0" w:color="auto"/>
            </w:tcBorders>
            <w:hideMark/>
          </w:tcPr>
          <w:p w:rsidR="00B30CCA" w:rsidRPr="00087996" w:rsidRDefault="00B30CCA" w:rsidP="004F7FE7">
            <w:pPr>
              <w:spacing w:before="75" w:after="75"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B30CCA">
        <w:trPr>
          <w:trHeight w:val="37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Sabiedrības līdzdalības rezultāti</w:t>
            </w:r>
          </w:p>
        </w:tc>
        <w:tc>
          <w:tcPr>
            <w:tcW w:w="5355" w:type="dxa"/>
            <w:tcBorders>
              <w:top w:val="outset" w:sz="6" w:space="0" w:color="auto"/>
              <w:left w:val="outset" w:sz="6" w:space="0" w:color="auto"/>
              <w:bottom w:val="outset" w:sz="6" w:space="0" w:color="auto"/>
              <w:right w:val="outset" w:sz="6" w:space="0" w:color="auto"/>
            </w:tcBorders>
            <w:hideMark/>
          </w:tcPr>
          <w:p w:rsidR="00B30CCA" w:rsidRPr="00087996" w:rsidRDefault="00B30CCA" w:rsidP="004F7FE7">
            <w:pPr>
              <w:spacing w:before="75" w:after="75"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B30CCA">
        <w:trPr>
          <w:trHeight w:val="39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Saeimas un ekspertu līdzdalība</w:t>
            </w:r>
          </w:p>
        </w:tc>
        <w:tc>
          <w:tcPr>
            <w:tcW w:w="5355" w:type="dxa"/>
            <w:tcBorders>
              <w:top w:val="outset" w:sz="6" w:space="0" w:color="auto"/>
              <w:left w:val="outset" w:sz="6" w:space="0" w:color="auto"/>
              <w:bottom w:val="outset" w:sz="6" w:space="0" w:color="auto"/>
              <w:right w:val="outset" w:sz="6" w:space="0" w:color="auto"/>
            </w:tcBorders>
            <w:hideMark/>
          </w:tcPr>
          <w:p w:rsidR="00B30CCA" w:rsidRPr="00087996" w:rsidRDefault="00B30CCA" w:rsidP="004F7FE7">
            <w:pPr>
              <w:spacing w:before="75" w:after="75" w:line="240" w:lineRule="auto"/>
              <w:rPr>
                <w:rFonts w:eastAsia="Times New Roman"/>
                <w:sz w:val="28"/>
                <w:szCs w:val="28"/>
                <w:lang w:eastAsia="lv-LV"/>
              </w:rPr>
            </w:pPr>
            <w:r w:rsidRPr="00087996">
              <w:rPr>
                <w:rFonts w:eastAsia="Times New Roman"/>
                <w:sz w:val="28"/>
                <w:szCs w:val="28"/>
                <w:lang w:eastAsia="lv-LV"/>
              </w:rPr>
              <w:t> </w:t>
            </w:r>
            <w:r w:rsidR="00087996" w:rsidRPr="00087996">
              <w:rPr>
                <w:bCs/>
                <w:iCs/>
                <w:sz w:val="28"/>
                <w:szCs w:val="28"/>
              </w:rPr>
              <w:t>Projekts šo jomu neskar</w:t>
            </w:r>
          </w:p>
        </w:tc>
      </w:tr>
      <w:tr w:rsidR="00B30CCA" w:rsidRPr="00DB5037" w:rsidTr="00B30CCA">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5355" w:type="dxa"/>
            <w:tcBorders>
              <w:top w:val="outset" w:sz="6" w:space="0" w:color="auto"/>
              <w:left w:val="outset" w:sz="6" w:space="0" w:color="auto"/>
              <w:bottom w:val="outset" w:sz="6" w:space="0" w:color="auto"/>
              <w:right w:val="outset" w:sz="6" w:space="0" w:color="auto"/>
            </w:tcBorders>
            <w:hideMark/>
          </w:tcPr>
          <w:p w:rsidR="00B30CCA" w:rsidRPr="00087996" w:rsidRDefault="00B30CCA" w:rsidP="004F7FE7">
            <w:pPr>
              <w:spacing w:before="75" w:after="75" w:line="240" w:lineRule="auto"/>
              <w:rPr>
                <w:rFonts w:eastAsia="Times New Roman"/>
                <w:sz w:val="28"/>
                <w:szCs w:val="28"/>
                <w:lang w:eastAsia="lv-LV"/>
              </w:rPr>
            </w:pPr>
            <w:r w:rsidRPr="00087996">
              <w:rPr>
                <w:rFonts w:eastAsia="Times New Roman"/>
                <w:sz w:val="28"/>
                <w:szCs w:val="28"/>
                <w:lang w:eastAsia="lv-LV"/>
              </w:rPr>
              <w:t> </w:t>
            </w:r>
            <w:r w:rsidR="004F7FE7" w:rsidRPr="00087996">
              <w:rPr>
                <w:rFonts w:eastAsia="Times New Roman"/>
                <w:sz w:val="28"/>
                <w:szCs w:val="28"/>
                <w:lang w:eastAsia="lv-LV"/>
              </w:rPr>
              <w:t>Nav</w:t>
            </w:r>
          </w:p>
        </w:tc>
      </w:tr>
    </w:tbl>
    <w:p w:rsidR="00B30CCA" w:rsidRPr="00DB5037" w:rsidRDefault="00B30CCA" w:rsidP="00B30CCA">
      <w:pPr>
        <w:spacing w:before="75" w:after="75" w:line="240" w:lineRule="auto"/>
        <w:ind w:firstLine="375"/>
        <w:jc w:val="both"/>
        <w:rPr>
          <w:rFonts w:eastAsia="Times New Roman"/>
          <w:sz w:val="28"/>
          <w:szCs w:val="28"/>
          <w:lang w:eastAsia="lv-LV"/>
        </w:rPr>
      </w:pPr>
      <w:r w:rsidRPr="00DB5037">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3936"/>
        <w:gridCol w:w="4660"/>
      </w:tblGrid>
      <w:tr w:rsidR="00B30CCA" w:rsidRPr="00DB5037" w:rsidTr="008209FD">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jc w:val="center"/>
              <w:rPr>
                <w:rFonts w:eastAsia="Times New Roman"/>
                <w:sz w:val="28"/>
                <w:szCs w:val="28"/>
                <w:lang w:eastAsia="lv-LV"/>
              </w:rPr>
            </w:pPr>
            <w:r w:rsidRPr="00DB5037">
              <w:rPr>
                <w:rFonts w:eastAsia="Times New Roman"/>
                <w:b/>
                <w:bCs/>
                <w:sz w:val="28"/>
                <w:szCs w:val="28"/>
                <w:lang w:eastAsia="lv-LV"/>
              </w:rPr>
              <w:t> VII. Tiesību akta projekta izpildes nodrošināšana un tās ietekme uz institūcijām</w:t>
            </w:r>
          </w:p>
        </w:tc>
      </w:tr>
      <w:tr w:rsidR="00B30CCA" w:rsidRPr="00DB5037" w:rsidTr="008209FD">
        <w:trPr>
          <w:trHeight w:val="427"/>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1.</w:t>
            </w:r>
          </w:p>
        </w:tc>
        <w:tc>
          <w:tcPr>
            <w:tcW w:w="393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izpildē iesaistītās institūcijas</w:t>
            </w:r>
          </w:p>
        </w:tc>
        <w:tc>
          <w:tcPr>
            <w:tcW w:w="4660" w:type="dxa"/>
            <w:tcBorders>
              <w:top w:val="outset" w:sz="6" w:space="0" w:color="auto"/>
              <w:left w:val="outset" w:sz="6" w:space="0" w:color="auto"/>
              <w:bottom w:val="outset" w:sz="6" w:space="0" w:color="auto"/>
              <w:right w:val="outset" w:sz="6" w:space="0" w:color="auto"/>
            </w:tcBorders>
            <w:hideMark/>
          </w:tcPr>
          <w:p w:rsidR="00B30CCA" w:rsidRPr="00DB5037" w:rsidRDefault="00B30CCA" w:rsidP="00855E83">
            <w:pPr>
              <w:spacing w:before="75" w:after="75" w:line="240" w:lineRule="auto"/>
              <w:rPr>
                <w:rFonts w:eastAsia="Times New Roman"/>
                <w:sz w:val="28"/>
                <w:szCs w:val="28"/>
                <w:lang w:eastAsia="lv-LV"/>
              </w:rPr>
            </w:pPr>
            <w:r w:rsidRPr="00DB5037">
              <w:rPr>
                <w:rFonts w:eastAsia="Times New Roman"/>
                <w:sz w:val="28"/>
                <w:szCs w:val="28"/>
                <w:lang w:eastAsia="lv-LV"/>
              </w:rPr>
              <w:t> </w:t>
            </w:r>
            <w:r w:rsidR="006B507A" w:rsidRPr="00DB5037">
              <w:rPr>
                <w:rFonts w:eastAsia="Times New Roman"/>
                <w:sz w:val="28"/>
                <w:szCs w:val="28"/>
                <w:lang w:eastAsia="lv-LV"/>
              </w:rPr>
              <w:t xml:space="preserve">Valsts Vides dienests, valsts </w:t>
            </w:r>
            <w:r w:rsidR="00855E83" w:rsidRPr="00DB5037">
              <w:rPr>
                <w:rFonts w:eastAsia="Times New Roman"/>
                <w:sz w:val="28"/>
                <w:szCs w:val="28"/>
                <w:lang w:eastAsia="lv-LV"/>
              </w:rPr>
              <w:t>SIA</w:t>
            </w:r>
            <w:r w:rsidR="006B507A" w:rsidRPr="00DB5037">
              <w:rPr>
                <w:rFonts w:eastAsia="Times New Roman"/>
                <w:sz w:val="28"/>
                <w:szCs w:val="28"/>
                <w:lang w:eastAsia="lv-LV"/>
              </w:rPr>
              <w:t xml:space="preserve"> „Latvijas Vides, ģeoloģijas un meteoroloģijas centrs”.</w:t>
            </w:r>
          </w:p>
        </w:tc>
      </w:tr>
      <w:tr w:rsidR="00B30CCA" w:rsidRPr="00DB5037" w:rsidTr="008209FD">
        <w:trPr>
          <w:trHeight w:val="46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2.</w:t>
            </w:r>
          </w:p>
        </w:tc>
        <w:tc>
          <w:tcPr>
            <w:tcW w:w="393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izpildes ietekme uz pārvaldes funkcijām</w:t>
            </w:r>
          </w:p>
        </w:tc>
        <w:tc>
          <w:tcPr>
            <w:tcW w:w="4660" w:type="dxa"/>
            <w:tcBorders>
              <w:top w:val="outset" w:sz="6" w:space="0" w:color="auto"/>
              <w:left w:val="outset" w:sz="6" w:space="0" w:color="auto"/>
              <w:bottom w:val="outset" w:sz="6" w:space="0" w:color="auto"/>
              <w:right w:val="outset" w:sz="6" w:space="0" w:color="auto"/>
            </w:tcBorders>
            <w:hideMark/>
          </w:tcPr>
          <w:p w:rsidR="00B30CCA" w:rsidRPr="00DB5037" w:rsidRDefault="00B30CCA" w:rsidP="008875B0">
            <w:pPr>
              <w:spacing w:before="75" w:after="75" w:line="240" w:lineRule="auto"/>
              <w:rPr>
                <w:rFonts w:eastAsia="Times New Roman"/>
                <w:sz w:val="28"/>
                <w:szCs w:val="28"/>
                <w:lang w:eastAsia="lv-LV"/>
              </w:rPr>
            </w:pPr>
            <w:r w:rsidRPr="00DB5037">
              <w:rPr>
                <w:rFonts w:eastAsia="Times New Roman"/>
                <w:sz w:val="28"/>
                <w:szCs w:val="28"/>
                <w:lang w:eastAsia="lv-LV"/>
              </w:rPr>
              <w:t> </w:t>
            </w:r>
            <w:r w:rsidR="008875B0" w:rsidRPr="00DB5037">
              <w:rPr>
                <w:rFonts w:eastAsia="Times New Roman"/>
                <w:sz w:val="28"/>
                <w:szCs w:val="28"/>
                <w:lang w:eastAsia="lv-LV"/>
              </w:rPr>
              <w:t xml:space="preserve">Noteiktās funkcijas </w:t>
            </w:r>
            <w:r w:rsidR="008C3C7C" w:rsidRPr="00DB5037">
              <w:rPr>
                <w:rFonts w:eastAsia="Times New Roman"/>
                <w:sz w:val="28"/>
                <w:szCs w:val="28"/>
                <w:lang w:eastAsia="lv-LV"/>
              </w:rPr>
              <w:t xml:space="preserve">tiks </w:t>
            </w:r>
            <w:r w:rsidR="00A0434D" w:rsidRPr="00DB5037">
              <w:rPr>
                <w:rFonts w:eastAsia="Times New Roman"/>
                <w:sz w:val="28"/>
                <w:szCs w:val="28"/>
                <w:lang w:eastAsia="lv-LV"/>
              </w:rPr>
              <w:t>veik</w:t>
            </w:r>
            <w:r w:rsidR="008C3C7C" w:rsidRPr="00DB5037">
              <w:rPr>
                <w:rFonts w:eastAsia="Times New Roman"/>
                <w:sz w:val="28"/>
                <w:szCs w:val="28"/>
                <w:lang w:eastAsia="lv-LV"/>
              </w:rPr>
              <w:t>tas</w:t>
            </w:r>
            <w:r w:rsidR="00A0434D" w:rsidRPr="00DB5037">
              <w:rPr>
                <w:rFonts w:eastAsia="Times New Roman"/>
                <w:sz w:val="28"/>
                <w:szCs w:val="28"/>
                <w:lang w:eastAsia="lv-LV"/>
              </w:rPr>
              <w:t xml:space="preserve"> esoš</w:t>
            </w:r>
            <w:r w:rsidR="008C3C7C" w:rsidRPr="00DB5037">
              <w:rPr>
                <w:rFonts w:eastAsia="Times New Roman"/>
                <w:sz w:val="28"/>
                <w:szCs w:val="28"/>
                <w:lang w:eastAsia="lv-LV"/>
              </w:rPr>
              <w:t>o</w:t>
            </w:r>
            <w:r w:rsidR="00A0434D" w:rsidRPr="00DB5037">
              <w:rPr>
                <w:rFonts w:eastAsia="Times New Roman"/>
                <w:sz w:val="28"/>
                <w:szCs w:val="28"/>
                <w:lang w:eastAsia="lv-LV"/>
              </w:rPr>
              <w:t xml:space="preserve"> institūcij</w:t>
            </w:r>
            <w:r w:rsidR="008C3C7C" w:rsidRPr="00DB5037">
              <w:rPr>
                <w:rFonts w:eastAsia="Times New Roman"/>
                <w:sz w:val="28"/>
                <w:szCs w:val="28"/>
                <w:lang w:eastAsia="lv-LV"/>
              </w:rPr>
              <w:t>u ietvaros</w:t>
            </w:r>
            <w:r w:rsidR="00A0434D" w:rsidRPr="00DB5037">
              <w:rPr>
                <w:rFonts w:eastAsia="Times New Roman"/>
                <w:sz w:val="28"/>
                <w:szCs w:val="28"/>
                <w:lang w:eastAsia="lv-LV"/>
              </w:rPr>
              <w:t>.</w:t>
            </w:r>
          </w:p>
        </w:tc>
      </w:tr>
      <w:tr w:rsidR="00087996" w:rsidRPr="00DB5037" w:rsidTr="008209FD">
        <w:trPr>
          <w:trHeight w:val="725"/>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lastRenderedPageBreak/>
              <w:t> 3.</w:t>
            </w:r>
          </w:p>
        </w:tc>
        <w:tc>
          <w:tcPr>
            <w:tcW w:w="3936"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izpildes ietekme uz pārvaldes institucionālo struktūru.</w:t>
            </w:r>
          </w:p>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Jaunu institūciju izveide</w:t>
            </w:r>
          </w:p>
        </w:tc>
        <w:tc>
          <w:tcPr>
            <w:tcW w:w="4660" w:type="dxa"/>
            <w:tcBorders>
              <w:top w:val="outset" w:sz="6" w:space="0" w:color="auto"/>
              <w:left w:val="outset" w:sz="6" w:space="0" w:color="auto"/>
              <w:bottom w:val="outset" w:sz="6" w:space="0" w:color="auto"/>
              <w:right w:val="outset" w:sz="6" w:space="0" w:color="auto"/>
            </w:tcBorders>
            <w:hideMark/>
          </w:tcPr>
          <w:p w:rsidR="00087996" w:rsidRPr="00087996" w:rsidRDefault="00087996">
            <w:pPr>
              <w:rPr>
                <w:sz w:val="28"/>
                <w:szCs w:val="28"/>
              </w:rPr>
            </w:pPr>
            <w:r w:rsidRPr="00087996">
              <w:rPr>
                <w:bCs/>
                <w:iCs/>
                <w:sz w:val="28"/>
                <w:szCs w:val="28"/>
              </w:rPr>
              <w:t>Projekts šo jomu neskar</w:t>
            </w:r>
          </w:p>
        </w:tc>
      </w:tr>
      <w:tr w:rsidR="00087996" w:rsidRPr="00DB5037" w:rsidTr="008209FD">
        <w:trPr>
          <w:trHeight w:val="780"/>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 4.</w:t>
            </w:r>
          </w:p>
        </w:tc>
        <w:tc>
          <w:tcPr>
            <w:tcW w:w="3936"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izpildes ietekme uz pārvaldes institucionālo struktūru.</w:t>
            </w:r>
          </w:p>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Esošu institūciju likvidācija</w:t>
            </w:r>
          </w:p>
        </w:tc>
        <w:tc>
          <w:tcPr>
            <w:tcW w:w="4660" w:type="dxa"/>
            <w:tcBorders>
              <w:top w:val="outset" w:sz="6" w:space="0" w:color="auto"/>
              <w:left w:val="outset" w:sz="6" w:space="0" w:color="auto"/>
              <w:bottom w:val="outset" w:sz="6" w:space="0" w:color="auto"/>
              <w:right w:val="outset" w:sz="6" w:space="0" w:color="auto"/>
            </w:tcBorders>
            <w:hideMark/>
          </w:tcPr>
          <w:p w:rsidR="00087996" w:rsidRPr="00087996" w:rsidRDefault="00087996">
            <w:pPr>
              <w:rPr>
                <w:sz w:val="28"/>
                <w:szCs w:val="28"/>
              </w:rPr>
            </w:pPr>
            <w:r w:rsidRPr="00087996">
              <w:rPr>
                <w:bCs/>
                <w:iCs/>
                <w:sz w:val="28"/>
                <w:szCs w:val="28"/>
              </w:rPr>
              <w:t>Projekts šo jomu neskar</w:t>
            </w:r>
          </w:p>
        </w:tc>
      </w:tr>
      <w:tr w:rsidR="00087996" w:rsidRPr="00DB5037" w:rsidTr="008209FD">
        <w:trPr>
          <w:trHeight w:val="70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 5.</w:t>
            </w:r>
          </w:p>
        </w:tc>
        <w:tc>
          <w:tcPr>
            <w:tcW w:w="3936" w:type="dxa"/>
            <w:tcBorders>
              <w:top w:val="outset" w:sz="6" w:space="0" w:color="auto"/>
              <w:left w:val="outset" w:sz="6" w:space="0" w:color="auto"/>
              <w:bottom w:val="outset" w:sz="6" w:space="0" w:color="auto"/>
              <w:right w:val="outset" w:sz="6" w:space="0" w:color="auto"/>
            </w:tcBorders>
            <w:hideMark/>
          </w:tcPr>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 Projekta izpildes ietekme uz pārvaldes institucionālo struktūru.</w:t>
            </w:r>
          </w:p>
          <w:p w:rsidR="00087996" w:rsidRPr="00DB5037" w:rsidRDefault="00087996" w:rsidP="00B30CCA">
            <w:pPr>
              <w:spacing w:before="75" w:after="75" w:line="240" w:lineRule="auto"/>
              <w:rPr>
                <w:rFonts w:eastAsia="Times New Roman"/>
                <w:sz w:val="28"/>
                <w:szCs w:val="28"/>
                <w:lang w:eastAsia="lv-LV"/>
              </w:rPr>
            </w:pPr>
            <w:r w:rsidRPr="00DB5037">
              <w:rPr>
                <w:rFonts w:eastAsia="Times New Roman"/>
                <w:sz w:val="28"/>
                <w:szCs w:val="28"/>
                <w:lang w:eastAsia="lv-LV"/>
              </w:rPr>
              <w:t>Esošu institūciju reorganizācija</w:t>
            </w:r>
          </w:p>
        </w:tc>
        <w:tc>
          <w:tcPr>
            <w:tcW w:w="4660" w:type="dxa"/>
            <w:tcBorders>
              <w:top w:val="outset" w:sz="6" w:space="0" w:color="auto"/>
              <w:left w:val="outset" w:sz="6" w:space="0" w:color="auto"/>
              <w:bottom w:val="outset" w:sz="6" w:space="0" w:color="auto"/>
              <w:right w:val="outset" w:sz="6" w:space="0" w:color="auto"/>
            </w:tcBorders>
            <w:hideMark/>
          </w:tcPr>
          <w:p w:rsidR="00087996" w:rsidRPr="00087996" w:rsidRDefault="00087996">
            <w:pPr>
              <w:rPr>
                <w:sz w:val="28"/>
                <w:szCs w:val="28"/>
              </w:rPr>
            </w:pPr>
            <w:r w:rsidRPr="00087996">
              <w:rPr>
                <w:bCs/>
                <w:iCs/>
                <w:sz w:val="28"/>
                <w:szCs w:val="28"/>
              </w:rPr>
              <w:t>Projekts šo jomu neskar</w:t>
            </w:r>
          </w:p>
        </w:tc>
      </w:tr>
      <w:tr w:rsidR="00B30CCA" w:rsidRPr="00DB5037" w:rsidTr="008209FD">
        <w:trPr>
          <w:trHeight w:val="476"/>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6.</w:t>
            </w:r>
          </w:p>
        </w:tc>
        <w:tc>
          <w:tcPr>
            <w:tcW w:w="3936" w:type="dxa"/>
            <w:tcBorders>
              <w:top w:val="outset" w:sz="6" w:space="0" w:color="auto"/>
              <w:left w:val="outset" w:sz="6" w:space="0" w:color="auto"/>
              <w:bottom w:val="outset" w:sz="6" w:space="0" w:color="auto"/>
              <w:right w:val="outset" w:sz="6" w:space="0" w:color="auto"/>
            </w:tcBorders>
            <w:hideMark/>
          </w:tcPr>
          <w:p w:rsidR="00B30CCA" w:rsidRPr="00DB5037" w:rsidRDefault="00B30CCA" w:rsidP="00B30CCA">
            <w:pPr>
              <w:spacing w:before="75" w:after="75" w:line="240" w:lineRule="auto"/>
              <w:rPr>
                <w:rFonts w:eastAsia="Times New Roman"/>
                <w:sz w:val="28"/>
                <w:szCs w:val="28"/>
                <w:lang w:eastAsia="lv-LV"/>
              </w:rPr>
            </w:pPr>
            <w:r w:rsidRPr="00DB5037">
              <w:rPr>
                <w:rFonts w:eastAsia="Times New Roman"/>
                <w:sz w:val="28"/>
                <w:szCs w:val="28"/>
                <w:lang w:eastAsia="lv-LV"/>
              </w:rPr>
              <w:t> Cita informācija</w:t>
            </w:r>
          </w:p>
        </w:tc>
        <w:tc>
          <w:tcPr>
            <w:tcW w:w="4660" w:type="dxa"/>
            <w:tcBorders>
              <w:top w:val="outset" w:sz="6" w:space="0" w:color="auto"/>
              <w:left w:val="outset" w:sz="6" w:space="0" w:color="auto"/>
              <w:bottom w:val="outset" w:sz="6" w:space="0" w:color="auto"/>
              <w:right w:val="outset" w:sz="6" w:space="0" w:color="auto"/>
            </w:tcBorders>
            <w:hideMark/>
          </w:tcPr>
          <w:p w:rsidR="00B30CCA" w:rsidRPr="00DB5037" w:rsidRDefault="00B30CCA" w:rsidP="005E155D">
            <w:pPr>
              <w:spacing w:before="75" w:after="75" w:line="240" w:lineRule="auto"/>
              <w:rPr>
                <w:rFonts w:eastAsia="Times New Roman"/>
                <w:sz w:val="28"/>
                <w:szCs w:val="28"/>
                <w:lang w:eastAsia="lv-LV"/>
              </w:rPr>
            </w:pPr>
            <w:r w:rsidRPr="00DB5037">
              <w:rPr>
                <w:rFonts w:eastAsia="Times New Roman"/>
                <w:sz w:val="28"/>
                <w:szCs w:val="28"/>
                <w:lang w:eastAsia="lv-LV"/>
              </w:rPr>
              <w:t> </w:t>
            </w:r>
            <w:r w:rsidR="005E155D" w:rsidRPr="00DB5037">
              <w:rPr>
                <w:rFonts w:eastAsia="Times New Roman"/>
                <w:sz w:val="28"/>
                <w:szCs w:val="28"/>
                <w:lang w:eastAsia="lv-LV"/>
              </w:rPr>
              <w:t>Nav</w:t>
            </w:r>
          </w:p>
        </w:tc>
      </w:tr>
    </w:tbl>
    <w:p w:rsidR="008209FD" w:rsidRPr="00DB5037" w:rsidRDefault="008209FD" w:rsidP="008209FD">
      <w:pPr>
        <w:spacing w:before="75" w:after="75" w:line="240" w:lineRule="auto"/>
        <w:rPr>
          <w:sz w:val="28"/>
          <w:szCs w:val="28"/>
        </w:rPr>
      </w:pPr>
    </w:p>
    <w:p w:rsidR="008209FD" w:rsidRPr="00DB5037" w:rsidRDefault="008209FD" w:rsidP="008209FD">
      <w:pPr>
        <w:spacing w:before="75" w:after="75" w:line="240" w:lineRule="auto"/>
        <w:rPr>
          <w:sz w:val="28"/>
          <w:szCs w:val="28"/>
        </w:rPr>
      </w:pPr>
      <w:r w:rsidRPr="00DB5037">
        <w:rPr>
          <w:sz w:val="28"/>
          <w:szCs w:val="28"/>
        </w:rPr>
        <w:t xml:space="preserve">Anotācijas III sadaļa – </w:t>
      </w:r>
      <w:r w:rsidR="00B31703" w:rsidRPr="00087996">
        <w:rPr>
          <w:bCs/>
          <w:iCs/>
          <w:sz w:val="28"/>
          <w:szCs w:val="28"/>
        </w:rPr>
        <w:t>Projekts šo jomu neskar</w:t>
      </w:r>
      <w:r w:rsidRPr="00DB5037">
        <w:rPr>
          <w:sz w:val="28"/>
          <w:szCs w:val="28"/>
        </w:rPr>
        <w:t>.</w:t>
      </w:r>
    </w:p>
    <w:p w:rsidR="003B4D12" w:rsidRPr="00DB5037" w:rsidRDefault="003B4D12">
      <w:pPr>
        <w:rPr>
          <w:sz w:val="28"/>
          <w:szCs w:val="28"/>
        </w:rPr>
      </w:pPr>
    </w:p>
    <w:p w:rsidR="00DB5037" w:rsidRDefault="00DB5037" w:rsidP="00DB5037">
      <w:pPr>
        <w:pStyle w:val="BodyTextIndent3"/>
        <w:spacing w:after="0"/>
        <w:ind w:left="0"/>
        <w:rPr>
          <w:sz w:val="28"/>
          <w:szCs w:val="28"/>
          <w:lang w:val="lv-LV"/>
        </w:rPr>
      </w:pPr>
      <w:r>
        <w:rPr>
          <w:sz w:val="28"/>
          <w:szCs w:val="28"/>
          <w:lang w:val="lv-LV"/>
        </w:rPr>
        <w:t>Iesniedzējs:</w:t>
      </w:r>
    </w:p>
    <w:p w:rsidR="00C56546" w:rsidRPr="00DB5037" w:rsidRDefault="00C56546" w:rsidP="00DB5037">
      <w:pPr>
        <w:pStyle w:val="BodyTextIndent3"/>
        <w:spacing w:after="0"/>
        <w:ind w:left="0"/>
        <w:rPr>
          <w:sz w:val="28"/>
          <w:szCs w:val="28"/>
          <w:lang w:val="lv-LV"/>
        </w:rPr>
      </w:pPr>
      <w:r w:rsidRPr="00DB5037">
        <w:rPr>
          <w:sz w:val="28"/>
          <w:szCs w:val="28"/>
          <w:lang w:val="lv-LV"/>
        </w:rPr>
        <w:t>Vides aizsardzības un reģionālās attīstības ministrs</w:t>
      </w:r>
      <w:r w:rsidRPr="00DB5037">
        <w:rPr>
          <w:sz w:val="28"/>
          <w:szCs w:val="28"/>
          <w:lang w:val="lv-LV"/>
        </w:rPr>
        <w:tab/>
      </w:r>
      <w:r w:rsidRPr="00DB5037">
        <w:rPr>
          <w:sz w:val="28"/>
          <w:szCs w:val="28"/>
          <w:lang w:val="lv-LV"/>
        </w:rPr>
        <w:tab/>
      </w:r>
      <w:r w:rsidRPr="00DB5037">
        <w:rPr>
          <w:sz w:val="28"/>
          <w:szCs w:val="28"/>
          <w:lang w:val="lv-LV"/>
        </w:rPr>
        <w:tab/>
      </w:r>
      <w:proofErr w:type="spellStart"/>
      <w:r w:rsidRPr="00DB5037">
        <w:rPr>
          <w:sz w:val="28"/>
          <w:szCs w:val="28"/>
          <w:lang w:val="lv-LV"/>
        </w:rPr>
        <w:t>E.Sprūdžs</w:t>
      </w:r>
      <w:proofErr w:type="spellEnd"/>
      <w:r w:rsidRPr="00DB5037">
        <w:rPr>
          <w:sz w:val="28"/>
          <w:szCs w:val="28"/>
          <w:lang w:val="lv-LV"/>
        </w:rPr>
        <w:tab/>
      </w:r>
    </w:p>
    <w:p w:rsidR="00C56546" w:rsidRPr="00DB5037" w:rsidRDefault="00C56546" w:rsidP="00C56546">
      <w:pPr>
        <w:tabs>
          <w:tab w:val="left" w:pos="0"/>
        </w:tabs>
        <w:jc w:val="both"/>
        <w:rPr>
          <w:sz w:val="28"/>
          <w:szCs w:val="28"/>
        </w:rPr>
      </w:pPr>
    </w:p>
    <w:p w:rsidR="00DB5037" w:rsidRDefault="00DB5037" w:rsidP="00DB5037">
      <w:pPr>
        <w:tabs>
          <w:tab w:val="left" w:pos="0"/>
        </w:tabs>
        <w:spacing w:after="0" w:line="240" w:lineRule="auto"/>
        <w:jc w:val="both"/>
        <w:rPr>
          <w:sz w:val="28"/>
          <w:szCs w:val="28"/>
        </w:rPr>
      </w:pPr>
      <w:r>
        <w:rPr>
          <w:sz w:val="28"/>
          <w:szCs w:val="28"/>
        </w:rPr>
        <w:t xml:space="preserve">Vīza: </w:t>
      </w:r>
    </w:p>
    <w:p w:rsidR="00C56546" w:rsidRPr="00DB5037" w:rsidRDefault="00DB5037" w:rsidP="00DB5037">
      <w:pPr>
        <w:tabs>
          <w:tab w:val="left" w:pos="0"/>
        </w:tabs>
        <w:spacing w:after="0" w:line="240" w:lineRule="auto"/>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0F1A87" w:rsidRPr="00DB5037">
        <w:rPr>
          <w:sz w:val="28"/>
          <w:szCs w:val="28"/>
        </w:rPr>
        <w:t>A.Antonovs</w:t>
      </w:r>
      <w:proofErr w:type="spellEnd"/>
    </w:p>
    <w:p w:rsidR="005E155D" w:rsidRPr="00DB5037" w:rsidRDefault="005E155D">
      <w:pPr>
        <w:rPr>
          <w:sz w:val="28"/>
          <w:szCs w:val="28"/>
        </w:rPr>
      </w:pPr>
    </w:p>
    <w:p w:rsidR="005E155D" w:rsidRPr="00DB5037" w:rsidRDefault="005E155D">
      <w:pPr>
        <w:rPr>
          <w:sz w:val="28"/>
          <w:szCs w:val="28"/>
        </w:rPr>
      </w:pPr>
    </w:p>
    <w:p w:rsidR="00DB5037" w:rsidRPr="00F71C82" w:rsidRDefault="007D5890" w:rsidP="005E155D">
      <w:pPr>
        <w:spacing w:after="0" w:line="240" w:lineRule="auto"/>
      </w:pPr>
      <w:r>
        <w:t>09.0</w:t>
      </w:r>
      <w:r w:rsidR="00621A64">
        <w:t>1</w:t>
      </w:r>
      <w:r w:rsidR="00950B7F">
        <w:t>.2012.</w:t>
      </w:r>
      <w:r w:rsidR="00DB5037" w:rsidRPr="00F71C82">
        <w:t xml:space="preserve"> </w:t>
      </w:r>
      <w:r w:rsidR="00CD6F9C" w:rsidRPr="00F71C82">
        <w:fldChar w:fldCharType="begin"/>
      </w:r>
      <w:r w:rsidR="00DB5037" w:rsidRPr="00F71C82">
        <w:instrText xml:space="preserve"> TIME  \@ "h:mm am/pm"  \* MERGEFORMAT </w:instrText>
      </w:r>
      <w:r w:rsidR="00CD6F9C" w:rsidRPr="00F71C82">
        <w:fldChar w:fldCharType="separate"/>
      </w:r>
      <w:r w:rsidR="00621A64">
        <w:rPr>
          <w:noProof/>
        </w:rPr>
        <w:t xml:space="preserve">3:53 </w:t>
      </w:r>
      <w:r w:rsidR="00CD6F9C" w:rsidRPr="00F71C82">
        <w:fldChar w:fldCharType="end"/>
      </w:r>
    </w:p>
    <w:p w:rsidR="005E155D" w:rsidRPr="00F71C82" w:rsidRDefault="00CD6F9C" w:rsidP="005E155D">
      <w:pPr>
        <w:spacing w:after="0" w:line="240" w:lineRule="auto"/>
      </w:pPr>
      <w:fldSimple w:instr=" NUMWORDS  \* Arabic  \* MERGEFORMAT ">
        <w:r w:rsidR="00621A64">
          <w:rPr>
            <w:noProof/>
          </w:rPr>
          <w:t>2322</w:t>
        </w:r>
      </w:fldSimple>
    </w:p>
    <w:p w:rsidR="005E155D" w:rsidRPr="00F71C82" w:rsidRDefault="005E155D" w:rsidP="005E155D">
      <w:pPr>
        <w:spacing w:after="0" w:line="240" w:lineRule="auto"/>
      </w:pPr>
      <w:r w:rsidRPr="00F71C82">
        <w:t xml:space="preserve">L.Maslova </w:t>
      </w:r>
    </w:p>
    <w:p w:rsidR="005E155D" w:rsidRPr="00F71C82" w:rsidRDefault="005E155D" w:rsidP="005E155D">
      <w:pPr>
        <w:spacing w:after="0" w:line="240" w:lineRule="auto"/>
      </w:pPr>
      <w:smartTag w:uri="schemas-tilde-lv/tildestengine" w:element="phone">
        <w:smartTagPr>
          <w:attr w:name="phone_prefix" w:val="6"/>
          <w:attr w:name="phone_number" w:val="7026586"/>
        </w:smartTagPr>
        <w:r w:rsidRPr="00F71C82">
          <w:t>67026586</w:t>
        </w:r>
      </w:smartTag>
      <w:r w:rsidRPr="00F71C82">
        <w:t>, lana.maslova@varam.gov.lv</w:t>
      </w:r>
    </w:p>
    <w:p w:rsidR="005E155D" w:rsidRPr="00DB5037" w:rsidRDefault="005E155D">
      <w:pPr>
        <w:rPr>
          <w:sz w:val="28"/>
          <w:szCs w:val="28"/>
        </w:rPr>
      </w:pPr>
    </w:p>
    <w:sectPr w:rsidR="005E155D" w:rsidRPr="00DB5037" w:rsidSect="00F71C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FC" w:rsidRDefault="007F79FC" w:rsidP="004163D3">
      <w:pPr>
        <w:spacing w:after="0" w:line="240" w:lineRule="auto"/>
      </w:pPr>
      <w:r>
        <w:separator/>
      </w:r>
    </w:p>
  </w:endnote>
  <w:endnote w:type="continuationSeparator" w:id="0">
    <w:p w:rsidR="007F79FC" w:rsidRDefault="007F79FC" w:rsidP="0041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10" w:rsidRPr="004163D3" w:rsidRDefault="00905410" w:rsidP="004163D3">
    <w:pPr>
      <w:spacing w:after="0" w:line="240" w:lineRule="auto"/>
      <w:jc w:val="both"/>
      <w:rPr>
        <w:b/>
      </w:rPr>
    </w:pPr>
    <w:r>
      <w:t>VARAMAnot_</w:t>
    </w:r>
    <w:r w:rsidR="007D5890">
      <w:t>090</w:t>
    </w:r>
    <w:r w:rsidR="00FE1FA5">
      <w:t>1</w:t>
    </w:r>
    <w:r w:rsidR="007D5890">
      <w:t>13</w:t>
    </w:r>
    <w:r w:rsidRPr="007B537D">
      <w:t>_</w:t>
    </w:r>
    <w:r>
      <w:t>GOSiek; N</w:t>
    </w:r>
    <w:r w:rsidRPr="004163D3">
      <w:t>oteikumu projekt</w:t>
    </w:r>
    <w:r>
      <w:t>a</w:t>
    </w:r>
    <w:r w:rsidRPr="004163D3">
      <w:t xml:space="preserve"> </w:t>
    </w:r>
    <w:r w:rsidR="00471091" w:rsidRPr="00545B68">
      <w:rPr>
        <w:rFonts w:eastAsia="Times New Roman"/>
        <w:bCs/>
        <w:lang w:eastAsia="lv-LV"/>
      </w:rPr>
      <w:t>“</w:t>
    </w:r>
    <w:r w:rsidR="00471091" w:rsidRPr="00B41FB3">
      <w:rPr>
        <w:bCs/>
      </w:rPr>
      <w:t>Kārtība, kādā ierobežojama gaistošo organisko savienojumu emisija no iekārtām, kurās izmanto organiskos šķīdinātājus</w:t>
    </w:r>
    <w:r w:rsidR="00471091">
      <w:rPr>
        <w:bCs/>
      </w:rPr>
      <w:t>”</w:t>
    </w:r>
    <w:r w:rsidRPr="004163D3">
      <w:t xml:space="preserve"> sākotnējās ietekmes novērtējuma ziņojums </w:t>
    </w:r>
    <w: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91" w:rsidRPr="00471091" w:rsidRDefault="00471091" w:rsidP="00471091">
    <w:pPr>
      <w:spacing w:after="0" w:line="240" w:lineRule="auto"/>
      <w:jc w:val="both"/>
      <w:rPr>
        <w:b/>
      </w:rPr>
    </w:pPr>
    <w:r>
      <w:t>VARAMAnot_</w:t>
    </w:r>
    <w:r w:rsidR="007D5890">
      <w:t>090</w:t>
    </w:r>
    <w:r w:rsidR="00FE1FA5">
      <w:t>1</w:t>
    </w:r>
    <w:r>
      <w:t>12</w:t>
    </w:r>
    <w:r w:rsidRPr="007B537D">
      <w:t>_</w:t>
    </w:r>
    <w:r>
      <w:t>GOSiek; N</w:t>
    </w:r>
    <w:r w:rsidRPr="004163D3">
      <w:t>oteikumu projekt</w:t>
    </w:r>
    <w:r>
      <w:t>a</w:t>
    </w:r>
    <w:r w:rsidRPr="004163D3">
      <w:t xml:space="preserve"> </w:t>
    </w:r>
    <w:r w:rsidRPr="00545B68">
      <w:rPr>
        <w:rFonts w:eastAsia="Times New Roman"/>
        <w:bCs/>
        <w:lang w:eastAsia="lv-LV"/>
      </w:rPr>
      <w:t>“</w:t>
    </w:r>
    <w:r w:rsidRPr="00B41FB3">
      <w:rPr>
        <w:bCs/>
      </w:rPr>
      <w:t>Kārtība, kādā ierobežojama gaistošo organisko savienojumu emisija no iekārtām, kurās izmanto organiskos šķīdinātājus</w:t>
    </w:r>
    <w:r>
      <w:rPr>
        <w:bCs/>
      </w:rPr>
      <w:t>”</w:t>
    </w:r>
    <w:r w:rsidRPr="004163D3">
      <w:t xml:space="preserve"> sākotnējās ietekmes novērtējuma ziņojums </w:t>
    </w:r>
    <w: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FC" w:rsidRDefault="007F79FC" w:rsidP="004163D3">
      <w:pPr>
        <w:spacing w:after="0" w:line="240" w:lineRule="auto"/>
      </w:pPr>
      <w:r>
        <w:separator/>
      </w:r>
    </w:p>
  </w:footnote>
  <w:footnote w:type="continuationSeparator" w:id="0">
    <w:p w:rsidR="007F79FC" w:rsidRDefault="007F79FC" w:rsidP="0041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221"/>
      <w:docPartObj>
        <w:docPartGallery w:val="Page Numbers (Top of Page)"/>
        <w:docPartUnique/>
      </w:docPartObj>
    </w:sdtPr>
    <w:sdtContent>
      <w:p w:rsidR="00905410" w:rsidRDefault="00CD6F9C">
        <w:pPr>
          <w:pStyle w:val="Header"/>
          <w:jc w:val="center"/>
        </w:pPr>
        <w:fldSimple w:instr=" PAGE   \* MERGEFORMAT ">
          <w:r w:rsidR="00621A64">
            <w:rPr>
              <w:noProof/>
            </w:rPr>
            <w:t>14</w:t>
          </w:r>
        </w:fldSimple>
      </w:p>
    </w:sdtContent>
  </w:sdt>
  <w:p w:rsidR="00905410" w:rsidRDefault="00905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FDD"/>
    <w:multiLevelType w:val="hybridMultilevel"/>
    <w:tmpl w:val="63924B00"/>
    <w:lvl w:ilvl="0" w:tplc="12D85B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9307E"/>
    <w:multiLevelType w:val="hybridMultilevel"/>
    <w:tmpl w:val="01544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A3321"/>
    <w:multiLevelType w:val="hybridMultilevel"/>
    <w:tmpl w:val="26C22AF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365C9"/>
    <w:multiLevelType w:val="hybridMultilevel"/>
    <w:tmpl w:val="D8C80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09FD"/>
    <w:multiLevelType w:val="hybridMultilevel"/>
    <w:tmpl w:val="CC08DE68"/>
    <w:lvl w:ilvl="0" w:tplc="A0EABD76">
      <w:start w:val="2"/>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4B8E5513"/>
    <w:multiLevelType w:val="hybridMultilevel"/>
    <w:tmpl w:val="0AC45FC8"/>
    <w:lvl w:ilvl="0" w:tplc="A0EABD76">
      <w:start w:val="2"/>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nsid w:val="523E6DC0"/>
    <w:multiLevelType w:val="hybridMultilevel"/>
    <w:tmpl w:val="6EFA0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C7D72"/>
    <w:multiLevelType w:val="hybridMultilevel"/>
    <w:tmpl w:val="4566D512"/>
    <w:lvl w:ilvl="0" w:tplc="8BC47D72">
      <w:start w:val="1"/>
      <w:numFmt w:val="decimal"/>
      <w:lvlText w:val="%1)"/>
      <w:lvlJc w:val="left"/>
      <w:pPr>
        <w:ind w:left="757"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904A6"/>
    <w:multiLevelType w:val="hybridMultilevel"/>
    <w:tmpl w:val="325C46C4"/>
    <w:lvl w:ilvl="0" w:tplc="573020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C2DEC"/>
    <w:multiLevelType w:val="hybridMultilevel"/>
    <w:tmpl w:val="6E58B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E694E"/>
    <w:multiLevelType w:val="hybridMultilevel"/>
    <w:tmpl w:val="0650ADB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D4D56"/>
    <w:multiLevelType w:val="hybridMultilevel"/>
    <w:tmpl w:val="7132298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1"/>
  </w:num>
  <w:num w:numId="5">
    <w:abstractNumId w:val="10"/>
  </w:num>
  <w:num w:numId="6">
    <w:abstractNumId w:val="8"/>
  </w:num>
  <w:num w:numId="7">
    <w:abstractNumId w:val="0"/>
  </w:num>
  <w:num w:numId="8">
    <w:abstractNumId w:val="11"/>
  </w:num>
  <w:num w:numId="9">
    <w:abstractNumId w:val="4"/>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0CCA"/>
    <w:rsid w:val="0000799D"/>
    <w:rsid w:val="0002417A"/>
    <w:rsid w:val="00025F9B"/>
    <w:rsid w:val="00042405"/>
    <w:rsid w:val="00042D7F"/>
    <w:rsid w:val="00042DA3"/>
    <w:rsid w:val="0004446E"/>
    <w:rsid w:val="00046443"/>
    <w:rsid w:val="000539B4"/>
    <w:rsid w:val="00053B7F"/>
    <w:rsid w:val="0006237A"/>
    <w:rsid w:val="00062C97"/>
    <w:rsid w:val="00066BEB"/>
    <w:rsid w:val="00070DB2"/>
    <w:rsid w:val="00077B73"/>
    <w:rsid w:val="00087996"/>
    <w:rsid w:val="00090E20"/>
    <w:rsid w:val="000B03C7"/>
    <w:rsid w:val="000B0D98"/>
    <w:rsid w:val="000D4588"/>
    <w:rsid w:val="000E2CAC"/>
    <w:rsid w:val="000F1A87"/>
    <w:rsid w:val="000F6C52"/>
    <w:rsid w:val="000F79FA"/>
    <w:rsid w:val="001007BD"/>
    <w:rsid w:val="00110B98"/>
    <w:rsid w:val="0011103E"/>
    <w:rsid w:val="0011530F"/>
    <w:rsid w:val="00122B68"/>
    <w:rsid w:val="001365AE"/>
    <w:rsid w:val="0014030B"/>
    <w:rsid w:val="00145088"/>
    <w:rsid w:val="00166332"/>
    <w:rsid w:val="00171BAA"/>
    <w:rsid w:val="001765CA"/>
    <w:rsid w:val="00176966"/>
    <w:rsid w:val="00177949"/>
    <w:rsid w:val="00181130"/>
    <w:rsid w:val="0018294F"/>
    <w:rsid w:val="001929D5"/>
    <w:rsid w:val="001A13D1"/>
    <w:rsid w:val="001A1582"/>
    <w:rsid w:val="001E293B"/>
    <w:rsid w:val="001F277B"/>
    <w:rsid w:val="00203804"/>
    <w:rsid w:val="00220C54"/>
    <w:rsid w:val="00225B03"/>
    <w:rsid w:val="0023004E"/>
    <w:rsid w:val="00233C13"/>
    <w:rsid w:val="002351D9"/>
    <w:rsid w:val="00236B29"/>
    <w:rsid w:val="00243D15"/>
    <w:rsid w:val="00252B1A"/>
    <w:rsid w:val="00261B36"/>
    <w:rsid w:val="002636BB"/>
    <w:rsid w:val="0026643D"/>
    <w:rsid w:val="002714C8"/>
    <w:rsid w:val="00275B2A"/>
    <w:rsid w:val="002764E5"/>
    <w:rsid w:val="002821B7"/>
    <w:rsid w:val="0028531A"/>
    <w:rsid w:val="00295B40"/>
    <w:rsid w:val="002A7FB9"/>
    <w:rsid w:val="002B0577"/>
    <w:rsid w:val="002B74A2"/>
    <w:rsid w:val="002C26EF"/>
    <w:rsid w:val="002C66A3"/>
    <w:rsid w:val="002D59D7"/>
    <w:rsid w:val="002E0315"/>
    <w:rsid w:val="002F0D18"/>
    <w:rsid w:val="002F123E"/>
    <w:rsid w:val="00307056"/>
    <w:rsid w:val="00312574"/>
    <w:rsid w:val="00313E85"/>
    <w:rsid w:val="0031449C"/>
    <w:rsid w:val="003146C3"/>
    <w:rsid w:val="0031501C"/>
    <w:rsid w:val="00332CCF"/>
    <w:rsid w:val="00343238"/>
    <w:rsid w:val="00344D89"/>
    <w:rsid w:val="0036164A"/>
    <w:rsid w:val="0036610B"/>
    <w:rsid w:val="0037123B"/>
    <w:rsid w:val="00371633"/>
    <w:rsid w:val="00375028"/>
    <w:rsid w:val="00375DCD"/>
    <w:rsid w:val="00386A05"/>
    <w:rsid w:val="003A35D0"/>
    <w:rsid w:val="003B3A38"/>
    <w:rsid w:val="003B4D12"/>
    <w:rsid w:val="003B657D"/>
    <w:rsid w:val="003C6C4B"/>
    <w:rsid w:val="003E3B1F"/>
    <w:rsid w:val="003E4569"/>
    <w:rsid w:val="003E6F7B"/>
    <w:rsid w:val="003F63FA"/>
    <w:rsid w:val="00402311"/>
    <w:rsid w:val="00404398"/>
    <w:rsid w:val="004079DC"/>
    <w:rsid w:val="00410C74"/>
    <w:rsid w:val="004163D3"/>
    <w:rsid w:val="00416623"/>
    <w:rsid w:val="004259FB"/>
    <w:rsid w:val="00436D5B"/>
    <w:rsid w:val="004430D9"/>
    <w:rsid w:val="004452C4"/>
    <w:rsid w:val="00445DEB"/>
    <w:rsid w:val="00452E97"/>
    <w:rsid w:val="004623CB"/>
    <w:rsid w:val="00462E30"/>
    <w:rsid w:val="00471091"/>
    <w:rsid w:val="00483A9F"/>
    <w:rsid w:val="004866AF"/>
    <w:rsid w:val="004A2A8E"/>
    <w:rsid w:val="004A30EB"/>
    <w:rsid w:val="004B06E0"/>
    <w:rsid w:val="004B2436"/>
    <w:rsid w:val="004C0D8B"/>
    <w:rsid w:val="004D291C"/>
    <w:rsid w:val="004D3899"/>
    <w:rsid w:val="004E0371"/>
    <w:rsid w:val="004F3686"/>
    <w:rsid w:val="004F6CDE"/>
    <w:rsid w:val="004F720F"/>
    <w:rsid w:val="004F7FE7"/>
    <w:rsid w:val="00511A4F"/>
    <w:rsid w:val="00515D5B"/>
    <w:rsid w:val="005321B8"/>
    <w:rsid w:val="00533DA9"/>
    <w:rsid w:val="00537A06"/>
    <w:rsid w:val="005444B1"/>
    <w:rsid w:val="0055331F"/>
    <w:rsid w:val="00572625"/>
    <w:rsid w:val="00573715"/>
    <w:rsid w:val="0057538E"/>
    <w:rsid w:val="005B1F96"/>
    <w:rsid w:val="005B2612"/>
    <w:rsid w:val="005B69FF"/>
    <w:rsid w:val="005D537D"/>
    <w:rsid w:val="005E155D"/>
    <w:rsid w:val="005E5CC6"/>
    <w:rsid w:val="005E6CFE"/>
    <w:rsid w:val="00603ACB"/>
    <w:rsid w:val="00604B76"/>
    <w:rsid w:val="006208B5"/>
    <w:rsid w:val="00621A64"/>
    <w:rsid w:val="00630421"/>
    <w:rsid w:val="00630C5F"/>
    <w:rsid w:val="006318F0"/>
    <w:rsid w:val="0063595A"/>
    <w:rsid w:val="00637D84"/>
    <w:rsid w:val="00652796"/>
    <w:rsid w:val="0066361F"/>
    <w:rsid w:val="00677D30"/>
    <w:rsid w:val="006914EE"/>
    <w:rsid w:val="006A3C67"/>
    <w:rsid w:val="006B507A"/>
    <w:rsid w:val="006C5560"/>
    <w:rsid w:val="006C7EA2"/>
    <w:rsid w:val="006D3CD5"/>
    <w:rsid w:val="006E27FB"/>
    <w:rsid w:val="006F2828"/>
    <w:rsid w:val="006F2872"/>
    <w:rsid w:val="006F4A20"/>
    <w:rsid w:val="006F50F6"/>
    <w:rsid w:val="007154EC"/>
    <w:rsid w:val="00715E0C"/>
    <w:rsid w:val="00716916"/>
    <w:rsid w:val="007351C9"/>
    <w:rsid w:val="007427E1"/>
    <w:rsid w:val="0074370C"/>
    <w:rsid w:val="00745F6C"/>
    <w:rsid w:val="00747531"/>
    <w:rsid w:val="00762619"/>
    <w:rsid w:val="00763805"/>
    <w:rsid w:val="007649BC"/>
    <w:rsid w:val="00766675"/>
    <w:rsid w:val="00766D2E"/>
    <w:rsid w:val="00770CCB"/>
    <w:rsid w:val="00776908"/>
    <w:rsid w:val="007911F1"/>
    <w:rsid w:val="00792ADD"/>
    <w:rsid w:val="007950CC"/>
    <w:rsid w:val="007A267A"/>
    <w:rsid w:val="007A2AEB"/>
    <w:rsid w:val="007A2D9F"/>
    <w:rsid w:val="007B78A4"/>
    <w:rsid w:val="007C493F"/>
    <w:rsid w:val="007C7107"/>
    <w:rsid w:val="007D5890"/>
    <w:rsid w:val="007D6DB1"/>
    <w:rsid w:val="007E00E7"/>
    <w:rsid w:val="007E48E5"/>
    <w:rsid w:val="007E4E7E"/>
    <w:rsid w:val="007F3109"/>
    <w:rsid w:val="007F4FB5"/>
    <w:rsid w:val="007F79FC"/>
    <w:rsid w:val="008019EC"/>
    <w:rsid w:val="00816BD9"/>
    <w:rsid w:val="00817DBD"/>
    <w:rsid w:val="00820786"/>
    <w:rsid w:val="008209FD"/>
    <w:rsid w:val="00831CF9"/>
    <w:rsid w:val="00832584"/>
    <w:rsid w:val="008325E4"/>
    <w:rsid w:val="008332F0"/>
    <w:rsid w:val="00844DF0"/>
    <w:rsid w:val="008534A3"/>
    <w:rsid w:val="00855C68"/>
    <w:rsid w:val="00855E83"/>
    <w:rsid w:val="00861F39"/>
    <w:rsid w:val="00865C0E"/>
    <w:rsid w:val="00871914"/>
    <w:rsid w:val="00874A1E"/>
    <w:rsid w:val="008875B0"/>
    <w:rsid w:val="008A6A2F"/>
    <w:rsid w:val="008B08A0"/>
    <w:rsid w:val="008B17F8"/>
    <w:rsid w:val="008C3C7C"/>
    <w:rsid w:val="008C6CDF"/>
    <w:rsid w:val="008D119D"/>
    <w:rsid w:val="008D309A"/>
    <w:rsid w:val="008D4865"/>
    <w:rsid w:val="008D6541"/>
    <w:rsid w:val="008E0FC3"/>
    <w:rsid w:val="008E486A"/>
    <w:rsid w:val="008E7422"/>
    <w:rsid w:val="008F6C3E"/>
    <w:rsid w:val="00905410"/>
    <w:rsid w:val="0090791E"/>
    <w:rsid w:val="009108AB"/>
    <w:rsid w:val="00931711"/>
    <w:rsid w:val="00934218"/>
    <w:rsid w:val="00935D1B"/>
    <w:rsid w:val="009406A1"/>
    <w:rsid w:val="00947446"/>
    <w:rsid w:val="00947B40"/>
    <w:rsid w:val="00950B7F"/>
    <w:rsid w:val="009577D8"/>
    <w:rsid w:val="009716A8"/>
    <w:rsid w:val="0098249E"/>
    <w:rsid w:val="0098477E"/>
    <w:rsid w:val="009A128A"/>
    <w:rsid w:val="009B1115"/>
    <w:rsid w:val="009B185C"/>
    <w:rsid w:val="009C577C"/>
    <w:rsid w:val="009C57BE"/>
    <w:rsid w:val="009D4605"/>
    <w:rsid w:val="009E22CB"/>
    <w:rsid w:val="009F5AFA"/>
    <w:rsid w:val="00A0434D"/>
    <w:rsid w:val="00A16D5A"/>
    <w:rsid w:val="00A22C62"/>
    <w:rsid w:val="00A317AA"/>
    <w:rsid w:val="00A401F6"/>
    <w:rsid w:val="00A516BD"/>
    <w:rsid w:val="00A51D54"/>
    <w:rsid w:val="00A64238"/>
    <w:rsid w:val="00A7219B"/>
    <w:rsid w:val="00A725CF"/>
    <w:rsid w:val="00A84B50"/>
    <w:rsid w:val="00A87DD4"/>
    <w:rsid w:val="00A94B8B"/>
    <w:rsid w:val="00AA4AC9"/>
    <w:rsid w:val="00AC5845"/>
    <w:rsid w:val="00AF7FD0"/>
    <w:rsid w:val="00B001CB"/>
    <w:rsid w:val="00B0760E"/>
    <w:rsid w:val="00B1101B"/>
    <w:rsid w:val="00B17400"/>
    <w:rsid w:val="00B25C1B"/>
    <w:rsid w:val="00B30CCA"/>
    <w:rsid w:val="00B31703"/>
    <w:rsid w:val="00B34276"/>
    <w:rsid w:val="00B37696"/>
    <w:rsid w:val="00B73362"/>
    <w:rsid w:val="00B93025"/>
    <w:rsid w:val="00BB7F56"/>
    <w:rsid w:val="00BC30B1"/>
    <w:rsid w:val="00BC3DF0"/>
    <w:rsid w:val="00BD3A73"/>
    <w:rsid w:val="00BD6D4E"/>
    <w:rsid w:val="00BF3A2C"/>
    <w:rsid w:val="00BF3F84"/>
    <w:rsid w:val="00C0346C"/>
    <w:rsid w:val="00C072A6"/>
    <w:rsid w:val="00C10AE7"/>
    <w:rsid w:val="00C30E5C"/>
    <w:rsid w:val="00C31FB4"/>
    <w:rsid w:val="00C3644B"/>
    <w:rsid w:val="00C40ABF"/>
    <w:rsid w:val="00C4617A"/>
    <w:rsid w:val="00C56546"/>
    <w:rsid w:val="00C609AC"/>
    <w:rsid w:val="00C647D7"/>
    <w:rsid w:val="00C76D40"/>
    <w:rsid w:val="00C8080C"/>
    <w:rsid w:val="00C81523"/>
    <w:rsid w:val="00C8506F"/>
    <w:rsid w:val="00C85B3B"/>
    <w:rsid w:val="00CA100E"/>
    <w:rsid w:val="00CA1D8A"/>
    <w:rsid w:val="00CA209A"/>
    <w:rsid w:val="00CA2E12"/>
    <w:rsid w:val="00CB5AFD"/>
    <w:rsid w:val="00CC27D8"/>
    <w:rsid w:val="00CC6700"/>
    <w:rsid w:val="00CD1DB9"/>
    <w:rsid w:val="00CD3FCF"/>
    <w:rsid w:val="00CD6F9C"/>
    <w:rsid w:val="00CE0EC3"/>
    <w:rsid w:val="00CF2546"/>
    <w:rsid w:val="00CF56AC"/>
    <w:rsid w:val="00D0226B"/>
    <w:rsid w:val="00D03C46"/>
    <w:rsid w:val="00D067C2"/>
    <w:rsid w:val="00D178E3"/>
    <w:rsid w:val="00D223DC"/>
    <w:rsid w:val="00D26D8D"/>
    <w:rsid w:val="00D36893"/>
    <w:rsid w:val="00D407F0"/>
    <w:rsid w:val="00D40FF3"/>
    <w:rsid w:val="00D4305D"/>
    <w:rsid w:val="00D44AB9"/>
    <w:rsid w:val="00D65358"/>
    <w:rsid w:val="00D663C9"/>
    <w:rsid w:val="00D82E27"/>
    <w:rsid w:val="00D83577"/>
    <w:rsid w:val="00D85CB5"/>
    <w:rsid w:val="00D943E3"/>
    <w:rsid w:val="00DA15D4"/>
    <w:rsid w:val="00DA6B5E"/>
    <w:rsid w:val="00DB3C3D"/>
    <w:rsid w:val="00DB5037"/>
    <w:rsid w:val="00DC0413"/>
    <w:rsid w:val="00DD6E0B"/>
    <w:rsid w:val="00DE4861"/>
    <w:rsid w:val="00DF0B12"/>
    <w:rsid w:val="00DF0B9D"/>
    <w:rsid w:val="00E1228F"/>
    <w:rsid w:val="00E249F9"/>
    <w:rsid w:val="00E261ED"/>
    <w:rsid w:val="00E269A3"/>
    <w:rsid w:val="00E37AAB"/>
    <w:rsid w:val="00E41C9A"/>
    <w:rsid w:val="00E449E7"/>
    <w:rsid w:val="00E454E0"/>
    <w:rsid w:val="00E47640"/>
    <w:rsid w:val="00E55709"/>
    <w:rsid w:val="00E56AEE"/>
    <w:rsid w:val="00E664EE"/>
    <w:rsid w:val="00E676AA"/>
    <w:rsid w:val="00E7602E"/>
    <w:rsid w:val="00E76A0E"/>
    <w:rsid w:val="00E77CE4"/>
    <w:rsid w:val="00E83369"/>
    <w:rsid w:val="00E84879"/>
    <w:rsid w:val="00E85879"/>
    <w:rsid w:val="00E878C4"/>
    <w:rsid w:val="00E917EC"/>
    <w:rsid w:val="00E945B5"/>
    <w:rsid w:val="00E946A0"/>
    <w:rsid w:val="00EA41D6"/>
    <w:rsid w:val="00EA4A51"/>
    <w:rsid w:val="00EC4E76"/>
    <w:rsid w:val="00EE4F17"/>
    <w:rsid w:val="00F05A94"/>
    <w:rsid w:val="00F166D0"/>
    <w:rsid w:val="00F21BBB"/>
    <w:rsid w:val="00F47082"/>
    <w:rsid w:val="00F52E5A"/>
    <w:rsid w:val="00F71C82"/>
    <w:rsid w:val="00F7799A"/>
    <w:rsid w:val="00F81288"/>
    <w:rsid w:val="00F91F2A"/>
    <w:rsid w:val="00F9519C"/>
    <w:rsid w:val="00FB103F"/>
    <w:rsid w:val="00FC3C89"/>
    <w:rsid w:val="00FD11D6"/>
    <w:rsid w:val="00FD3D37"/>
    <w:rsid w:val="00FE1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0CCA"/>
    <w:pPr>
      <w:spacing w:before="75" w:after="75" w:line="240" w:lineRule="auto"/>
      <w:ind w:firstLine="375"/>
      <w:jc w:val="both"/>
    </w:pPr>
    <w:rPr>
      <w:rFonts w:eastAsia="Times New Roman"/>
      <w:lang w:eastAsia="lv-LV"/>
    </w:rPr>
  </w:style>
  <w:style w:type="paragraph" w:customStyle="1" w:styleId="naisnod">
    <w:name w:val="naisnod"/>
    <w:basedOn w:val="Normal"/>
    <w:rsid w:val="00B30CCA"/>
    <w:pPr>
      <w:spacing w:before="150" w:after="150" w:line="240" w:lineRule="auto"/>
      <w:jc w:val="center"/>
    </w:pPr>
    <w:rPr>
      <w:rFonts w:eastAsia="Times New Roman"/>
      <w:b/>
      <w:bCs/>
      <w:lang w:eastAsia="lv-LV"/>
    </w:rPr>
  </w:style>
  <w:style w:type="paragraph" w:customStyle="1" w:styleId="naislab">
    <w:name w:val="naislab"/>
    <w:basedOn w:val="Normal"/>
    <w:rsid w:val="00B30CCA"/>
    <w:pPr>
      <w:spacing w:before="75" w:after="75" w:line="240" w:lineRule="auto"/>
      <w:jc w:val="right"/>
    </w:pPr>
    <w:rPr>
      <w:rFonts w:eastAsia="Times New Roman"/>
      <w:lang w:eastAsia="lv-LV"/>
    </w:rPr>
  </w:style>
  <w:style w:type="paragraph" w:customStyle="1" w:styleId="naiskr">
    <w:name w:val="naiskr"/>
    <w:basedOn w:val="Normal"/>
    <w:rsid w:val="00B30CCA"/>
    <w:pPr>
      <w:spacing w:before="75" w:after="75" w:line="240" w:lineRule="auto"/>
    </w:pPr>
    <w:rPr>
      <w:rFonts w:eastAsia="Times New Roman"/>
      <w:lang w:eastAsia="lv-LV"/>
    </w:rPr>
  </w:style>
  <w:style w:type="paragraph" w:customStyle="1" w:styleId="naisc">
    <w:name w:val="naisc"/>
    <w:basedOn w:val="Normal"/>
    <w:rsid w:val="00B30CCA"/>
    <w:pPr>
      <w:spacing w:before="75" w:after="75" w:line="240" w:lineRule="auto"/>
      <w:jc w:val="center"/>
    </w:pPr>
    <w:rPr>
      <w:rFonts w:eastAsia="Times New Roman"/>
      <w:lang w:eastAsia="lv-LV"/>
    </w:rPr>
  </w:style>
  <w:style w:type="paragraph" w:styleId="ListParagraph">
    <w:name w:val="List Paragraph"/>
    <w:basedOn w:val="Normal"/>
    <w:uiPriority w:val="34"/>
    <w:qFormat/>
    <w:rsid w:val="007351C9"/>
    <w:pPr>
      <w:ind w:left="720"/>
      <w:contextualSpacing/>
    </w:pPr>
  </w:style>
  <w:style w:type="character" w:styleId="Hyperlink">
    <w:name w:val="Hyperlink"/>
    <w:basedOn w:val="DefaultParagraphFont"/>
    <w:uiPriority w:val="99"/>
    <w:unhideWhenUsed/>
    <w:rsid w:val="00630C5F"/>
    <w:rPr>
      <w:strike w:val="0"/>
      <w:dstrike w:val="0"/>
      <w:color w:val="40407C"/>
      <w:u w:val="none"/>
      <w:effect w:val="none"/>
    </w:rPr>
  </w:style>
  <w:style w:type="paragraph" w:styleId="Header">
    <w:name w:val="header"/>
    <w:basedOn w:val="Normal"/>
    <w:link w:val="HeaderChar"/>
    <w:uiPriority w:val="99"/>
    <w:unhideWhenUsed/>
    <w:rsid w:val="004163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3D3"/>
  </w:style>
  <w:style w:type="paragraph" w:styleId="Footer">
    <w:name w:val="footer"/>
    <w:basedOn w:val="Normal"/>
    <w:link w:val="FooterChar"/>
    <w:uiPriority w:val="99"/>
    <w:unhideWhenUsed/>
    <w:rsid w:val="004163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63D3"/>
  </w:style>
  <w:style w:type="paragraph" w:styleId="BalloonText">
    <w:name w:val="Balloon Text"/>
    <w:basedOn w:val="Normal"/>
    <w:link w:val="BalloonTextChar"/>
    <w:uiPriority w:val="99"/>
    <w:semiHidden/>
    <w:unhideWhenUsed/>
    <w:rsid w:val="0041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3D3"/>
    <w:rPr>
      <w:rFonts w:ascii="Tahoma" w:hAnsi="Tahoma" w:cs="Tahoma"/>
      <w:sz w:val="16"/>
      <w:szCs w:val="16"/>
    </w:rPr>
  </w:style>
  <w:style w:type="paragraph" w:styleId="BodyTextIndent3">
    <w:name w:val="Body Text Indent 3"/>
    <w:basedOn w:val="Normal"/>
    <w:link w:val="BodyTextIndent3Char"/>
    <w:rsid w:val="00C56546"/>
    <w:pPr>
      <w:spacing w:after="120" w:line="240" w:lineRule="auto"/>
      <w:ind w:left="283"/>
    </w:pPr>
    <w:rPr>
      <w:rFonts w:eastAsia="Times New Roman"/>
      <w:sz w:val="16"/>
      <w:szCs w:val="16"/>
      <w:lang w:val="en-US"/>
    </w:rPr>
  </w:style>
  <w:style w:type="character" w:customStyle="1" w:styleId="BodyTextIndent3Char">
    <w:name w:val="Body Text Indent 3 Char"/>
    <w:basedOn w:val="DefaultParagraphFont"/>
    <w:link w:val="BodyTextIndent3"/>
    <w:rsid w:val="00C56546"/>
    <w:rPr>
      <w:rFonts w:eastAsia="Times New Roman"/>
      <w:sz w:val="16"/>
      <w:szCs w:val="16"/>
      <w:lang w:val="en-US"/>
    </w:rPr>
  </w:style>
  <w:style w:type="paragraph" w:customStyle="1" w:styleId="msolistparagraph0">
    <w:name w:val="msolistparagraph"/>
    <w:basedOn w:val="Normal"/>
    <w:rsid w:val="00A725CF"/>
    <w:pPr>
      <w:spacing w:after="0" w:line="240" w:lineRule="auto"/>
      <w:ind w:left="720"/>
    </w:pPr>
    <w:rPr>
      <w:rFonts w:ascii="Calibri" w:eastAsia="Times New Roman" w:hAnsi="Calibri"/>
      <w:sz w:val="22"/>
      <w:szCs w:val="22"/>
      <w:lang w:eastAsia="lv-LV"/>
    </w:rPr>
  </w:style>
  <w:style w:type="character" w:styleId="Strong">
    <w:name w:val="Strong"/>
    <w:basedOn w:val="DefaultParagraphFont"/>
    <w:uiPriority w:val="22"/>
    <w:qFormat/>
    <w:rsid w:val="00CF56AC"/>
    <w:rPr>
      <w:b/>
      <w:bCs/>
    </w:rPr>
  </w:style>
</w:styles>
</file>

<file path=word/webSettings.xml><?xml version="1.0" encoding="utf-8"?>
<w:webSettings xmlns:r="http://schemas.openxmlformats.org/officeDocument/2006/relationships" xmlns:w="http://schemas.openxmlformats.org/wordprocessingml/2006/main">
  <w:divs>
    <w:div w:id="811602856">
      <w:bodyDiv w:val="1"/>
      <w:marLeft w:val="0"/>
      <w:marRight w:val="0"/>
      <w:marTop w:val="0"/>
      <w:marBottom w:val="0"/>
      <w:divBdr>
        <w:top w:val="none" w:sz="0" w:space="0" w:color="auto"/>
        <w:left w:val="none" w:sz="0" w:space="0" w:color="auto"/>
        <w:bottom w:val="none" w:sz="0" w:space="0" w:color="auto"/>
        <w:right w:val="none" w:sz="0" w:space="0" w:color="auto"/>
      </w:divBdr>
    </w:div>
    <w:div w:id="8913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99L0013:20090112: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B9FE-2660-40B4-BD40-E996B3BC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14</Pages>
  <Words>2393</Words>
  <Characters>17278</Characters>
  <Application>Microsoft Office Word</Application>
  <DocSecurity>0</DocSecurity>
  <Lines>863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noteikumu projektam „Kārtība, kādā ierobežojama gaistošo organisko savienojumu emisija no iekārtām, kurās izmanto organiskos šķīdinātājus”</dc:title>
  <dc:subject>Noteikumu projekta anotācija</dc:subject>
  <dc:creator>Lana Maslova</dc:creator>
  <dc:description>lana.maslova@varam.gov.lv;
t.67026586</dc:description>
  <cp:lastModifiedBy>lanam</cp:lastModifiedBy>
  <cp:revision>265</cp:revision>
  <cp:lastPrinted>2012-09-17T12:44:00Z</cp:lastPrinted>
  <dcterms:created xsi:type="dcterms:W3CDTF">2012-03-22T13:26:00Z</dcterms:created>
  <dcterms:modified xsi:type="dcterms:W3CDTF">2013-02-25T13:54:00Z</dcterms:modified>
</cp:coreProperties>
</file>