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73" w:rsidRPr="00FE092B" w:rsidRDefault="005E3073" w:rsidP="005E3073">
      <w:pPr>
        <w:jc w:val="center"/>
        <w:rPr>
          <w:b/>
          <w:bCs/>
          <w:sz w:val="28"/>
          <w:szCs w:val="28"/>
        </w:rPr>
      </w:pPr>
      <w:r w:rsidRPr="00FE092B">
        <w:rPr>
          <w:b/>
          <w:bCs/>
          <w:sz w:val="28"/>
          <w:szCs w:val="28"/>
        </w:rPr>
        <w:t>Noteikumu projekta „Prasības darbībām ar biocīdiem”</w:t>
      </w:r>
    </w:p>
    <w:p w:rsidR="005E3073" w:rsidRPr="00FE092B" w:rsidRDefault="005E3073" w:rsidP="005E3073">
      <w:pPr>
        <w:pStyle w:val="naisc"/>
        <w:spacing w:before="0" w:after="0"/>
        <w:rPr>
          <w:sz w:val="28"/>
          <w:szCs w:val="28"/>
        </w:rPr>
      </w:pPr>
      <w:r w:rsidRPr="00FE092B">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FE092B">
          <w:rPr>
            <w:b/>
            <w:bCs/>
            <w:sz w:val="28"/>
            <w:szCs w:val="28"/>
          </w:rPr>
          <w:t>ziņojums</w:t>
        </w:r>
      </w:smartTag>
      <w:r w:rsidRPr="00FE092B">
        <w:rPr>
          <w:b/>
          <w:bCs/>
          <w:sz w:val="28"/>
          <w:szCs w:val="28"/>
        </w:rPr>
        <w:t xml:space="preserve"> (anotācija)</w:t>
      </w:r>
    </w:p>
    <w:p w:rsidR="005E3073" w:rsidRPr="00FE092B" w:rsidRDefault="005E3073" w:rsidP="005E3073">
      <w:pPr>
        <w:pStyle w:val="naisc"/>
      </w:pPr>
      <w:r w:rsidRPr="00FE092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4"/>
        <w:gridCol w:w="2154"/>
        <w:gridCol w:w="5688"/>
      </w:tblGrid>
      <w:tr w:rsidR="005E3073" w:rsidRPr="00FE092B" w:rsidTr="0079104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pStyle w:val="naisc"/>
              <w:rPr>
                <w:sz w:val="28"/>
                <w:szCs w:val="28"/>
              </w:rPr>
            </w:pPr>
            <w:r w:rsidRPr="00FE092B">
              <w:rPr>
                <w:b/>
                <w:bCs/>
                <w:sz w:val="28"/>
                <w:szCs w:val="28"/>
              </w:rPr>
              <w:t> I. Tiesību akta projekta izstrādes nepieciešamība</w:t>
            </w:r>
          </w:p>
        </w:tc>
      </w:tr>
      <w:tr w:rsidR="005E3073" w:rsidRPr="00FE092B" w:rsidTr="0079104F">
        <w:trPr>
          <w:trHeight w:val="630"/>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1.</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lab"/>
              <w:ind w:left="75" w:right="105"/>
              <w:jc w:val="left"/>
              <w:rPr>
                <w:sz w:val="28"/>
                <w:szCs w:val="28"/>
              </w:rPr>
            </w:pPr>
            <w:r w:rsidRPr="00FE092B">
              <w:rPr>
                <w:sz w:val="28"/>
                <w:szCs w:val="28"/>
              </w:rPr>
              <w:t>Pamatojums</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71"/>
              <w:jc w:val="both"/>
              <w:rPr>
                <w:sz w:val="28"/>
                <w:szCs w:val="28"/>
              </w:rPr>
            </w:pPr>
            <w:r w:rsidRPr="00FE092B">
              <w:rPr>
                <w:sz w:val="28"/>
                <w:szCs w:val="28"/>
              </w:rPr>
              <w:t>Tā kā no 2013.gada 1.septembra tiek piemērotas Eiropas Parlamenta un Padomes 2012.gada 22.maija regulas Nr.528/2012 par biocīdu piedāvāšanu tirgū un lietošanu (turpmāk – regula Nr.528/2012) prasības, spēku zaudēs Ministru kabineta 2003.gada 15.aprīļa noteikumi Nr.184 „Prasības darbībām ar biocīdiem”, bet saskaņā ar regulas Nr.528/2012 89.panta 2.punktu dalībvalstis var turpināt piemērot tās pašreizējo sistēmu biocīdu izvietošanai tirgū, kas atbilst regulas Nr.528/2012 89.panta 2.punktā noteiktajiem kritērijiem, līdz ar to nepieciešami Ministru kabineta noteikumi, kas nosaka nacionālo sistēmu, t.i., biocīdu inventarizācijas numuru izsniegšanu.</w:t>
            </w:r>
          </w:p>
        </w:tc>
      </w:tr>
      <w:tr w:rsidR="005E3073" w:rsidRPr="00FE092B" w:rsidTr="0079104F">
        <w:trPr>
          <w:trHeight w:val="472"/>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2.</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75" w:right="105"/>
              <w:rPr>
                <w:sz w:val="28"/>
                <w:szCs w:val="28"/>
              </w:rPr>
            </w:pPr>
            <w:r w:rsidRPr="00FE092B">
              <w:rPr>
                <w:sz w:val="28"/>
                <w:szCs w:val="28"/>
              </w:rPr>
              <w:t>Pašreizējā situācija un problēmas</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spacing w:before="60" w:after="60"/>
              <w:ind w:left="108" w:right="74"/>
              <w:jc w:val="both"/>
              <w:rPr>
                <w:sz w:val="28"/>
                <w:szCs w:val="28"/>
              </w:rPr>
            </w:pPr>
            <w:r w:rsidRPr="00FE092B">
              <w:rPr>
                <w:sz w:val="28"/>
                <w:szCs w:val="28"/>
              </w:rPr>
              <w:t>Šobrīd ir spēkā Ministru kabineta 2003.gada 15.aprīļa noteikumi Nr.184 „Prasības darbībām ar biocīdiem” (turpmāk – noteikumi Nr.184), kas līdz ar regulas Nr.528/2012 prasību piemērošanu no 2013.gada 1.septembra, zaudēs spēku.</w:t>
            </w:r>
          </w:p>
          <w:p w:rsidR="005E3073" w:rsidRPr="00FE092B" w:rsidRDefault="005E3073" w:rsidP="0079104F">
            <w:pPr>
              <w:spacing w:before="60" w:after="60"/>
              <w:ind w:left="108" w:right="74"/>
              <w:jc w:val="both"/>
            </w:pPr>
            <w:r w:rsidRPr="00FE092B">
              <w:rPr>
                <w:sz w:val="28"/>
                <w:szCs w:val="28"/>
              </w:rPr>
              <w:t>Regula Nr.528/2012 89.pants nosaka, ka Komisija turpina uzsākto darbu pie esošo aktīvo vielu izvērtēšanas, līdz ar to šajā laikā dalībvalstis piemēro nacionālo sistēmu, saskaņā ar regulas Nr.528/2012 89.panat 2.punktu. Latvijas nacionālā sistēma ir biocīda inventarizācijas numura izsniegšana, kas šobrīd ir noteikta noteikumos Nr.184. Tā kā lielākā daļa noteikumu Nr.184 prasības zaudē spēku, lietderīgāk ir izdot jaunus MK noteikumus, kuros saglabāta nacionālā sistēma, t.i., ka valsts sabiedrībā ar ierobežotu atbildību „Latvijas Vides, ģeoloģijas un meteoroloģijas centrs” (turpmāk – LVĢMC) turpina izsniegt biocīdu inventarizācijas numurus</w:t>
            </w:r>
            <w:r w:rsidRPr="00FE092B">
              <w:t>.</w:t>
            </w:r>
          </w:p>
          <w:p w:rsidR="005E3073" w:rsidRPr="00FE092B" w:rsidRDefault="005E3073" w:rsidP="0079104F">
            <w:pPr>
              <w:spacing w:before="60" w:after="60"/>
              <w:ind w:left="108" w:right="74"/>
              <w:jc w:val="both"/>
            </w:pPr>
            <w:r w:rsidRPr="00FE092B">
              <w:rPr>
                <w:sz w:val="28"/>
                <w:szCs w:val="28"/>
              </w:rPr>
              <w:t xml:space="preserve">LVĢMC apkopo izsniegtos biocīdu </w:t>
            </w:r>
            <w:r w:rsidRPr="00FE092B">
              <w:rPr>
                <w:sz w:val="28"/>
                <w:szCs w:val="28"/>
              </w:rPr>
              <w:lastRenderedPageBreak/>
              <w:t xml:space="preserve">inventarizācijas numurus un publicē tos savā tīmekļa vietnē </w:t>
            </w:r>
            <w:hyperlink r:id="rId5" w:history="1">
              <w:r w:rsidRPr="00FE092B">
                <w:rPr>
                  <w:rStyle w:val="Hyperlink"/>
                  <w:sz w:val="28"/>
                  <w:szCs w:val="28"/>
                </w:rPr>
                <w:t>www.lvgmc.lv</w:t>
              </w:r>
            </w:hyperlink>
            <w:r w:rsidRPr="00FE092B">
              <w:rPr>
                <w:sz w:val="28"/>
                <w:szCs w:val="28"/>
              </w:rPr>
              <w:t>. Gadījumos, kad tiek pieņemti jauni tiesību akti, kas maina kāda produkta piederību biocīdiem, centrs nosaka biocīda inventarizācijas numura derīguma termiņu, dodot laiku uzņēmumam sakārtot dokumentāciju atbilstošo normatīvajiem aktiem.</w:t>
            </w:r>
          </w:p>
        </w:tc>
      </w:tr>
      <w:tr w:rsidR="005E3073" w:rsidRPr="00FE092B" w:rsidTr="0079104F">
        <w:trPr>
          <w:trHeight w:val="1071"/>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3.</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75" w:right="105"/>
              <w:rPr>
                <w:sz w:val="28"/>
                <w:szCs w:val="28"/>
              </w:rPr>
            </w:pPr>
            <w:r w:rsidRPr="00FE092B">
              <w:rPr>
                <w:sz w:val="28"/>
                <w:szCs w:val="28"/>
              </w:rPr>
              <w:t>Saistītie politikas ietekmes novērtējumi un pētījumi</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f"/>
              <w:ind w:left="105" w:firstLine="0"/>
              <w:rPr>
                <w:sz w:val="28"/>
                <w:szCs w:val="28"/>
              </w:rPr>
            </w:pPr>
            <w:r w:rsidRPr="00FE092B">
              <w:rPr>
                <w:sz w:val="28"/>
                <w:szCs w:val="28"/>
              </w:rPr>
              <w:t>Nav attiecināms.</w:t>
            </w:r>
          </w:p>
        </w:tc>
      </w:tr>
      <w:tr w:rsidR="005E3073" w:rsidRPr="00FE092B" w:rsidTr="0079104F">
        <w:trPr>
          <w:trHeight w:val="2136"/>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4.</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75" w:right="105"/>
              <w:rPr>
                <w:sz w:val="28"/>
                <w:szCs w:val="28"/>
              </w:rPr>
            </w:pPr>
            <w:r w:rsidRPr="00FE092B">
              <w:rPr>
                <w:sz w:val="28"/>
                <w:szCs w:val="28"/>
              </w:rPr>
              <w:t>Tiesiskā regulējuma mērķis un būtība</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tabs>
                <w:tab w:val="left" w:pos="1134"/>
              </w:tabs>
              <w:ind w:firstLine="684"/>
              <w:jc w:val="both"/>
              <w:rPr>
                <w:sz w:val="28"/>
                <w:szCs w:val="28"/>
              </w:rPr>
            </w:pPr>
            <w:r w:rsidRPr="00FE092B">
              <w:rPr>
                <w:sz w:val="28"/>
                <w:szCs w:val="28"/>
              </w:rPr>
              <w:t>Biocīdiem, kas atbilst regulas Nr.528/2012 89.panta 2.punkta kritērijiem, un kurus paredzēts izvietot Latvijas tirgū, LVĢMC piešķir biocīdu inventarizācijas numurus pamatojoties uz biocīda ražotāja, fiziskas vai juridiskas personas iesniegumu. Biocīda inventarizācijas numurus LVĢMC izsniedz līdz regulas Nr.528/2012 89.panta 1.punktā noteiktajam datumam.</w:t>
            </w:r>
          </w:p>
          <w:p w:rsidR="005E3073" w:rsidRPr="00FE092B" w:rsidRDefault="005E3073" w:rsidP="0079104F">
            <w:pPr>
              <w:tabs>
                <w:tab w:val="left" w:pos="1134"/>
              </w:tabs>
              <w:ind w:firstLine="684"/>
              <w:jc w:val="both"/>
              <w:rPr>
                <w:sz w:val="28"/>
                <w:szCs w:val="28"/>
              </w:rPr>
            </w:pPr>
            <w:r w:rsidRPr="00FE092B">
              <w:rPr>
                <w:sz w:val="28"/>
                <w:szCs w:val="28"/>
              </w:rPr>
              <w:t>Latvijā regulā Nr.528/2012 noteiktā kompetentā iestāde ir LVĢMC, kas papildus biocīda inventarizācijas numura izsniegšanai vēl:</w:t>
            </w:r>
          </w:p>
          <w:p w:rsidR="005E3073" w:rsidRPr="00FE092B" w:rsidRDefault="005E3073" w:rsidP="0079104F">
            <w:pPr>
              <w:ind w:left="60" w:firstLine="284"/>
              <w:jc w:val="both"/>
              <w:rPr>
                <w:sz w:val="28"/>
                <w:szCs w:val="28"/>
              </w:rPr>
            </w:pPr>
            <w:r w:rsidRPr="00FE092B">
              <w:rPr>
                <w:sz w:val="28"/>
                <w:szCs w:val="28"/>
              </w:rPr>
              <w:t>- izvērtē aktīvās vielas pieteikumu saskaņā ar regulas Nr.528/2012 7.pantu un 8.pantu;</w:t>
            </w:r>
          </w:p>
          <w:p w:rsidR="005E3073" w:rsidRPr="00FE092B" w:rsidRDefault="005E3073" w:rsidP="0079104F">
            <w:pPr>
              <w:ind w:left="60" w:firstLine="284"/>
              <w:jc w:val="both"/>
              <w:rPr>
                <w:sz w:val="28"/>
                <w:szCs w:val="28"/>
              </w:rPr>
            </w:pPr>
            <w:r w:rsidRPr="00FE092B">
              <w:rPr>
                <w:sz w:val="28"/>
                <w:szCs w:val="28"/>
              </w:rPr>
              <w:t>- izvērtē pieteikumu aktīvās vielas atjaunošanai saskaņā ar regulas Nr. 528/2012 13.pantu un 14.pantu;</w:t>
            </w:r>
          </w:p>
          <w:p w:rsidR="005E3073" w:rsidRPr="00FE092B" w:rsidRDefault="005E3073" w:rsidP="0079104F">
            <w:pPr>
              <w:ind w:left="60" w:firstLine="284"/>
              <w:jc w:val="both"/>
              <w:rPr>
                <w:sz w:val="28"/>
                <w:szCs w:val="28"/>
              </w:rPr>
            </w:pPr>
            <w:r w:rsidRPr="00FE092B">
              <w:rPr>
                <w:sz w:val="28"/>
                <w:szCs w:val="28"/>
              </w:rPr>
              <w:t>- izsniedz biocīdiem valsts atļauju saskaņā ar regulas Nr.528/2012 17.pantu;</w:t>
            </w:r>
          </w:p>
          <w:p w:rsidR="005E3073" w:rsidRPr="00FE092B" w:rsidRDefault="005E3073" w:rsidP="0079104F">
            <w:pPr>
              <w:ind w:left="60" w:firstLine="284"/>
              <w:jc w:val="both"/>
              <w:rPr>
                <w:sz w:val="28"/>
                <w:szCs w:val="28"/>
              </w:rPr>
            </w:pPr>
            <w:r w:rsidRPr="00FE092B">
              <w:rPr>
                <w:sz w:val="28"/>
                <w:szCs w:val="28"/>
              </w:rPr>
              <w:t>- veic biocīdu salīdzinošo novērtējumu saskaņā ar regulas Nr. 528/2012 23.pantu;</w:t>
            </w:r>
          </w:p>
          <w:p w:rsidR="005E3073" w:rsidRPr="00FE092B" w:rsidRDefault="005E3073" w:rsidP="0079104F">
            <w:pPr>
              <w:pStyle w:val="CM1"/>
              <w:ind w:firstLine="344"/>
              <w:jc w:val="both"/>
              <w:rPr>
                <w:sz w:val="28"/>
                <w:szCs w:val="28"/>
              </w:rPr>
            </w:pPr>
            <w:r w:rsidRPr="00FE092B">
              <w:rPr>
                <w:sz w:val="28"/>
                <w:szCs w:val="28"/>
              </w:rPr>
              <w:t xml:space="preserve">- izsniedz atļauju vienkāršotā procedūrā saskaņā ar regulas Nr.528/2012 26.pantu (t.i., saņemt atļauju vienkāršotā procedūrā var, ja biocīds atbilst šādiem nosacījumiem - visas biocīdā esošās aktīvās vielas ir uzskaitītas regulas Nr.528/2012 1.pielikumā, un tās atbilst visiem minētajā pielikumā noteiktajiem ierobežojumiem; biocīdā nav vielu, kas rada bažas; biocīds nesatur </w:t>
            </w:r>
            <w:proofErr w:type="spellStart"/>
            <w:r w:rsidRPr="00FE092B">
              <w:rPr>
                <w:sz w:val="28"/>
                <w:szCs w:val="28"/>
              </w:rPr>
              <w:t>nanomateriālus</w:t>
            </w:r>
            <w:proofErr w:type="spellEnd"/>
            <w:r w:rsidRPr="00FE092B">
              <w:rPr>
                <w:sz w:val="28"/>
                <w:szCs w:val="28"/>
              </w:rPr>
              <w:t xml:space="preserve">; biocīds ir pietiekami efektīvs; un biocīda izmantošanai un tā paredzētajam lietojumam nav vajadzīgi individuālie </w:t>
            </w:r>
            <w:r w:rsidRPr="00FE092B">
              <w:rPr>
                <w:sz w:val="28"/>
                <w:szCs w:val="28"/>
              </w:rPr>
              <w:lastRenderedPageBreak/>
              <w:t>aizsardzības līdzekļi.);</w:t>
            </w:r>
          </w:p>
          <w:p w:rsidR="005E3073" w:rsidRPr="00FE092B" w:rsidRDefault="005E3073" w:rsidP="0079104F">
            <w:pPr>
              <w:ind w:left="60" w:firstLine="284"/>
              <w:jc w:val="both"/>
              <w:rPr>
                <w:sz w:val="28"/>
                <w:szCs w:val="28"/>
              </w:rPr>
            </w:pPr>
            <w:r w:rsidRPr="00FE092B">
              <w:rPr>
                <w:sz w:val="28"/>
                <w:szCs w:val="28"/>
              </w:rPr>
              <w:t>- izskata paziņojumus par atļaujām, kas piešķirtas vienkāršotā procedūrā saskaņā ar regulas Nr.528/2012 27.pantu;</w:t>
            </w:r>
          </w:p>
          <w:p w:rsidR="005E3073" w:rsidRPr="00FE092B" w:rsidRDefault="005E3073" w:rsidP="0079104F">
            <w:pPr>
              <w:pStyle w:val="CM1"/>
              <w:ind w:firstLine="204"/>
              <w:jc w:val="both"/>
              <w:rPr>
                <w:sz w:val="28"/>
                <w:szCs w:val="28"/>
              </w:rPr>
            </w:pPr>
            <w:r w:rsidRPr="00FE092B">
              <w:rPr>
                <w:sz w:val="28"/>
                <w:szCs w:val="28"/>
              </w:rPr>
              <w:t>- izsniedz atļauju valsts atļaujas secīgas savstarpējas atzīšanas procesā saskaņā ar regulas Nr.528/2012 33.pantu (t.i., kad nepieciešamā dokumentācija atļaujas savstarpējai atzīšanai tiek iesniegta attiecīgajā dalībvalstī, kad atļauja jau ir saņemta);</w:t>
            </w:r>
          </w:p>
          <w:p w:rsidR="005E3073" w:rsidRPr="00FE092B" w:rsidRDefault="005E3073" w:rsidP="0079104F">
            <w:pPr>
              <w:pStyle w:val="CM1"/>
              <w:ind w:firstLine="204"/>
              <w:jc w:val="both"/>
              <w:rPr>
                <w:sz w:val="28"/>
                <w:szCs w:val="28"/>
              </w:rPr>
            </w:pPr>
            <w:r w:rsidRPr="00FE092B">
              <w:rPr>
                <w:sz w:val="28"/>
                <w:szCs w:val="28"/>
              </w:rPr>
              <w:t>- izsniedz atļauju valsts atļaujas vienlaicīgas savstarpējas atzīšanas procesā saskaņā ar regulas Nr. 528/2012 34.pantu (t.i., kad nepieciešamā dokumentācija atļaujas savstarpējai atzīšanai attiecīgajā dalībvalstī tiek iesniegta vienlaicīgi ar dokumentācijas iesniegšanu atļaujas saņemšanai);</w:t>
            </w:r>
          </w:p>
          <w:p w:rsidR="005E3073" w:rsidRPr="00FE092B" w:rsidRDefault="005E3073" w:rsidP="0079104F">
            <w:pPr>
              <w:ind w:left="60" w:firstLine="284"/>
              <w:jc w:val="both"/>
              <w:rPr>
                <w:sz w:val="28"/>
                <w:szCs w:val="28"/>
              </w:rPr>
            </w:pPr>
            <w:r w:rsidRPr="00FE092B">
              <w:rPr>
                <w:rFonts w:ascii="EUAlbertina" w:hAnsi="EUAlbertina"/>
                <w:sz w:val="28"/>
                <w:szCs w:val="28"/>
              </w:rPr>
              <w:t>- izvērtē pieteikumu Savienības atļaujai saskaņā ar regulas Nr.528/2012 43.pantu un 44.pantu</w:t>
            </w:r>
            <w:r w:rsidRPr="00FE092B">
              <w:rPr>
                <w:sz w:val="28"/>
                <w:szCs w:val="28"/>
              </w:rPr>
              <w:t>;</w:t>
            </w:r>
          </w:p>
          <w:p w:rsidR="005E3073" w:rsidRPr="00FE092B" w:rsidRDefault="005E3073" w:rsidP="0079104F">
            <w:pPr>
              <w:ind w:left="60" w:firstLine="284"/>
              <w:jc w:val="both"/>
              <w:rPr>
                <w:sz w:val="28"/>
                <w:szCs w:val="28"/>
              </w:rPr>
            </w:pPr>
            <w:r w:rsidRPr="00FE092B">
              <w:rPr>
                <w:sz w:val="28"/>
                <w:szCs w:val="28"/>
              </w:rPr>
              <w:t>- izvērtē pieteikumu Savienības atļaujas atjaunošanas gadījumā saskaņā ar regulas Nr.528/2012 45.pantu;</w:t>
            </w:r>
          </w:p>
          <w:p w:rsidR="005E3073" w:rsidRPr="00FE092B" w:rsidRDefault="005E3073" w:rsidP="0079104F">
            <w:pPr>
              <w:ind w:left="60" w:firstLine="284"/>
              <w:jc w:val="both"/>
              <w:rPr>
                <w:sz w:val="28"/>
                <w:szCs w:val="28"/>
              </w:rPr>
            </w:pPr>
            <w:r w:rsidRPr="00FE092B">
              <w:rPr>
                <w:sz w:val="28"/>
                <w:szCs w:val="28"/>
              </w:rPr>
              <w:t>- anulē, pārskata vai groza valsts atļauju saskaņā ar regulas Nr.528/2012 48., 49. un 50.pantu;</w:t>
            </w:r>
          </w:p>
          <w:p w:rsidR="005E3073" w:rsidRPr="00FE092B" w:rsidRDefault="005E3073" w:rsidP="0079104F">
            <w:pPr>
              <w:ind w:left="60" w:firstLine="284"/>
              <w:jc w:val="both"/>
              <w:rPr>
                <w:sz w:val="28"/>
                <w:szCs w:val="28"/>
              </w:rPr>
            </w:pPr>
            <w:r w:rsidRPr="00FE092B">
              <w:rPr>
                <w:sz w:val="28"/>
                <w:szCs w:val="28"/>
              </w:rPr>
              <w:t>- izsniedz paralēlās tirdzniecības atļauju saskaņā ar regulas Nr.528/2012 53.pantu;</w:t>
            </w:r>
          </w:p>
          <w:p w:rsidR="005E3073" w:rsidRPr="00FE092B" w:rsidRDefault="005E3073" w:rsidP="0079104F">
            <w:pPr>
              <w:ind w:left="60" w:firstLine="284"/>
              <w:jc w:val="both"/>
              <w:rPr>
                <w:sz w:val="28"/>
                <w:szCs w:val="28"/>
              </w:rPr>
            </w:pPr>
            <w:r w:rsidRPr="00FE092B">
              <w:rPr>
                <w:sz w:val="28"/>
                <w:szCs w:val="28"/>
              </w:rPr>
              <w:t>- veic arī citas kompetentās iestādes funkcijas, kas izriet no regulas Nr.528/2012.</w:t>
            </w:r>
          </w:p>
          <w:p w:rsidR="005E3073" w:rsidRPr="00FE092B" w:rsidRDefault="005E3073" w:rsidP="0079104F">
            <w:pPr>
              <w:tabs>
                <w:tab w:val="left" w:pos="1276"/>
              </w:tabs>
              <w:ind w:firstLine="684"/>
              <w:jc w:val="both"/>
              <w:rPr>
                <w:szCs w:val="28"/>
              </w:rPr>
            </w:pPr>
          </w:p>
          <w:p w:rsidR="005E3073" w:rsidRPr="00FE092B" w:rsidRDefault="005E3073" w:rsidP="0079104F">
            <w:pPr>
              <w:tabs>
                <w:tab w:val="left" w:pos="1276"/>
              </w:tabs>
              <w:ind w:firstLine="684"/>
              <w:jc w:val="both"/>
              <w:rPr>
                <w:sz w:val="28"/>
                <w:szCs w:val="28"/>
              </w:rPr>
            </w:pPr>
            <w:r w:rsidRPr="00FE092B">
              <w:rPr>
                <w:sz w:val="28"/>
                <w:szCs w:val="28"/>
              </w:rPr>
              <w:t>Noteikumu projekts paredz arī kādos gadījumos LVĢMC var atteikt piešķirt biocīdu inventarizācijas numuru, ja:</w:t>
            </w:r>
          </w:p>
          <w:p w:rsidR="005E3073" w:rsidRPr="00FE092B" w:rsidRDefault="005E3073" w:rsidP="0079104F">
            <w:pPr>
              <w:tabs>
                <w:tab w:val="left" w:pos="1276"/>
              </w:tabs>
              <w:ind w:firstLine="684"/>
              <w:jc w:val="both"/>
              <w:rPr>
                <w:sz w:val="28"/>
                <w:szCs w:val="28"/>
              </w:rPr>
            </w:pPr>
            <w:r w:rsidRPr="00FE092B">
              <w:rPr>
                <w:sz w:val="28"/>
                <w:szCs w:val="28"/>
              </w:rPr>
              <w:t>- iesniegtais biocīds neatbilst regulas Nr.528/2012 3.panta 1.punkta biocīda definīcijai;</w:t>
            </w:r>
          </w:p>
          <w:p w:rsidR="005E3073" w:rsidRPr="00FE092B" w:rsidRDefault="005E3073" w:rsidP="0079104F">
            <w:pPr>
              <w:tabs>
                <w:tab w:val="left" w:pos="1276"/>
              </w:tabs>
              <w:ind w:firstLine="684"/>
              <w:jc w:val="both"/>
              <w:rPr>
                <w:sz w:val="28"/>
                <w:szCs w:val="28"/>
              </w:rPr>
            </w:pPr>
            <w:r w:rsidRPr="00FE092B">
              <w:rPr>
                <w:sz w:val="28"/>
                <w:szCs w:val="28"/>
              </w:rPr>
              <w:t xml:space="preserve">- biocīdam nepieciešamas šo noteikumu 2.2. – 2.14.punktā minētā procedūras; </w:t>
            </w:r>
          </w:p>
          <w:p w:rsidR="005E3073" w:rsidRPr="00FE092B" w:rsidRDefault="005E3073" w:rsidP="0079104F">
            <w:pPr>
              <w:tabs>
                <w:tab w:val="left" w:pos="1276"/>
              </w:tabs>
              <w:ind w:firstLine="684"/>
              <w:jc w:val="both"/>
              <w:rPr>
                <w:sz w:val="28"/>
                <w:szCs w:val="28"/>
              </w:rPr>
            </w:pPr>
            <w:r w:rsidRPr="00FE092B">
              <w:rPr>
                <w:sz w:val="28"/>
                <w:szCs w:val="28"/>
              </w:rPr>
              <w:t>- iesniegumā norādīta kāda no 2.pielikumā norādītājām aktīvajām vielām;</w:t>
            </w:r>
          </w:p>
          <w:p w:rsidR="005E3073" w:rsidRPr="00FE092B" w:rsidRDefault="005E3073" w:rsidP="0079104F">
            <w:pPr>
              <w:tabs>
                <w:tab w:val="left" w:pos="1276"/>
              </w:tabs>
              <w:ind w:firstLine="684"/>
              <w:jc w:val="both"/>
              <w:rPr>
                <w:sz w:val="28"/>
                <w:szCs w:val="28"/>
              </w:rPr>
            </w:pPr>
            <w:r w:rsidRPr="00FE092B">
              <w:rPr>
                <w:sz w:val="28"/>
                <w:szCs w:val="28"/>
              </w:rPr>
              <w:t>- nav iesniegta pilnīga informācija saskaņā ar šo noteikumu 6.punktu un 7.punktu.</w:t>
            </w:r>
          </w:p>
          <w:p w:rsidR="005E3073" w:rsidRPr="00FE092B" w:rsidRDefault="005E3073" w:rsidP="0079104F">
            <w:pPr>
              <w:pStyle w:val="naisc"/>
              <w:spacing w:before="0" w:after="0"/>
              <w:ind w:left="105" w:right="71"/>
              <w:jc w:val="both"/>
              <w:rPr>
                <w:sz w:val="28"/>
                <w:szCs w:val="28"/>
              </w:rPr>
            </w:pPr>
          </w:p>
        </w:tc>
      </w:tr>
      <w:tr w:rsidR="005E3073" w:rsidRPr="00FE092B" w:rsidTr="0079104F">
        <w:trPr>
          <w:trHeight w:val="476"/>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5.</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75" w:right="105"/>
              <w:rPr>
                <w:sz w:val="28"/>
                <w:szCs w:val="28"/>
              </w:rPr>
            </w:pPr>
            <w:r w:rsidRPr="00FE092B">
              <w:rPr>
                <w:sz w:val="28"/>
                <w:szCs w:val="28"/>
              </w:rPr>
              <w:t>Projekta izstrādē iesaistītās institūcijas</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71"/>
              <w:jc w:val="both"/>
              <w:rPr>
                <w:sz w:val="28"/>
                <w:szCs w:val="28"/>
              </w:rPr>
            </w:pPr>
            <w:r w:rsidRPr="00FE092B">
              <w:rPr>
                <w:rFonts w:eastAsia="EUAlbertina-Bold-Identity-H"/>
                <w:sz w:val="28"/>
                <w:szCs w:val="28"/>
              </w:rPr>
              <w:t>LVĢMC</w:t>
            </w:r>
          </w:p>
        </w:tc>
      </w:tr>
      <w:tr w:rsidR="005E3073" w:rsidRPr="00FE092B" w:rsidTr="0079104F">
        <w:trPr>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6.</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75" w:right="105"/>
              <w:rPr>
                <w:sz w:val="28"/>
                <w:szCs w:val="28"/>
              </w:rPr>
            </w:pPr>
            <w:r w:rsidRPr="00FE092B">
              <w:rPr>
                <w:sz w:val="28"/>
                <w:szCs w:val="28"/>
              </w:rPr>
              <w:t>Iemesli, kādēļ netika nodrošināta sabiedrības līdzdalība</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Pr>
                <w:sz w:val="28"/>
                <w:szCs w:val="28"/>
              </w:rPr>
            </w:pPr>
            <w:r w:rsidRPr="00FE092B">
              <w:rPr>
                <w:sz w:val="28"/>
                <w:szCs w:val="28"/>
              </w:rPr>
              <w:t>Nav attiecināms.</w:t>
            </w:r>
          </w:p>
        </w:tc>
      </w:tr>
      <w:tr w:rsidR="005E3073" w:rsidRPr="00FE092B" w:rsidTr="0079104F">
        <w:trPr>
          <w:tblCellSpacing w:w="0" w:type="dxa"/>
        </w:trPr>
        <w:tc>
          <w:tcPr>
            <w:tcW w:w="52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7.</w:t>
            </w:r>
          </w:p>
        </w:tc>
        <w:tc>
          <w:tcPr>
            <w:tcW w:w="225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75" w:right="105"/>
              <w:rPr>
                <w:sz w:val="28"/>
                <w:szCs w:val="28"/>
              </w:rPr>
            </w:pPr>
            <w:r w:rsidRPr="00FE092B">
              <w:rPr>
                <w:sz w:val="28"/>
                <w:szCs w:val="28"/>
              </w:rPr>
              <w:t>Cita informācija</w:t>
            </w:r>
          </w:p>
        </w:tc>
        <w:tc>
          <w:tcPr>
            <w:tcW w:w="6326"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jc w:val="both"/>
              <w:rPr>
                <w:sz w:val="28"/>
                <w:szCs w:val="28"/>
              </w:rPr>
            </w:pPr>
            <w:r w:rsidRPr="00FE092B">
              <w:rPr>
                <w:sz w:val="28"/>
                <w:szCs w:val="28"/>
              </w:rPr>
              <w:t>Nav.</w:t>
            </w:r>
          </w:p>
        </w:tc>
      </w:tr>
    </w:tbl>
    <w:p w:rsidR="005E3073" w:rsidRPr="00FE092B" w:rsidRDefault="005E3073" w:rsidP="005E3073">
      <w:pPr>
        <w:pStyle w:val="naisf"/>
        <w:ind w:firstLine="0"/>
      </w:pPr>
    </w:p>
    <w:tbl>
      <w:tblPr>
        <w:tblW w:w="916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74"/>
        <w:gridCol w:w="2181"/>
        <w:gridCol w:w="6513"/>
      </w:tblGrid>
      <w:tr w:rsidR="005E3073" w:rsidRPr="00FE092B" w:rsidTr="0079104F">
        <w:trPr>
          <w:trHeight w:val="584"/>
          <w:tblCellSpacing w:w="0" w:type="dxa"/>
        </w:trPr>
        <w:tc>
          <w:tcPr>
            <w:tcW w:w="9168" w:type="dxa"/>
            <w:gridSpan w:val="3"/>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pStyle w:val="naisnod"/>
              <w:rPr>
                <w:sz w:val="28"/>
                <w:szCs w:val="28"/>
              </w:rPr>
            </w:pPr>
            <w:r w:rsidRPr="00FE092B">
              <w:rPr>
                <w:sz w:val="28"/>
                <w:szCs w:val="28"/>
              </w:rPr>
              <w:t> II. Tiesību akta projekta ietekme uz sabiedrību</w:t>
            </w:r>
          </w:p>
        </w:tc>
      </w:tr>
      <w:tr w:rsidR="005E3073" w:rsidRPr="00FE092B" w:rsidTr="0079104F">
        <w:trPr>
          <w:trHeight w:val="467"/>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1.</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105"/>
              <w:rPr>
                <w:sz w:val="28"/>
                <w:szCs w:val="28"/>
              </w:rPr>
            </w:pPr>
            <w:r w:rsidRPr="00FE092B">
              <w:rPr>
                <w:sz w:val="28"/>
                <w:szCs w:val="28"/>
              </w:rPr>
              <w:t>Sabiedrības mērķgrupa</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138"/>
              <w:jc w:val="both"/>
              <w:rPr>
                <w:sz w:val="28"/>
                <w:szCs w:val="28"/>
              </w:rPr>
            </w:pPr>
            <w:r w:rsidRPr="00FE092B">
              <w:rPr>
                <w:sz w:val="28"/>
                <w:szCs w:val="28"/>
              </w:rPr>
              <w:t xml:space="preserve">Biocīdu ražotāji un komersanti, kas ieved Latvijas teritorijā biocīdus. </w:t>
            </w:r>
          </w:p>
          <w:p w:rsidR="005E3073" w:rsidRPr="00FE092B" w:rsidRDefault="005E3073" w:rsidP="0079104F">
            <w:pPr>
              <w:pStyle w:val="naiskr"/>
              <w:ind w:left="105" w:right="138"/>
              <w:jc w:val="both"/>
              <w:rPr>
                <w:sz w:val="28"/>
                <w:szCs w:val="28"/>
              </w:rPr>
            </w:pPr>
            <w:r w:rsidRPr="00FE092B">
              <w:rPr>
                <w:sz w:val="28"/>
                <w:szCs w:val="28"/>
              </w:rPr>
              <w:t xml:space="preserve">LVĢMC datu bāzē ir reģistrēti aptuveni 220 uzņēmumi, kas Latvijā ieved un/ vai ražo biocīdus. Inventarizācijas numuri ir izsniegti vairāk kā 2000 biocīdiem. </w:t>
            </w:r>
          </w:p>
          <w:p w:rsidR="005E3073" w:rsidRPr="00FE092B" w:rsidRDefault="005E3073" w:rsidP="0079104F">
            <w:pPr>
              <w:pStyle w:val="PlainText"/>
              <w:ind w:left="39" w:firstLine="141"/>
              <w:jc w:val="both"/>
              <w:rPr>
                <w:sz w:val="28"/>
                <w:szCs w:val="28"/>
              </w:rPr>
            </w:pPr>
            <w:r w:rsidRPr="00FE092B">
              <w:rPr>
                <w:rFonts w:ascii="Times New Roman" w:eastAsia="Times New Roman" w:hAnsi="Times New Roman" w:cs="Times New Roman"/>
                <w:sz w:val="28"/>
                <w:szCs w:val="28"/>
                <w:lang w:eastAsia="lv-LV" w:bidi="ar-SA"/>
              </w:rPr>
              <w:t>Laika periodā, kamēr Eiropas Savienībā notiek aktīvo vielu izvērtēšana attiecībā uz cilvēku, dzīvnieku veselību un vidi, Latvijā biocīda inventarizācijas numura piešķiršanas procedūra ir izvēlēta tāda, lai uzņēmumi uzreiz netiktu pārlieku apgrūtināti ar visu prasību izpildīšanu, tādā veidā dodot iespēju tiem sagatavoties regulas Nr.528 prasību ievērošanai, kas tiks piemērotas, kad aktīvās vielas būs apstiprinātas. Tad biocīdu atļaujas piešķiršanas procesā tiks vērtēta ne tikai ietekme uz cilvēku, dzīvnieku veselību un vidi, bet arī efektivitāte, piedāvātie riska samazināšanas pasākumi. Jāatzīmē arī, ka inventarizācijas numura piešķiršanas izmaksas nav tik lielas kā biocīdu atļaujas gadījumā, līdz ar to arī finansiālais slogs uzņēmējiem uzreiz nav tik liels un tiek dota iespēja nākotnē izplānot darbības ar biocīdiem un ar tām saistītos izdevumus.</w:t>
            </w:r>
          </w:p>
        </w:tc>
      </w:tr>
      <w:tr w:rsidR="005E3073" w:rsidRPr="00FE092B" w:rsidTr="0079104F">
        <w:trPr>
          <w:trHeight w:val="522"/>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2.</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105"/>
              <w:rPr>
                <w:sz w:val="28"/>
                <w:szCs w:val="28"/>
              </w:rPr>
            </w:pPr>
            <w:r w:rsidRPr="00FE092B">
              <w:rPr>
                <w:sz w:val="28"/>
                <w:szCs w:val="28"/>
              </w:rPr>
              <w:t xml:space="preserve">Citas sabiedrības grupas (bez mērķgrupas), kuras tiesiskais regulējums arī ietekmē vai </w:t>
            </w:r>
            <w:r w:rsidRPr="00FE092B">
              <w:rPr>
                <w:sz w:val="28"/>
                <w:szCs w:val="28"/>
              </w:rPr>
              <w:lastRenderedPageBreak/>
              <w:t>varētu ietekmēt</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Nav attiecināms.</w:t>
            </w:r>
          </w:p>
        </w:tc>
      </w:tr>
      <w:tr w:rsidR="005E3073" w:rsidRPr="00FE092B" w:rsidTr="0079104F">
        <w:trPr>
          <w:trHeight w:val="516"/>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3.</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105"/>
              <w:rPr>
                <w:sz w:val="28"/>
                <w:szCs w:val="28"/>
              </w:rPr>
            </w:pPr>
            <w:r w:rsidRPr="00FE092B">
              <w:rPr>
                <w:sz w:val="28"/>
                <w:szCs w:val="28"/>
              </w:rPr>
              <w:t>Tiesiskā regulējuma finansiālā ietekme</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138"/>
              <w:jc w:val="both"/>
              <w:rPr>
                <w:sz w:val="28"/>
                <w:szCs w:val="28"/>
              </w:rPr>
            </w:pPr>
            <w:r w:rsidRPr="00FE092B">
              <w:rPr>
                <w:sz w:val="28"/>
                <w:szCs w:val="28"/>
              </w:rPr>
              <w:t>Saskaņā ar Ministru kabineta 2012.gada 3.aprīļa noteikumu Nr. 234 „</w:t>
            </w:r>
            <w:r w:rsidRPr="00FE092B">
              <w:rPr>
                <w:bCs/>
                <w:color w:val="000000"/>
                <w:sz w:val="28"/>
                <w:szCs w:val="28"/>
                <w:shd w:val="clear" w:color="auto" w:fill="FFFFFF"/>
              </w:rPr>
              <w:t>Noteikumi par valsts sabiedrības ar ierobežotu atbildību "Latvijas Vides, ģeoloģijas un meteoroloģijas centrs" sniegto maksas pakalpojumu cenrādi” pielikumu maksa par iesnieguma izvērtēšanu par biocīda inventarizācijas numura izsniegšanu ir 35,42 Ls.</w:t>
            </w:r>
          </w:p>
        </w:tc>
      </w:tr>
      <w:tr w:rsidR="005E3073" w:rsidRPr="00FE092B" w:rsidTr="0079104F">
        <w:trPr>
          <w:trHeight w:val="516"/>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4.</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105"/>
              <w:rPr>
                <w:sz w:val="28"/>
                <w:szCs w:val="28"/>
              </w:rPr>
            </w:pPr>
            <w:r w:rsidRPr="00FE092B">
              <w:rPr>
                <w:sz w:val="28"/>
                <w:szCs w:val="28"/>
              </w:rPr>
              <w:t>Tiesiskā regulējuma nefinansiālā ietekme</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138"/>
              <w:jc w:val="both"/>
              <w:rPr>
                <w:sz w:val="28"/>
                <w:szCs w:val="28"/>
              </w:rPr>
            </w:pPr>
            <w:r w:rsidRPr="00FE092B">
              <w:rPr>
                <w:sz w:val="28"/>
                <w:szCs w:val="28"/>
              </w:rPr>
              <w:t>Noteikumu prasības nodrošinās, ka Latvijas teritorijā tiks ievesti un ražoti biocīdi, kuru sastāvā esošajām aktīvajām vielām tiek vērtēta efektivitāte, ietekme uz cilvēku un dzīvnieku veselību un vidi, un biocīda ietekme to lietojot tam paredzētajā jomā. Izvērtējot iesniegumu par biocīda inventarizācijas numura piešķiršanu tiek pārbaudīts vai patērētājs saņem pietiekošu informāciju par produktu.</w:t>
            </w:r>
          </w:p>
        </w:tc>
      </w:tr>
      <w:tr w:rsidR="005E3073" w:rsidRPr="00FE092B" w:rsidTr="0079104F">
        <w:trPr>
          <w:trHeight w:val="530"/>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5.</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105"/>
              <w:rPr>
                <w:sz w:val="28"/>
                <w:szCs w:val="28"/>
              </w:rPr>
            </w:pPr>
            <w:r w:rsidRPr="00FE092B">
              <w:rPr>
                <w:sz w:val="28"/>
                <w:szCs w:val="28"/>
              </w:rPr>
              <w:t>Administratīvās procedūras raksturojums</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f"/>
              <w:ind w:left="105" w:right="138" w:firstLine="0"/>
              <w:rPr>
                <w:sz w:val="28"/>
                <w:szCs w:val="28"/>
              </w:rPr>
            </w:pPr>
            <w:r w:rsidRPr="00FE092B">
              <w:rPr>
                <w:sz w:val="28"/>
                <w:szCs w:val="28"/>
              </w:rPr>
              <w:t>Ražotājs vai persona, kas ieved biocīdu Latvijas teritorijā, iesniedz LVĢMC iesniegumu (iespējams iesniegt arī elektroniski)</w:t>
            </w:r>
            <w:r w:rsidRPr="00FE092B">
              <w:rPr>
                <w:color w:val="FF0000"/>
                <w:sz w:val="28"/>
                <w:szCs w:val="28"/>
              </w:rPr>
              <w:t xml:space="preserve"> </w:t>
            </w:r>
            <w:r w:rsidRPr="00FE092B">
              <w:rPr>
                <w:sz w:val="28"/>
                <w:szCs w:val="28"/>
              </w:rPr>
              <w:t xml:space="preserve">par biocīda inventarizācijas numura saņemšanu. </w:t>
            </w:r>
          </w:p>
          <w:p w:rsidR="005E3073" w:rsidRPr="00FE092B" w:rsidRDefault="005E3073" w:rsidP="0079104F">
            <w:pPr>
              <w:pStyle w:val="naisf"/>
              <w:ind w:left="105" w:right="138" w:firstLine="0"/>
              <w:rPr>
                <w:sz w:val="28"/>
                <w:szCs w:val="28"/>
              </w:rPr>
            </w:pPr>
            <w:r w:rsidRPr="00FE092B">
              <w:rPr>
                <w:sz w:val="28"/>
                <w:szCs w:val="28"/>
              </w:rPr>
              <w:t>LVĢMC apkopo informāciju par piešķirtajiem inventarizācijas numuriem un publicē to savā tīmekļa vietnē (</w:t>
            </w:r>
            <w:hyperlink r:id="rId6" w:history="1">
              <w:r w:rsidRPr="00FE092B">
                <w:rPr>
                  <w:rStyle w:val="Hyperlink"/>
                  <w:sz w:val="28"/>
                  <w:szCs w:val="28"/>
                </w:rPr>
                <w:t>www.lvgmc.lv</w:t>
              </w:r>
            </w:hyperlink>
            <w:r w:rsidRPr="00FE092B">
              <w:rPr>
                <w:sz w:val="28"/>
                <w:szCs w:val="28"/>
              </w:rPr>
              <w:t>).</w:t>
            </w:r>
          </w:p>
        </w:tc>
      </w:tr>
      <w:tr w:rsidR="005E3073" w:rsidRPr="00FE092B" w:rsidTr="0079104F">
        <w:trPr>
          <w:trHeight w:val="357"/>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6.</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Pr>
                <w:sz w:val="28"/>
                <w:szCs w:val="28"/>
              </w:rPr>
            </w:pPr>
            <w:r w:rsidRPr="00FE092B">
              <w:rPr>
                <w:sz w:val="28"/>
                <w:szCs w:val="28"/>
              </w:rPr>
              <w:t>Administratīvo izmaksu monetārs novērtējums</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138"/>
              <w:rPr>
                <w:sz w:val="28"/>
                <w:szCs w:val="28"/>
              </w:rPr>
            </w:pPr>
            <w:r w:rsidRPr="00FE092B">
              <w:rPr>
                <w:sz w:val="28"/>
                <w:szCs w:val="28"/>
              </w:rPr>
              <w:t>Nav attiecināms.</w:t>
            </w:r>
          </w:p>
        </w:tc>
      </w:tr>
      <w:tr w:rsidR="005E3073" w:rsidRPr="00FE092B" w:rsidTr="0079104F">
        <w:trPr>
          <w:trHeight w:val="144"/>
          <w:tblCellSpacing w:w="0" w:type="dxa"/>
        </w:trPr>
        <w:tc>
          <w:tcPr>
            <w:tcW w:w="474"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7.</w:t>
            </w:r>
          </w:p>
        </w:tc>
        <w:tc>
          <w:tcPr>
            <w:tcW w:w="2181"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Pr>
                <w:sz w:val="28"/>
                <w:szCs w:val="28"/>
              </w:rPr>
            </w:pPr>
            <w:r w:rsidRPr="00FE092B">
              <w:rPr>
                <w:sz w:val="28"/>
                <w:szCs w:val="28"/>
              </w:rPr>
              <w:t>Cita informācija</w:t>
            </w:r>
          </w:p>
        </w:tc>
        <w:tc>
          <w:tcPr>
            <w:tcW w:w="6513"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ight="138"/>
              <w:rPr>
                <w:sz w:val="28"/>
                <w:szCs w:val="28"/>
              </w:rPr>
            </w:pPr>
            <w:r w:rsidRPr="00FE092B">
              <w:rPr>
                <w:sz w:val="28"/>
                <w:szCs w:val="28"/>
              </w:rPr>
              <w:t> Nav.</w:t>
            </w:r>
          </w:p>
        </w:tc>
      </w:tr>
    </w:tbl>
    <w:p w:rsidR="005E3073" w:rsidRPr="00FE092B" w:rsidRDefault="005E3073" w:rsidP="005E3073">
      <w:pPr>
        <w:pStyle w:val="naisnod"/>
        <w:spacing w:before="0" w:after="0"/>
      </w:pPr>
    </w:p>
    <w:p w:rsidR="005E3073" w:rsidRPr="00FE092B" w:rsidRDefault="005E3073" w:rsidP="005E3073">
      <w:pPr>
        <w:jc w:val="center"/>
        <w:rPr>
          <w:b/>
          <w:sz w:val="28"/>
          <w:szCs w:val="28"/>
        </w:rPr>
      </w:pPr>
      <w:r w:rsidRPr="00FE092B">
        <w:rPr>
          <w:b/>
          <w:sz w:val="28"/>
          <w:szCs w:val="28"/>
        </w:rPr>
        <w:t xml:space="preserve">Anotācijas III un IV sadaļa </w:t>
      </w:r>
      <w:r w:rsidRPr="00FE092B">
        <w:rPr>
          <w:b/>
          <w:bCs/>
          <w:sz w:val="28"/>
          <w:szCs w:val="28"/>
        </w:rPr>
        <w:t>– projekts šīs jomas neskar.</w:t>
      </w:r>
    </w:p>
    <w:p w:rsidR="005E3073" w:rsidRPr="00FE092B" w:rsidRDefault="005E3073" w:rsidP="005E3073">
      <w:pPr>
        <w:pStyle w:val="naisnod"/>
        <w:spacing w:before="0" w:after="0"/>
        <w:rPr>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5"/>
        <w:gridCol w:w="2072"/>
        <w:gridCol w:w="568"/>
        <w:gridCol w:w="6060"/>
      </w:tblGrid>
      <w:tr w:rsidR="005E3073" w:rsidRPr="00FE092B" w:rsidTr="0079104F">
        <w:trPr>
          <w:tblCellSpacing w:w="0" w:type="dxa"/>
        </w:trPr>
        <w:tc>
          <w:tcPr>
            <w:tcW w:w="9195" w:type="dxa"/>
            <w:gridSpan w:val="4"/>
            <w:tcBorders>
              <w:top w:val="outset" w:sz="6" w:space="0" w:color="auto"/>
              <w:left w:val="outset" w:sz="6" w:space="0" w:color="auto"/>
              <w:bottom w:val="outset" w:sz="6" w:space="0" w:color="auto"/>
            </w:tcBorders>
          </w:tcPr>
          <w:p w:rsidR="005E3073" w:rsidRPr="00FE092B" w:rsidRDefault="005E3073" w:rsidP="0079104F">
            <w:pPr>
              <w:pStyle w:val="naisnod"/>
              <w:rPr>
                <w:sz w:val="28"/>
                <w:szCs w:val="28"/>
              </w:rPr>
            </w:pPr>
            <w:r w:rsidRPr="00FE092B">
              <w:rPr>
                <w:sz w:val="28"/>
                <w:szCs w:val="28"/>
              </w:rPr>
              <w:t> V. Tiesību akta projekta atbilstība Latvijas Republikas starptautiskajām saistībām</w:t>
            </w:r>
          </w:p>
        </w:tc>
      </w:tr>
      <w:tr w:rsidR="005E3073" w:rsidRPr="00FE092B" w:rsidTr="0079104F">
        <w:trPr>
          <w:tblCellSpacing w:w="0" w:type="dxa"/>
        </w:trPr>
        <w:tc>
          <w:tcPr>
            <w:tcW w:w="49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1.</w:t>
            </w:r>
          </w:p>
        </w:tc>
        <w:tc>
          <w:tcPr>
            <w:tcW w:w="2640" w:type="dxa"/>
            <w:gridSpan w:val="2"/>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Pr>
                <w:sz w:val="28"/>
                <w:szCs w:val="28"/>
              </w:rPr>
            </w:pPr>
            <w:r w:rsidRPr="00FE092B">
              <w:rPr>
                <w:sz w:val="28"/>
                <w:szCs w:val="28"/>
              </w:rPr>
              <w:t>Saistības pret Eiropas Savienību</w:t>
            </w:r>
          </w:p>
        </w:tc>
        <w:tc>
          <w:tcPr>
            <w:tcW w:w="6060" w:type="dxa"/>
            <w:tcBorders>
              <w:top w:val="outset" w:sz="6" w:space="0" w:color="auto"/>
              <w:left w:val="outset" w:sz="6" w:space="0" w:color="auto"/>
              <w:bottom w:val="outset" w:sz="6" w:space="0" w:color="auto"/>
              <w:right w:val="outset" w:sz="6" w:space="0" w:color="auto"/>
            </w:tcBorders>
          </w:tcPr>
          <w:p w:rsidR="005E3073" w:rsidRPr="00FE092B" w:rsidRDefault="005E3073" w:rsidP="005E3073">
            <w:pPr>
              <w:pStyle w:val="naiskr"/>
              <w:numPr>
                <w:ilvl w:val="0"/>
                <w:numId w:val="1"/>
              </w:numPr>
              <w:ind w:left="126" w:firstLine="141"/>
              <w:jc w:val="both"/>
              <w:rPr>
                <w:sz w:val="26"/>
                <w:szCs w:val="26"/>
              </w:rPr>
            </w:pPr>
            <w:r w:rsidRPr="00FE092B">
              <w:rPr>
                <w:sz w:val="26"/>
                <w:szCs w:val="26"/>
              </w:rPr>
              <w:t>Eiropas Parlamenta un Padomes 2012.gada 22.maija regula (ES) Nr.528/2012 par biocīdu piedāvāšanu tirgū un lietošanu</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2007.gada 14.augusta Lēmums Nr.2007/565/EK par dažu tādu vielu neiekļaušanu I, </w:t>
            </w:r>
            <w:r w:rsidRPr="00FE092B">
              <w:rPr>
                <w:rStyle w:val="Strong"/>
                <w:sz w:val="26"/>
                <w:szCs w:val="26"/>
              </w:rPr>
              <w:lastRenderedPageBreak/>
              <w:t xml:space="preserve">IA vai IB pielikumā Eiropas Parlamenta un Padomes Direktīvai 98/8/EK par </w:t>
            </w:r>
            <w:proofErr w:type="spellStart"/>
            <w:r w:rsidRPr="00FE092B">
              <w:rPr>
                <w:rStyle w:val="Strong"/>
                <w:sz w:val="26"/>
                <w:szCs w:val="26"/>
              </w:rPr>
              <w:t>biocīdo</w:t>
            </w:r>
            <w:proofErr w:type="spellEnd"/>
            <w:r w:rsidRPr="00FE092B">
              <w:rPr>
                <w:rStyle w:val="Strong"/>
                <w:sz w:val="26"/>
                <w:szCs w:val="26"/>
              </w:rPr>
              <w:t xml:space="preserve"> produktu laišanu tirgū, kas pārbaudāmas atbilstīgi 10 gadu darba programmai, kas minēta šīs direktīvas 16. panta 2. Punktā</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2007.gada 27.augusta Lēmums  Nr.2007/597/EK par </w:t>
            </w:r>
            <w:proofErr w:type="spellStart"/>
            <w:r w:rsidRPr="00FE092B">
              <w:rPr>
                <w:rStyle w:val="Strong"/>
                <w:sz w:val="26"/>
                <w:szCs w:val="26"/>
              </w:rPr>
              <w:t>kvazatīna</w:t>
            </w:r>
            <w:proofErr w:type="spellEnd"/>
            <w:r w:rsidRPr="00FE092B">
              <w:rPr>
                <w:rStyle w:val="Strong"/>
                <w:sz w:val="26"/>
                <w:szCs w:val="26"/>
              </w:rPr>
              <w:t xml:space="preserve"> </w:t>
            </w:r>
            <w:proofErr w:type="spellStart"/>
            <w:r w:rsidRPr="00FE092B">
              <w:rPr>
                <w:rStyle w:val="Strong"/>
                <w:sz w:val="26"/>
                <w:szCs w:val="26"/>
              </w:rPr>
              <w:t>triacetāta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sz w:val="26"/>
                <w:szCs w:val="26"/>
              </w:rPr>
              <w:t xml:space="preserve">Komisijas 2008.gada 28. jūlija Lēmums Nr.2008/681/EK par dažu vielu neiekļaušanu I, IA vai IB pielikumā Eiropas Parlamenta un Padomes Direktīvai 98/8/EK par </w:t>
            </w:r>
            <w:proofErr w:type="spellStart"/>
            <w:r w:rsidRPr="00FE092B">
              <w:rPr>
                <w:sz w:val="26"/>
                <w:szCs w:val="26"/>
              </w:rPr>
              <w:t>biocīdo</w:t>
            </w:r>
            <w:proofErr w:type="spellEnd"/>
            <w:r w:rsidRPr="00FE092B">
              <w:rPr>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2008.gada 14.oktobra Lēmums Nr.2008/809/EK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sz w:val="26"/>
                <w:szCs w:val="26"/>
              </w:rPr>
            </w:pPr>
            <w:r w:rsidRPr="00FE092B">
              <w:rPr>
                <w:sz w:val="26"/>
                <w:szCs w:val="26"/>
              </w:rPr>
              <w:t xml:space="preserve">Komisijas 2009.gada 8.aprīļa Lēmums Nr.2009/322/EK par dažu vielu neiekļaušanu I, IA vai IB pielikumā Eiropas Parlamenta un Padomes Direktīvā 98/8/EK par </w:t>
            </w:r>
            <w:proofErr w:type="spellStart"/>
            <w:r w:rsidRPr="00FE092B">
              <w:rPr>
                <w:sz w:val="26"/>
                <w:szCs w:val="26"/>
              </w:rPr>
              <w:t>biocīdo</w:t>
            </w:r>
            <w:proofErr w:type="spellEnd"/>
            <w:r w:rsidRPr="00FE092B">
              <w:rPr>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sz w:val="26"/>
                <w:szCs w:val="26"/>
              </w:rPr>
              <w:t xml:space="preserve">Komisijas 2009.gada 14.aprīļa Lēmums Nr.2009/324/EK par dažu vielu neiekļaušanu I, IA vai IB pielikumā Eiropas Parlamenta un Padomes Direktīvā 98/8/EK par </w:t>
            </w:r>
            <w:proofErr w:type="spellStart"/>
            <w:r w:rsidRPr="00FE092B">
              <w:rPr>
                <w:sz w:val="26"/>
                <w:szCs w:val="26"/>
              </w:rPr>
              <w:t>biocīdo</w:t>
            </w:r>
            <w:proofErr w:type="spellEnd"/>
            <w:r w:rsidRPr="00FE092B">
              <w:rPr>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2010.gada 8.februāra Lēmums Nr.2010/72/EK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2010.gada 8.februāra Lēmums Nr.2010/71/EK par </w:t>
            </w:r>
            <w:proofErr w:type="spellStart"/>
            <w:r w:rsidRPr="00FE092B">
              <w:rPr>
                <w:rStyle w:val="Strong"/>
                <w:sz w:val="26"/>
                <w:szCs w:val="26"/>
              </w:rPr>
              <w:t>diazinona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2010.gada 8.novembra Lēmums Nr.2010/675/ES par dažu vielu neiekļaušanu I, I A vai I 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2011.gada 1.jūlija Lēmums Nr.2011/391/ES par dažu vielu neiekļaušanu I, I A </w:t>
            </w:r>
            <w:r w:rsidRPr="00FE092B">
              <w:rPr>
                <w:rStyle w:val="Strong"/>
                <w:sz w:val="26"/>
                <w:szCs w:val="26"/>
              </w:rPr>
              <w:lastRenderedPageBreak/>
              <w:t xml:space="preserve">vai I 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2012.gada 9.februāra Lēmums Nr.2012/77/ES par 18. veida produktos izmantojamā </w:t>
            </w:r>
            <w:proofErr w:type="spellStart"/>
            <w:r w:rsidRPr="00FE092B">
              <w:rPr>
                <w:rStyle w:val="Strong"/>
                <w:sz w:val="26"/>
                <w:szCs w:val="26"/>
              </w:rPr>
              <w:t>flufenoksurona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2012.gada 9.februāra Lēmums Nr.2012/78/ES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2012.gada 10.maija Lēmums Nr.2012/254/ES par izmantošanai 18. veida produktos paredzētā </w:t>
            </w:r>
            <w:proofErr w:type="spellStart"/>
            <w:r w:rsidRPr="00FE092B">
              <w:rPr>
                <w:rStyle w:val="Strong"/>
                <w:sz w:val="26"/>
                <w:szCs w:val="26"/>
              </w:rPr>
              <w:t>dihlorvosa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2012.gada 11.maija Lēmums Nr.2012/257/ES par izmantošanai 18. veida produktos paredzētā </w:t>
            </w:r>
            <w:proofErr w:type="spellStart"/>
            <w:r w:rsidRPr="00FE092B">
              <w:rPr>
                <w:rStyle w:val="Strong"/>
                <w:sz w:val="26"/>
                <w:szCs w:val="26"/>
              </w:rPr>
              <w:t>naleda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2012.gada 23.novembra Lēmums Nr.2012/728/ES  par 18. veida produktos izmantojamā </w:t>
            </w:r>
            <w:proofErr w:type="spellStart"/>
            <w:r w:rsidRPr="00FE092B">
              <w:rPr>
                <w:rStyle w:val="Strong"/>
                <w:sz w:val="26"/>
                <w:szCs w:val="26"/>
              </w:rPr>
              <w:t>bifentrīna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5E3073">
            <w:pPr>
              <w:pStyle w:val="naiskr"/>
              <w:numPr>
                <w:ilvl w:val="0"/>
                <w:numId w:val="1"/>
              </w:numPr>
              <w:ind w:left="126" w:firstLine="141"/>
              <w:jc w:val="both"/>
              <w:rPr>
                <w:rStyle w:val="Strong"/>
                <w:b w:val="0"/>
                <w:bCs w:val="0"/>
                <w:sz w:val="26"/>
                <w:szCs w:val="26"/>
              </w:rPr>
            </w:pPr>
            <w:r w:rsidRPr="00FE092B">
              <w:rPr>
                <w:rStyle w:val="Strong"/>
                <w:sz w:val="26"/>
                <w:szCs w:val="26"/>
              </w:rPr>
              <w:t xml:space="preserve">Komisijas 2013.gada 14.februāra Lēmums Nr.2013/85/ES par dažu vielu neiekļaušanu Eiropas Parlamenta un Padomes Direktīvas 98/8/EK par </w:t>
            </w:r>
            <w:proofErr w:type="spellStart"/>
            <w:r w:rsidRPr="00FE092B">
              <w:rPr>
                <w:rStyle w:val="Strong"/>
                <w:sz w:val="26"/>
                <w:szCs w:val="26"/>
              </w:rPr>
              <w:t>biocīdo</w:t>
            </w:r>
            <w:proofErr w:type="spellEnd"/>
            <w:r w:rsidRPr="00FE092B">
              <w:rPr>
                <w:rStyle w:val="Strong"/>
                <w:sz w:val="26"/>
                <w:szCs w:val="26"/>
              </w:rPr>
              <w:t xml:space="preserve"> produktu </w:t>
            </w:r>
          </w:p>
          <w:p w:rsidR="005E3073" w:rsidRPr="00FE092B" w:rsidRDefault="005E3073" w:rsidP="005E3073">
            <w:pPr>
              <w:pStyle w:val="naiskr"/>
              <w:numPr>
                <w:ilvl w:val="0"/>
                <w:numId w:val="1"/>
              </w:numPr>
              <w:ind w:left="126" w:firstLine="141"/>
              <w:jc w:val="both"/>
              <w:rPr>
                <w:sz w:val="26"/>
                <w:szCs w:val="26"/>
              </w:rPr>
            </w:pPr>
            <w:r w:rsidRPr="00FE092B">
              <w:rPr>
                <w:rStyle w:val="Strong"/>
                <w:sz w:val="26"/>
                <w:szCs w:val="26"/>
              </w:rPr>
              <w:t xml:space="preserve">Komisijas 2013.gada 25.aprīļa Lēmums Nr.2013/204/ES par izmantošanai 20. veida produktos paredzētā formaldehīda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tc>
      </w:tr>
      <w:tr w:rsidR="005E3073" w:rsidRPr="00FE092B" w:rsidTr="0079104F">
        <w:trPr>
          <w:tblCellSpacing w:w="0" w:type="dxa"/>
        </w:trPr>
        <w:tc>
          <w:tcPr>
            <w:tcW w:w="49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2.</w:t>
            </w:r>
          </w:p>
        </w:tc>
        <w:tc>
          <w:tcPr>
            <w:tcW w:w="2640" w:type="dxa"/>
            <w:gridSpan w:val="2"/>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Pr>
                <w:sz w:val="28"/>
                <w:szCs w:val="28"/>
              </w:rPr>
            </w:pPr>
            <w:r w:rsidRPr="00FE092B">
              <w:rPr>
                <w:sz w:val="28"/>
                <w:szCs w:val="28"/>
              </w:rPr>
              <w:t>Citas starptautiskās saistības</w:t>
            </w:r>
          </w:p>
        </w:tc>
        <w:tc>
          <w:tcPr>
            <w:tcW w:w="606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xml:space="preserve"> Nav attiecināms.</w:t>
            </w:r>
          </w:p>
        </w:tc>
      </w:tr>
      <w:tr w:rsidR="005E3073" w:rsidRPr="00FE092B" w:rsidTr="0079104F">
        <w:trPr>
          <w:tblCellSpacing w:w="0" w:type="dxa"/>
        </w:trPr>
        <w:tc>
          <w:tcPr>
            <w:tcW w:w="49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3.</w:t>
            </w:r>
          </w:p>
        </w:tc>
        <w:tc>
          <w:tcPr>
            <w:tcW w:w="2072"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05"/>
              <w:rPr>
                <w:sz w:val="28"/>
                <w:szCs w:val="28"/>
              </w:rPr>
            </w:pPr>
            <w:r w:rsidRPr="00FE092B">
              <w:rPr>
                <w:sz w:val="28"/>
                <w:szCs w:val="28"/>
              </w:rPr>
              <w:t>Cita informācija</w:t>
            </w:r>
          </w:p>
        </w:tc>
        <w:tc>
          <w:tcPr>
            <w:tcW w:w="6628" w:type="dxa"/>
            <w:gridSpan w:val="2"/>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jc w:val="both"/>
              <w:rPr>
                <w:sz w:val="28"/>
                <w:szCs w:val="28"/>
              </w:rPr>
            </w:pPr>
            <w:r w:rsidRPr="00FE092B">
              <w:rPr>
                <w:sz w:val="28"/>
                <w:szCs w:val="28"/>
              </w:rPr>
              <w:t> Nav</w:t>
            </w:r>
          </w:p>
        </w:tc>
      </w:tr>
    </w:tbl>
    <w:p w:rsidR="005E3073" w:rsidRPr="00FE092B" w:rsidRDefault="005E3073" w:rsidP="005E3073">
      <w:pPr>
        <w:pStyle w:val="naisf"/>
      </w:pPr>
      <w:r w:rsidRPr="00FE092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29"/>
        <w:gridCol w:w="1682"/>
        <w:gridCol w:w="559"/>
        <w:gridCol w:w="1797"/>
        <w:gridCol w:w="2469"/>
      </w:tblGrid>
      <w:tr w:rsidR="005E3073" w:rsidRPr="00FE092B" w:rsidTr="0079104F">
        <w:trPr>
          <w:trHeight w:val="523"/>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pStyle w:val="naisnod"/>
              <w:spacing w:before="0" w:after="0"/>
              <w:rPr>
                <w:sz w:val="28"/>
                <w:szCs w:val="28"/>
              </w:rPr>
            </w:pPr>
            <w:r w:rsidRPr="00FE092B">
              <w:rPr>
                <w:sz w:val="28"/>
                <w:szCs w:val="28"/>
              </w:rPr>
              <w:t> 1.tabula</w:t>
            </w:r>
          </w:p>
          <w:p w:rsidR="005E3073" w:rsidRPr="00FE092B" w:rsidRDefault="005E3073" w:rsidP="0079104F">
            <w:pPr>
              <w:pStyle w:val="naisnod"/>
              <w:spacing w:before="0" w:after="0"/>
              <w:rPr>
                <w:sz w:val="28"/>
                <w:szCs w:val="28"/>
              </w:rPr>
            </w:pPr>
            <w:r w:rsidRPr="00FE092B">
              <w:rPr>
                <w:sz w:val="28"/>
                <w:szCs w:val="28"/>
              </w:rPr>
              <w:t>Tiesību akta projekta atbilstība ES tiesību aktiem</w:t>
            </w:r>
          </w:p>
        </w:tc>
      </w:tr>
      <w:tr w:rsidR="005E3073" w:rsidRPr="00FE092B" w:rsidTr="0079104F">
        <w:trPr>
          <w:tblCellSpacing w:w="0" w:type="dxa"/>
        </w:trPr>
        <w:tc>
          <w:tcPr>
            <w:tcW w:w="1797"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c"/>
              <w:ind w:left="120"/>
              <w:jc w:val="left"/>
              <w:rPr>
                <w:sz w:val="28"/>
                <w:szCs w:val="28"/>
              </w:rPr>
            </w:pPr>
            <w:r w:rsidRPr="00FE092B">
              <w:rPr>
                <w:sz w:val="28"/>
                <w:szCs w:val="28"/>
              </w:rPr>
              <w:t>Attiecīgā ES tiesību akta datums, numurs un nosaukums</w:t>
            </w:r>
          </w:p>
        </w:tc>
        <w:tc>
          <w:tcPr>
            <w:tcW w:w="7304" w:type="dxa"/>
            <w:gridSpan w:val="4"/>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pStyle w:val="NormalWeb"/>
              <w:spacing w:before="0" w:beforeAutospacing="0" w:after="0" w:afterAutospacing="0"/>
              <w:ind w:firstLine="720"/>
              <w:jc w:val="both"/>
              <w:rPr>
                <w:rStyle w:val="Strong"/>
                <w:rFonts w:ascii="Times New Roman" w:hAnsi="Times New Roman"/>
                <w:b w:val="0"/>
                <w:bCs w:val="0"/>
                <w:sz w:val="26"/>
                <w:szCs w:val="26"/>
                <w:lang w:val="lv-LV" w:eastAsia="lv-LV"/>
              </w:rPr>
            </w:pPr>
            <w:r w:rsidRPr="00FE092B">
              <w:rPr>
                <w:rStyle w:val="Strong"/>
                <w:rFonts w:ascii="Times New Roman" w:hAnsi="Times New Roman"/>
                <w:sz w:val="26"/>
                <w:szCs w:val="26"/>
                <w:lang w:val="lv-LV" w:eastAsia="lv-LV"/>
              </w:rPr>
              <w:t>Eiropas Parlamenta un Padomes 2012.gada 22.maija regula (ES) Nr.528/2012 par biocīdu piedāvāšanu tirgū un lietošanu</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2007.gada 14.augusta Lēmums Nr.2007/565/EK par dažu tādu vielu neiekļaušanu I, IA vai IB pielikumā Eiropas Parlamenta un Padomes Direktīvai 98/8/EK par </w:t>
            </w:r>
            <w:proofErr w:type="spellStart"/>
            <w:r w:rsidRPr="00FE092B">
              <w:rPr>
                <w:rStyle w:val="Strong"/>
                <w:sz w:val="26"/>
                <w:szCs w:val="26"/>
              </w:rPr>
              <w:t>biocīdo</w:t>
            </w:r>
            <w:proofErr w:type="spellEnd"/>
            <w:r w:rsidRPr="00FE092B">
              <w:rPr>
                <w:rStyle w:val="Strong"/>
                <w:sz w:val="26"/>
                <w:szCs w:val="26"/>
              </w:rPr>
              <w:t xml:space="preserve"> produktu laišanu tirgū, kas pārbaudāmas atbilstīgi 10 gadu darba programmai, kas minēta šīs direktīvas 16. panta 2. Punktā</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2007.gada 27.augusta Lēmums Nr.2007/597/EK par </w:t>
            </w:r>
            <w:proofErr w:type="spellStart"/>
            <w:r w:rsidRPr="00FE092B">
              <w:rPr>
                <w:rStyle w:val="Strong"/>
                <w:sz w:val="26"/>
                <w:szCs w:val="26"/>
              </w:rPr>
              <w:t>kvazatīna</w:t>
            </w:r>
            <w:proofErr w:type="spellEnd"/>
            <w:r w:rsidRPr="00FE092B">
              <w:rPr>
                <w:rStyle w:val="Strong"/>
                <w:sz w:val="26"/>
                <w:szCs w:val="26"/>
              </w:rPr>
              <w:t xml:space="preserve"> </w:t>
            </w:r>
            <w:proofErr w:type="spellStart"/>
            <w:r w:rsidRPr="00FE092B">
              <w:rPr>
                <w:rStyle w:val="Strong"/>
                <w:sz w:val="26"/>
                <w:szCs w:val="26"/>
              </w:rPr>
              <w:t>triacetāta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2008.gada 28. jūlija Lēmums Nr.2008/681/EK par dažu vielu neiekļaušanu I, IA vai IB pielikumā Eiropas Parlamenta un Padomes Direktīvai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2008.gada 14.oktobra Lēmums Nr.2008/809/EK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2009.gada 8.aprīļa Lēmums Nr.2009/322/EK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2009.gada 14.aprīļa Lēmums Nr.2009/324/EK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2010.gada 8.februāra Lēmums Nr.2010/72/EK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2010.gada 8.februāra Lēmums Nr.2010/71/EK par </w:t>
            </w:r>
            <w:proofErr w:type="spellStart"/>
            <w:r w:rsidRPr="00FE092B">
              <w:rPr>
                <w:rStyle w:val="Strong"/>
                <w:sz w:val="26"/>
                <w:szCs w:val="26"/>
              </w:rPr>
              <w:t>diazinona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2010.gada 8.novembra Lēmums </w:t>
            </w:r>
            <w:r w:rsidRPr="00FE092B">
              <w:rPr>
                <w:rStyle w:val="Strong"/>
                <w:sz w:val="26"/>
                <w:szCs w:val="26"/>
              </w:rPr>
              <w:lastRenderedPageBreak/>
              <w:t xml:space="preserve">Nr.2010/675/ES par dažu vielu neiekļaušanu I, I A vai I 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2011.gada 1.jūlija Lēmums Nr.2011/391/ES par dažu vielu neiekļaušanu I, I A vai I 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2012.gada 9.februāra Lēmums Nr.2012/77/ES par 18. veida produktos izmantojamā </w:t>
            </w:r>
            <w:proofErr w:type="spellStart"/>
            <w:r w:rsidRPr="00FE092B">
              <w:rPr>
                <w:rStyle w:val="Strong"/>
                <w:sz w:val="26"/>
                <w:szCs w:val="26"/>
              </w:rPr>
              <w:t>flufenoksurona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2012.gada 9.februāra Lēmums Nr.2012/78/ES par dažu vielu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2012.gada 10.maija Lēmums Nr.2012/254/ES par izmantošanai 18. veida produktos paredzētā </w:t>
            </w:r>
            <w:proofErr w:type="spellStart"/>
            <w:r w:rsidRPr="00FE092B">
              <w:rPr>
                <w:rStyle w:val="Strong"/>
                <w:sz w:val="26"/>
                <w:szCs w:val="26"/>
              </w:rPr>
              <w:t>dihlorvosa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2012.gada 11.maija Lēmums Nr.2012/257/ES par izmantošanai 18. veida produktos paredzētā </w:t>
            </w:r>
            <w:proofErr w:type="spellStart"/>
            <w:r w:rsidRPr="00FE092B">
              <w:rPr>
                <w:rStyle w:val="Strong"/>
                <w:sz w:val="26"/>
                <w:szCs w:val="26"/>
              </w:rPr>
              <w:t>naleda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2012.gada 23.novembra Lēmums Nr.2012/728/ES  par 18. veida produktos izmantojamā </w:t>
            </w:r>
            <w:proofErr w:type="spellStart"/>
            <w:r w:rsidRPr="00FE092B">
              <w:rPr>
                <w:rStyle w:val="Strong"/>
                <w:sz w:val="26"/>
                <w:szCs w:val="26"/>
              </w:rPr>
              <w:t>bifentrīna</w:t>
            </w:r>
            <w:proofErr w:type="spellEnd"/>
            <w:r w:rsidRPr="00FE092B">
              <w:rPr>
                <w:rStyle w:val="Strong"/>
                <w:sz w:val="26"/>
                <w:szCs w:val="26"/>
              </w:rPr>
              <w:t xml:space="preserve"> neiekļaušanu I, IA vai IB pielikumā Eiropas Parlamenta un Padomes Direktīvā 98/8/EK par </w:t>
            </w:r>
            <w:proofErr w:type="spellStart"/>
            <w:r w:rsidRPr="00FE092B">
              <w:rPr>
                <w:rStyle w:val="Strong"/>
                <w:sz w:val="26"/>
                <w:szCs w:val="26"/>
              </w:rPr>
              <w:t>biocīdo</w:t>
            </w:r>
            <w:proofErr w:type="spellEnd"/>
            <w:r w:rsidRPr="00FE092B">
              <w:rPr>
                <w:rStyle w:val="Strong"/>
                <w:sz w:val="26"/>
                <w:szCs w:val="26"/>
              </w:rPr>
              <w:t xml:space="preserve"> produktu laišanu tirgū</w:t>
            </w:r>
          </w:p>
          <w:p w:rsidR="005E3073" w:rsidRPr="00FE092B" w:rsidRDefault="005E3073" w:rsidP="0079104F">
            <w:pPr>
              <w:pStyle w:val="naiskr"/>
              <w:ind w:left="46" w:firstLine="425"/>
              <w:jc w:val="both"/>
              <w:rPr>
                <w:rStyle w:val="Strong"/>
                <w:b w:val="0"/>
                <w:bCs w:val="0"/>
                <w:sz w:val="26"/>
                <w:szCs w:val="26"/>
              </w:rPr>
            </w:pPr>
            <w:r w:rsidRPr="00FE092B">
              <w:rPr>
                <w:rStyle w:val="Strong"/>
                <w:sz w:val="26"/>
                <w:szCs w:val="26"/>
              </w:rPr>
              <w:t xml:space="preserve">Komisijas 2013.gada 14.februāra Lēmums Nr.2013/85/ES par dažu vielu neiekļaušanu Eiropas Parlamenta un Padomes Direktīvas 98/8/EK par </w:t>
            </w:r>
            <w:proofErr w:type="spellStart"/>
            <w:r w:rsidRPr="00FE092B">
              <w:rPr>
                <w:rStyle w:val="Strong"/>
                <w:sz w:val="26"/>
                <w:szCs w:val="26"/>
              </w:rPr>
              <w:t>biocīdo</w:t>
            </w:r>
            <w:proofErr w:type="spellEnd"/>
            <w:r w:rsidRPr="00FE092B">
              <w:rPr>
                <w:rStyle w:val="Strong"/>
                <w:sz w:val="26"/>
                <w:szCs w:val="26"/>
              </w:rPr>
              <w:t xml:space="preserve"> produktu </w:t>
            </w:r>
          </w:p>
          <w:p w:rsidR="005E3073" w:rsidRPr="00FE092B" w:rsidRDefault="005E3073" w:rsidP="0079104F">
            <w:pPr>
              <w:pStyle w:val="NormalWeb"/>
              <w:spacing w:before="0" w:beforeAutospacing="0" w:after="0" w:afterAutospacing="0"/>
              <w:ind w:left="46" w:firstLine="425"/>
              <w:jc w:val="both"/>
              <w:rPr>
                <w:rStyle w:val="Strong"/>
                <w:b w:val="0"/>
                <w:bCs w:val="0"/>
                <w:sz w:val="26"/>
                <w:szCs w:val="26"/>
                <w:lang w:val="lv-LV"/>
              </w:rPr>
            </w:pPr>
            <w:r w:rsidRPr="00FE092B">
              <w:rPr>
                <w:rStyle w:val="Strong"/>
                <w:rFonts w:ascii="Times New Roman" w:hAnsi="Times New Roman"/>
                <w:sz w:val="26"/>
                <w:szCs w:val="26"/>
                <w:lang w:val="lv-LV" w:eastAsia="lv-LV"/>
              </w:rPr>
              <w:t xml:space="preserve">Komisijas 2013.gada 25.aprīļa Lēmums Nr.2013/204/ES par izmantošanai 20. veida produktos paredzētā formaldehīda neiekļaušanu I, IA vai IB pielikumā Eiropas Parlamenta un Padomes Direktīvā 98/8/EK par </w:t>
            </w:r>
            <w:proofErr w:type="spellStart"/>
            <w:r w:rsidRPr="00FE092B">
              <w:rPr>
                <w:rStyle w:val="Strong"/>
                <w:rFonts w:ascii="Times New Roman" w:hAnsi="Times New Roman"/>
                <w:sz w:val="26"/>
                <w:szCs w:val="26"/>
                <w:lang w:val="lv-LV" w:eastAsia="lv-LV"/>
              </w:rPr>
              <w:t>biocīdo</w:t>
            </w:r>
            <w:proofErr w:type="spellEnd"/>
            <w:r w:rsidRPr="00FE092B">
              <w:rPr>
                <w:rStyle w:val="Strong"/>
                <w:rFonts w:ascii="Times New Roman" w:hAnsi="Times New Roman"/>
                <w:sz w:val="26"/>
                <w:szCs w:val="26"/>
                <w:lang w:val="lv-LV" w:eastAsia="lv-LV"/>
              </w:rPr>
              <w:t xml:space="preserve"> produktu laišanu tirgū</w:t>
            </w:r>
          </w:p>
        </w:tc>
      </w:tr>
      <w:tr w:rsidR="005E3073" w:rsidRPr="00FE092B" w:rsidTr="0079104F">
        <w:trPr>
          <w:trHeight w:val="163"/>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rPr>
                <w:sz w:val="28"/>
                <w:szCs w:val="28"/>
              </w:rPr>
            </w:pPr>
            <w:r w:rsidRPr="00FE092B">
              <w:rPr>
                <w:sz w:val="28"/>
                <w:szCs w:val="28"/>
              </w:rPr>
              <w:lastRenderedPageBreak/>
              <w:t>  </w:t>
            </w:r>
          </w:p>
        </w:tc>
      </w:tr>
      <w:tr w:rsidR="005E3073" w:rsidRPr="00FE092B" w:rsidTr="0079104F">
        <w:trPr>
          <w:trHeight w:val="1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A</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B</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C</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D</w:t>
            </w: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lastRenderedPageBreak/>
              <w:t>Regulas Nr.528/2012 7.pants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2.2.punkts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8.pants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2.2.punkts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13. un 14.pants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2.3.punkts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17.pants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2.4.punkts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23.pants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2.5.punkts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26.pants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2.6.punkts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27.pants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2.7.punkts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33.pants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2.8.punkts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34.pants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2.9.punkts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43. un 44.pants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2.10.punkts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45.pants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2.11.punkts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48., 49. un 50.pants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2.12.punkts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Regulas Nr.528/2012 53.pants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2.13.punkts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lastRenderedPageBreak/>
              <w:t>Regulas Nr.528/2012 89.panta 2.punkts</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2.1.punkts un  3.punkts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daļēji</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pPr>
            <w:r w:rsidRPr="00FE092B">
              <w:t>Ieviesta 89.panta 2.punktā paredzētā norma, ka dalībvalstis turpina piemērot pašreizējo sistēmu biocīdu piedāvāšanai tirgū, t.i., Latvijas gadījumā - biocīda inventarizācijas numura izsniegšana</w:t>
            </w:r>
          </w:p>
        </w:tc>
      </w:tr>
      <w:tr w:rsidR="005E3073" w:rsidRPr="00FE092B" w:rsidTr="0079104F">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rStyle w:val="Strong"/>
                <w:b w:val="0"/>
                <w:bCs w:val="0"/>
                <w:sz w:val="26"/>
                <w:szCs w:val="26"/>
              </w:rPr>
            </w:pPr>
            <w:r w:rsidRPr="00FE092B">
              <w:rPr>
                <w:rStyle w:val="Strong"/>
                <w:sz w:val="26"/>
                <w:szCs w:val="26"/>
              </w:rPr>
              <w:t>Lēmumi</w:t>
            </w:r>
          </w:p>
          <w:p w:rsidR="005E3073" w:rsidRPr="00FE092B" w:rsidRDefault="005E3073" w:rsidP="0079104F">
            <w:pPr>
              <w:jc w:val="center"/>
              <w:rPr>
                <w:rStyle w:val="Strong"/>
                <w:b w:val="0"/>
                <w:bCs w:val="0"/>
                <w:sz w:val="26"/>
                <w:szCs w:val="26"/>
              </w:rPr>
            </w:pPr>
            <w:r w:rsidRPr="00FE092B">
              <w:rPr>
                <w:rStyle w:val="Strong"/>
                <w:sz w:val="26"/>
                <w:szCs w:val="26"/>
              </w:rPr>
              <w:t>Nr.2007/565/EK Nr.2007/597/EK</w:t>
            </w:r>
          </w:p>
          <w:p w:rsidR="005E3073" w:rsidRPr="00FE092B" w:rsidRDefault="005E3073" w:rsidP="0079104F">
            <w:pPr>
              <w:pStyle w:val="naiskr"/>
              <w:jc w:val="both"/>
              <w:rPr>
                <w:rStyle w:val="Strong"/>
                <w:b w:val="0"/>
                <w:bCs w:val="0"/>
                <w:sz w:val="26"/>
                <w:szCs w:val="26"/>
              </w:rPr>
            </w:pPr>
            <w:r w:rsidRPr="00FE092B">
              <w:rPr>
                <w:sz w:val="26"/>
                <w:szCs w:val="26"/>
              </w:rPr>
              <w:t>Nr.2008/681/EK</w:t>
            </w:r>
          </w:p>
          <w:p w:rsidR="005E3073" w:rsidRPr="00FE092B" w:rsidRDefault="005E3073" w:rsidP="0079104F">
            <w:pPr>
              <w:pStyle w:val="naiskr"/>
              <w:jc w:val="both"/>
              <w:rPr>
                <w:sz w:val="26"/>
                <w:szCs w:val="26"/>
              </w:rPr>
            </w:pPr>
            <w:r w:rsidRPr="00FE092B">
              <w:rPr>
                <w:rStyle w:val="Strong"/>
                <w:sz w:val="26"/>
                <w:szCs w:val="26"/>
              </w:rPr>
              <w:t xml:space="preserve">Nr.2008/809/EK </w:t>
            </w:r>
          </w:p>
          <w:p w:rsidR="005E3073" w:rsidRPr="00FE092B" w:rsidRDefault="005E3073" w:rsidP="0079104F">
            <w:pPr>
              <w:pStyle w:val="naiskr"/>
              <w:jc w:val="both"/>
              <w:rPr>
                <w:sz w:val="26"/>
                <w:szCs w:val="26"/>
              </w:rPr>
            </w:pPr>
            <w:r w:rsidRPr="00FE092B">
              <w:rPr>
                <w:sz w:val="26"/>
                <w:szCs w:val="26"/>
              </w:rPr>
              <w:t xml:space="preserve">Nr.2009/322/EK </w:t>
            </w:r>
          </w:p>
          <w:p w:rsidR="005E3073" w:rsidRPr="00FE092B" w:rsidRDefault="005E3073" w:rsidP="0079104F">
            <w:pPr>
              <w:pStyle w:val="naiskr"/>
              <w:jc w:val="both"/>
              <w:rPr>
                <w:rStyle w:val="Strong"/>
                <w:b w:val="0"/>
                <w:bCs w:val="0"/>
                <w:sz w:val="26"/>
                <w:szCs w:val="26"/>
              </w:rPr>
            </w:pPr>
            <w:r w:rsidRPr="00FE092B">
              <w:rPr>
                <w:sz w:val="26"/>
                <w:szCs w:val="26"/>
              </w:rPr>
              <w:t xml:space="preserve">Nr.2009/324/EK </w:t>
            </w:r>
            <w:r w:rsidRPr="00FE092B">
              <w:rPr>
                <w:rStyle w:val="Strong"/>
                <w:sz w:val="26"/>
                <w:szCs w:val="26"/>
              </w:rPr>
              <w:t xml:space="preserve">Nr.2010/72/EK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Nr.2010/71/EK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Nr.2010/675/ES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Nr.2011/391/ES Nr.2012/77/ES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Nr.2012/78/ES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Nr.2012/254/ES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Nr.2012/257/ES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Nr.2012/728/ES  </w:t>
            </w:r>
          </w:p>
          <w:p w:rsidR="005E3073" w:rsidRPr="00FE092B" w:rsidRDefault="005E3073" w:rsidP="0079104F">
            <w:pPr>
              <w:pStyle w:val="naiskr"/>
              <w:jc w:val="both"/>
              <w:rPr>
                <w:rStyle w:val="Strong"/>
                <w:b w:val="0"/>
                <w:bCs w:val="0"/>
                <w:sz w:val="26"/>
                <w:szCs w:val="26"/>
              </w:rPr>
            </w:pPr>
            <w:r w:rsidRPr="00FE092B">
              <w:rPr>
                <w:rStyle w:val="Strong"/>
                <w:sz w:val="26"/>
                <w:szCs w:val="26"/>
              </w:rPr>
              <w:t xml:space="preserve">Nr.2013/85/ES </w:t>
            </w:r>
          </w:p>
          <w:p w:rsidR="005E3073" w:rsidRPr="00FE092B" w:rsidRDefault="005E3073" w:rsidP="0079104F">
            <w:pPr>
              <w:jc w:val="center"/>
              <w:rPr>
                <w:sz w:val="28"/>
                <w:szCs w:val="28"/>
              </w:rPr>
            </w:pPr>
            <w:r w:rsidRPr="00FE092B">
              <w:rPr>
                <w:rStyle w:val="Strong"/>
                <w:sz w:val="26"/>
                <w:szCs w:val="26"/>
              </w:rPr>
              <w:t xml:space="preserve">Nr.2013/204/ES </w:t>
            </w:r>
          </w:p>
        </w:tc>
        <w:tc>
          <w:tcPr>
            <w:tcW w:w="178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2.pielikums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rPr>
                <w:sz w:val="28"/>
                <w:szCs w:val="28"/>
              </w:rPr>
            </w:pPr>
            <w:r w:rsidRPr="00FE092B">
              <w:rPr>
                <w:sz w:val="28"/>
                <w:szCs w:val="28"/>
              </w:rPr>
              <w:t>Ieviests pilnībā</w:t>
            </w:r>
          </w:p>
        </w:tc>
        <w:tc>
          <w:tcPr>
            <w:tcW w:w="2740" w:type="dxa"/>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jc w:val="center"/>
            </w:pPr>
          </w:p>
        </w:tc>
      </w:tr>
      <w:tr w:rsidR="005E3073" w:rsidRPr="00FE092B" w:rsidTr="0079104F">
        <w:trPr>
          <w:trHeight w:val="579"/>
          <w:tblCellSpacing w:w="0" w:type="dxa"/>
        </w:trPr>
        <w:tc>
          <w:tcPr>
            <w:tcW w:w="4215" w:type="dxa"/>
            <w:gridSpan w:val="3"/>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ind w:left="120" w:right="105"/>
              <w:jc w:val="both"/>
              <w:rPr>
                <w:sz w:val="28"/>
                <w:szCs w:val="28"/>
              </w:rPr>
            </w:pPr>
            <w:r w:rsidRPr="00FE092B">
              <w:rPr>
                <w:sz w:val="28"/>
                <w:szCs w:val="28"/>
              </w:rPr>
              <w:t>Kā ir izmantota ES tiesību aktā paredzētā rīcības brīvība dalībvalstij pārņemt vai ieviest noteiktas ES tiesību akta normas.</w:t>
            </w:r>
          </w:p>
          <w:p w:rsidR="005E3073" w:rsidRPr="00FE092B" w:rsidRDefault="005E3073" w:rsidP="0079104F">
            <w:pPr>
              <w:ind w:left="120" w:right="105"/>
              <w:jc w:val="both"/>
              <w:rPr>
                <w:sz w:val="28"/>
                <w:szCs w:val="28"/>
              </w:rPr>
            </w:pPr>
            <w:r w:rsidRPr="00FE092B">
              <w:rPr>
                <w:sz w:val="28"/>
                <w:szCs w:val="28"/>
              </w:rPr>
              <w:t>Kādēļ?</w:t>
            </w:r>
          </w:p>
        </w:tc>
        <w:tc>
          <w:tcPr>
            <w:tcW w:w="4886" w:type="dxa"/>
            <w:gridSpan w:val="2"/>
            <w:tcBorders>
              <w:top w:val="outset" w:sz="6" w:space="0" w:color="auto"/>
              <w:left w:val="outset" w:sz="6" w:space="0" w:color="auto"/>
              <w:bottom w:val="outset" w:sz="6" w:space="0" w:color="auto"/>
              <w:right w:val="outset" w:sz="6" w:space="0" w:color="auto"/>
            </w:tcBorders>
            <w:shd w:val="clear" w:color="auto" w:fill="auto"/>
          </w:tcPr>
          <w:p w:rsidR="005E3073" w:rsidRPr="00FE092B" w:rsidRDefault="005E3073" w:rsidP="0079104F">
            <w:pPr>
              <w:ind w:left="105"/>
              <w:jc w:val="both"/>
              <w:rPr>
                <w:sz w:val="28"/>
                <w:szCs w:val="28"/>
              </w:rPr>
            </w:pPr>
            <w:r w:rsidRPr="00FE092B">
              <w:rPr>
                <w:sz w:val="28"/>
                <w:szCs w:val="28"/>
              </w:rPr>
              <w:t>Regulas Nr.528/2012 89.panta 2.punkts paredz, ka dalībvalsts var turpināt piemērot pašreizējo sistēmu biocīda piedāvāšanai tirgū. Latvijā, saskaņā ar noteikumiem Nr.184 nacionāla sistēma ir, ka centrs izsniedz biocīda inventarizācijas numurus.</w:t>
            </w:r>
          </w:p>
        </w:tc>
      </w:tr>
      <w:tr w:rsidR="005E3073" w:rsidRPr="00FE092B" w:rsidTr="0079104F">
        <w:trPr>
          <w:tblCellSpacing w:w="0" w:type="dxa"/>
        </w:trPr>
        <w:tc>
          <w:tcPr>
            <w:tcW w:w="4215" w:type="dxa"/>
            <w:gridSpan w:val="3"/>
            <w:tcBorders>
              <w:top w:val="outset" w:sz="6" w:space="0" w:color="auto"/>
              <w:left w:val="outset" w:sz="6" w:space="0" w:color="auto"/>
              <w:bottom w:val="outset" w:sz="6" w:space="0" w:color="auto"/>
              <w:right w:val="outset" w:sz="6" w:space="0" w:color="auto"/>
            </w:tcBorders>
          </w:tcPr>
          <w:p w:rsidR="005E3073" w:rsidRPr="00FE092B" w:rsidRDefault="005E3073" w:rsidP="0079104F">
            <w:pPr>
              <w:ind w:left="120" w:right="105"/>
              <w:jc w:val="both"/>
              <w:rPr>
                <w:sz w:val="28"/>
                <w:szCs w:val="28"/>
              </w:rPr>
            </w:pPr>
            <w:r w:rsidRPr="00FE092B">
              <w:rPr>
                <w:sz w:val="28"/>
                <w:szCs w:val="28"/>
              </w:rPr>
              <w:t xml:space="preserve">Saistības sniegt paziņojumu ES institūcijām un ES dalībvalstīm atbilstoši normatīvajiem aktiem, kas regulē informācijas sniegšanu par tehnisko noteikumu, valsts atbalsta piešķiršanas un finanšu </w:t>
            </w:r>
            <w:r w:rsidRPr="00FE092B">
              <w:rPr>
                <w:sz w:val="28"/>
                <w:szCs w:val="28"/>
              </w:rPr>
              <w:lastRenderedPageBreak/>
              <w:t>noteikumu (attiecībā uz monetāro politiku) projektiem</w:t>
            </w:r>
          </w:p>
        </w:tc>
        <w:tc>
          <w:tcPr>
            <w:tcW w:w="4886" w:type="dxa"/>
            <w:gridSpan w:val="2"/>
            <w:tcBorders>
              <w:top w:val="outset" w:sz="6" w:space="0" w:color="auto"/>
              <w:left w:val="outset" w:sz="6" w:space="0" w:color="auto"/>
              <w:bottom w:val="outset" w:sz="6" w:space="0" w:color="auto"/>
              <w:right w:val="outset" w:sz="6" w:space="0" w:color="auto"/>
            </w:tcBorders>
          </w:tcPr>
          <w:p w:rsidR="005E3073" w:rsidRPr="00FE092B" w:rsidRDefault="005E3073" w:rsidP="0079104F">
            <w:pPr>
              <w:ind w:left="105"/>
              <w:jc w:val="both"/>
              <w:rPr>
                <w:sz w:val="28"/>
                <w:szCs w:val="28"/>
              </w:rPr>
            </w:pPr>
            <w:r w:rsidRPr="00FE092B">
              <w:rPr>
                <w:sz w:val="28"/>
                <w:szCs w:val="28"/>
              </w:rPr>
              <w:lastRenderedPageBreak/>
              <w:t>Nav attiecināms.</w:t>
            </w:r>
          </w:p>
        </w:tc>
      </w:tr>
      <w:tr w:rsidR="005E3073" w:rsidRPr="00FE092B" w:rsidTr="0079104F">
        <w:trPr>
          <w:tblCellSpacing w:w="0" w:type="dxa"/>
        </w:trPr>
        <w:tc>
          <w:tcPr>
            <w:tcW w:w="4215" w:type="dxa"/>
            <w:gridSpan w:val="3"/>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ind w:left="120" w:right="105"/>
              <w:jc w:val="both"/>
              <w:rPr>
                <w:sz w:val="28"/>
                <w:szCs w:val="28"/>
              </w:rPr>
            </w:pPr>
            <w:r w:rsidRPr="00FE092B">
              <w:rPr>
                <w:sz w:val="28"/>
                <w:szCs w:val="28"/>
              </w:rPr>
              <w:lastRenderedPageBreak/>
              <w:t>Cita informācija</w:t>
            </w:r>
          </w:p>
          <w:p w:rsidR="005E3073" w:rsidRPr="00FE092B" w:rsidRDefault="005E3073" w:rsidP="0079104F">
            <w:pPr>
              <w:ind w:left="120" w:right="105"/>
              <w:jc w:val="both"/>
              <w:rPr>
                <w:sz w:val="28"/>
                <w:szCs w:val="28"/>
              </w:rPr>
            </w:pPr>
          </w:p>
        </w:tc>
        <w:tc>
          <w:tcPr>
            <w:tcW w:w="4886" w:type="dxa"/>
            <w:gridSpan w:val="2"/>
            <w:tcBorders>
              <w:top w:val="outset" w:sz="6" w:space="0" w:color="auto"/>
              <w:left w:val="outset" w:sz="6" w:space="0" w:color="auto"/>
              <w:bottom w:val="outset" w:sz="6" w:space="0" w:color="auto"/>
              <w:right w:val="outset" w:sz="6" w:space="0" w:color="auto"/>
            </w:tcBorders>
            <w:vAlign w:val="center"/>
          </w:tcPr>
          <w:p w:rsidR="005E3073" w:rsidRPr="00FE092B" w:rsidRDefault="005E3073" w:rsidP="0079104F">
            <w:pPr>
              <w:pStyle w:val="naisf"/>
              <w:spacing w:before="0" w:after="0"/>
              <w:ind w:firstLine="0"/>
              <w:rPr>
                <w:sz w:val="28"/>
                <w:szCs w:val="28"/>
              </w:rPr>
            </w:pPr>
          </w:p>
        </w:tc>
      </w:tr>
    </w:tbl>
    <w:p w:rsidR="005E3073" w:rsidRPr="00FE092B" w:rsidRDefault="005E3073" w:rsidP="005E3073">
      <w:pPr>
        <w:pStyle w:val="naisf"/>
        <w:spacing w:before="0" w:after="0"/>
        <w:ind w:firstLine="0"/>
        <w:jc w:val="center"/>
        <w:rPr>
          <w:b/>
        </w:rPr>
      </w:pPr>
    </w:p>
    <w:p w:rsidR="005E3073" w:rsidRPr="00FE092B" w:rsidRDefault="005E3073" w:rsidP="005E3073">
      <w:pPr>
        <w:jc w:val="center"/>
        <w:rPr>
          <w:b/>
          <w:bCs/>
          <w:sz w:val="28"/>
          <w:szCs w:val="28"/>
        </w:rPr>
      </w:pPr>
      <w:r w:rsidRPr="00FE092B">
        <w:rPr>
          <w:b/>
          <w:sz w:val="28"/>
          <w:szCs w:val="28"/>
        </w:rPr>
        <w:t>Anotācijas V sadaļas 2.tabula</w:t>
      </w:r>
      <w:r w:rsidRPr="00FE092B">
        <w:rPr>
          <w:b/>
          <w:bCs/>
          <w:sz w:val="28"/>
          <w:szCs w:val="28"/>
        </w:rPr>
        <w:t xml:space="preserve"> – projekts šo jomu neskar.</w:t>
      </w:r>
    </w:p>
    <w:p w:rsidR="005E3073" w:rsidRPr="00FE092B" w:rsidRDefault="005E3073" w:rsidP="005E3073">
      <w:pPr>
        <w:pStyle w:val="naisf"/>
        <w:spacing w:before="0" w:after="0"/>
        <w:ind w:firstLine="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3"/>
        <w:gridCol w:w="3490"/>
        <w:gridCol w:w="4373"/>
      </w:tblGrid>
      <w:tr w:rsidR="005E3073" w:rsidRPr="00FE092B" w:rsidTr="0079104F">
        <w:trPr>
          <w:tblCellSpacing w:w="0" w:type="dxa"/>
        </w:trPr>
        <w:tc>
          <w:tcPr>
            <w:tcW w:w="10410" w:type="dxa"/>
            <w:gridSpan w:val="3"/>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c"/>
              <w:rPr>
                <w:sz w:val="28"/>
                <w:szCs w:val="28"/>
              </w:rPr>
            </w:pPr>
            <w:r w:rsidRPr="00FE092B">
              <w:rPr>
                <w:b/>
                <w:bCs/>
                <w:sz w:val="28"/>
                <w:szCs w:val="28"/>
              </w:rPr>
              <w:t> VI. Sabiedrības līdzdalība un šīs līdzdalības rezultāti</w:t>
            </w:r>
          </w:p>
        </w:tc>
      </w:tr>
      <w:tr w:rsidR="005E3073" w:rsidRPr="00FE092B" w:rsidTr="0079104F">
        <w:trPr>
          <w:trHeight w:val="553"/>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9"/>
              <w:rPr>
                <w:sz w:val="28"/>
                <w:szCs w:val="28"/>
              </w:rPr>
            </w:pPr>
            <w:r w:rsidRPr="00FE092B">
              <w:rPr>
                <w:sz w:val="28"/>
                <w:szCs w:val="28"/>
              </w:rPr>
              <w:t>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66" w:right="71"/>
              <w:jc w:val="both"/>
              <w:rPr>
                <w:sz w:val="28"/>
                <w:szCs w:val="28"/>
              </w:rPr>
            </w:pPr>
            <w:r w:rsidRPr="00FE092B">
              <w:rPr>
                <w:sz w:val="28"/>
                <w:szCs w:val="28"/>
              </w:rPr>
              <w:t xml:space="preserve">Komentāru sniegšanai noteikumu projekts ievietots Vides aizsardzības un reģionālās attīstības ministrijas tīmekļa vietnē </w:t>
            </w:r>
            <w:hyperlink r:id="rId7" w:history="1">
              <w:r w:rsidRPr="00FE092B">
                <w:rPr>
                  <w:rStyle w:val="Hyperlink"/>
                  <w:sz w:val="28"/>
                  <w:szCs w:val="28"/>
                </w:rPr>
                <w:t>www.varam.gov.lv</w:t>
              </w:r>
            </w:hyperlink>
            <w:r w:rsidRPr="00FE092B">
              <w:rPr>
                <w:sz w:val="28"/>
                <w:szCs w:val="28"/>
              </w:rPr>
              <w:t xml:space="preserve">, </w:t>
            </w:r>
            <w:r w:rsidRPr="00FE092B">
              <w:rPr>
                <w:iCs/>
                <w:sz w:val="28"/>
                <w:szCs w:val="28"/>
              </w:rPr>
              <w:t>sadaļā Normatīvo aktu projekti vides aizsardzības jomā</w:t>
            </w:r>
            <w:r w:rsidRPr="00FE092B">
              <w:rPr>
                <w:sz w:val="28"/>
                <w:szCs w:val="28"/>
              </w:rPr>
              <w:t>.</w:t>
            </w:r>
          </w:p>
        </w:tc>
      </w:tr>
      <w:tr w:rsidR="005E3073" w:rsidRPr="00FE092B" w:rsidTr="0079104F">
        <w:trPr>
          <w:trHeight w:val="339"/>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9"/>
              <w:rPr>
                <w:sz w:val="28"/>
                <w:szCs w:val="28"/>
              </w:rPr>
            </w:pPr>
            <w:r w:rsidRPr="00FE092B">
              <w:rPr>
                <w:sz w:val="28"/>
                <w:szCs w:val="28"/>
              </w:rPr>
              <w:t>Sabiedrības līdzdalība projekta izstrādē</w:t>
            </w:r>
          </w:p>
        </w:tc>
        <w:tc>
          <w:tcPr>
            <w:tcW w:w="53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66" w:right="71"/>
              <w:rPr>
                <w:sz w:val="28"/>
                <w:szCs w:val="28"/>
              </w:rPr>
            </w:pPr>
            <w:r w:rsidRPr="00FE092B">
              <w:rPr>
                <w:sz w:val="28"/>
                <w:szCs w:val="28"/>
              </w:rPr>
              <w:t>Nav attiecināms.</w:t>
            </w:r>
          </w:p>
        </w:tc>
      </w:tr>
      <w:tr w:rsidR="005E3073" w:rsidRPr="00FE092B" w:rsidTr="0079104F">
        <w:trPr>
          <w:trHeight w:val="375"/>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9"/>
              <w:rPr>
                <w:sz w:val="28"/>
                <w:szCs w:val="28"/>
              </w:rPr>
            </w:pPr>
            <w:r w:rsidRPr="00FE092B">
              <w:rPr>
                <w:sz w:val="28"/>
                <w:szCs w:val="28"/>
              </w:rPr>
              <w:t>Sabiedrības līdzdalības rezultāti</w:t>
            </w:r>
          </w:p>
        </w:tc>
        <w:tc>
          <w:tcPr>
            <w:tcW w:w="53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66" w:right="71"/>
              <w:rPr>
                <w:sz w:val="28"/>
                <w:szCs w:val="28"/>
              </w:rPr>
            </w:pPr>
            <w:r w:rsidRPr="00FE092B">
              <w:rPr>
                <w:sz w:val="28"/>
                <w:szCs w:val="28"/>
              </w:rPr>
              <w:t>Nav attiecināms.</w:t>
            </w:r>
          </w:p>
        </w:tc>
      </w:tr>
      <w:tr w:rsidR="005E3073" w:rsidRPr="00FE092B" w:rsidTr="0079104F">
        <w:trPr>
          <w:trHeight w:val="397"/>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9"/>
              <w:rPr>
                <w:sz w:val="28"/>
                <w:szCs w:val="28"/>
              </w:rPr>
            </w:pPr>
            <w:r w:rsidRPr="00FE092B">
              <w:rPr>
                <w:sz w:val="28"/>
                <w:szCs w:val="28"/>
              </w:rPr>
              <w:t>Saeimas un ekspertu līdzdalība</w:t>
            </w:r>
          </w:p>
        </w:tc>
        <w:tc>
          <w:tcPr>
            <w:tcW w:w="53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66" w:right="71"/>
              <w:rPr>
                <w:sz w:val="28"/>
                <w:szCs w:val="28"/>
              </w:rPr>
            </w:pPr>
            <w:r w:rsidRPr="00FE092B">
              <w:rPr>
                <w:sz w:val="28"/>
                <w:szCs w:val="28"/>
              </w:rPr>
              <w:t>Nav attiecināms.</w:t>
            </w:r>
          </w:p>
        </w:tc>
      </w:tr>
      <w:tr w:rsidR="005E3073" w:rsidRPr="00FE092B" w:rsidTr="0079104F">
        <w:trPr>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9"/>
              <w:rPr>
                <w:sz w:val="28"/>
                <w:szCs w:val="28"/>
              </w:rPr>
            </w:pPr>
            <w:r w:rsidRPr="00FE092B">
              <w:rPr>
                <w:sz w:val="28"/>
                <w:szCs w:val="28"/>
              </w:rPr>
              <w:t>Cita informācija</w:t>
            </w:r>
          </w:p>
        </w:tc>
        <w:tc>
          <w:tcPr>
            <w:tcW w:w="53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66" w:right="71"/>
              <w:rPr>
                <w:sz w:val="28"/>
                <w:szCs w:val="28"/>
              </w:rPr>
            </w:pPr>
            <w:r w:rsidRPr="00FE092B">
              <w:rPr>
                <w:sz w:val="28"/>
                <w:szCs w:val="28"/>
              </w:rPr>
              <w:t>Nav.</w:t>
            </w:r>
          </w:p>
        </w:tc>
      </w:tr>
    </w:tbl>
    <w:p w:rsidR="005E3073" w:rsidRPr="00FE092B" w:rsidRDefault="005E3073" w:rsidP="005E3073">
      <w:pPr>
        <w:pStyle w:val="nais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7"/>
        <w:gridCol w:w="3629"/>
        <w:gridCol w:w="4230"/>
      </w:tblGrid>
      <w:tr w:rsidR="005E3073" w:rsidRPr="00FE092B" w:rsidTr="0079104F">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c"/>
              <w:rPr>
                <w:sz w:val="28"/>
                <w:szCs w:val="28"/>
              </w:rPr>
            </w:pPr>
            <w:r w:rsidRPr="00FE092B">
              <w:rPr>
                <w:b/>
                <w:bCs/>
                <w:sz w:val="28"/>
                <w:szCs w:val="28"/>
              </w:rPr>
              <w:t> VII. Tiesību akta projekta izpildes nodrošināšana un tās ietekme uz institūcijām</w:t>
            </w:r>
          </w:p>
        </w:tc>
      </w:tr>
      <w:tr w:rsidR="005E3073" w:rsidRPr="00FE092B" w:rsidTr="0079104F">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7" w:right="78"/>
              <w:jc w:val="both"/>
              <w:rPr>
                <w:sz w:val="28"/>
                <w:szCs w:val="28"/>
              </w:rPr>
            </w:pPr>
            <w:r w:rsidRPr="00FE092B">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71"/>
              <w:rPr>
                <w:sz w:val="28"/>
                <w:szCs w:val="28"/>
              </w:rPr>
            </w:pPr>
            <w:r w:rsidRPr="00FE092B">
              <w:rPr>
                <w:sz w:val="28"/>
                <w:szCs w:val="28"/>
              </w:rPr>
              <w:t>Vides aizsardzības un reģionālās attīstības ministrija, LVĢMC.</w:t>
            </w:r>
          </w:p>
        </w:tc>
      </w:tr>
      <w:tr w:rsidR="005E3073" w:rsidRPr="00FE092B" w:rsidTr="0079104F">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7" w:right="78"/>
              <w:jc w:val="both"/>
              <w:rPr>
                <w:sz w:val="28"/>
                <w:szCs w:val="28"/>
              </w:rPr>
            </w:pPr>
            <w:r w:rsidRPr="00FE092B">
              <w:rPr>
                <w:sz w:val="28"/>
                <w:szCs w:val="28"/>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71"/>
              <w:jc w:val="both"/>
              <w:rPr>
                <w:sz w:val="28"/>
                <w:szCs w:val="28"/>
              </w:rPr>
            </w:pPr>
            <w:r w:rsidRPr="00FE092B">
              <w:rPr>
                <w:sz w:val="28"/>
                <w:szCs w:val="28"/>
              </w:rPr>
              <w:t>Nav attiecināms.</w:t>
            </w:r>
          </w:p>
        </w:tc>
      </w:tr>
      <w:tr w:rsidR="005E3073" w:rsidRPr="00FE092B" w:rsidTr="0079104F">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7" w:right="78"/>
              <w:jc w:val="both"/>
              <w:rPr>
                <w:sz w:val="28"/>
                <w:szCs w:val="28"/>
              </w:rPr>
            </w:pPr>
            <w:r w:rsidRPr="00FE092B">
              <w:rPr>
                <w:sz w:val="28"/>
                <w:szCs w:val="28"/>
              </w:rPr>
              <w:t>Projekta izpildes ietekme uz pārvaldes institucionālo struktūru.</w:t>
            </w:r>
          </w:p>
          <w:p w:rsidR="005E3073" w:rsidRPr="00FE092B" w:rsidRDefault="005E3073" w:rsidP="0079104F">
            <w:pPr>
              <w:pStyle w:val="naiskr"/>
              <w:ind w:left="97" w:right="78"/>
              <w:jc w:val="both"/>
              <w:rPr>
                <w:sz w:val="28"/>
                <w:szCs w:val="28"/>
              </w:rPr>
            </w:pPr>
            <w:r w:rsidRPr="00FE092B">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71"/>
              <w:rPr>
                <w:sz w:val="28"/>
                <w:szCs w:val="28"/>
              </w:rPr>
            </w:pPr>
            <w:r w:rsidRPr="00FE092B">
              <w:rPr>
                <w:sz w:val="28"/>
                <w:szCs w:val="28"/>
              </w:rPr>
              <w:t>Noteikumu izpildei nav nepieciešams radīt jaunas institūcijas.</w:t>
            </w:r>
          </w:p>
        </w:tc>
      </w:tr>
      <w:tr w:rsidR="005E3073" w:rsidRPr="00FE092B" w:rsidTr="0079104F">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7" w:right="78"/>
              <w:jc w:val="both"/>
              <w:rPr>
                <w:sz w:val="28"/>
                <w:szCs w:val="28"/>
              </w:rPr>
            </w:pPr>
            <w:r w:rsidRPr="00FE092B">
              <w:rPr>
                <w:sz w:val="28"/>
                <w:szCs w:val="28"/>
              </w:rPr>
              <w:t>Projekta izpildes ietekme uz pārvaldes institucionālo struktūru.</w:t>
            </w:r>
          </w:p>
          <w:p w:rsidR="005E3073" w:rsidRPr="00FE092B" w:rsidRDefault="005E3073" w:rsidP="0079104F">
            <w:pPr>
              <w:pStyle w:val="naiskr"/>
              <w:ind w:left="97" w:right="78"/>
              <w:jc w:val="both"/>
              <w:rPr>
                <w:sz w:val="28"/>
                <w:szCs w:val="28"/>
              </w:rPr>
            </w:pPr>
            <w:r w:rsidRPr="00FE092B">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71"/>
              <w:rPr>
                <w:sz w:val="28"/>
                <w:szCs w:val="28"/>
              </w:rPr>
            </w:pPr>
            <w:r w:rsidRPr="00FE092B">
              <w:rPr>
                <w:sz w:val="28"/>
                <w:szCs w:val="28"/>
              </w:rPr>
              <w:t>Noteikumu izpildei nav nepieciešams likvidēt esošās institūcijas.</w:t>
            </w:r>
          </w:p>
        </w:tc>
      </w:tr>
      <w:tr w:rsidR="005E3073" w:rsidRPr="00FE092B" w:rsidTr="0079104F">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lastRenderedPageBreak/>
              <w:t> 5.</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7" w:right="78"/>
              <w:jc w:val="both"/>
              <w:rPr>
                <w:sz w:val="28"/>
                <w:szCs w:val="28"/>
              </w:rPr>
            </w:pPr>
            <w:r w:rsidRPr="00FE092B">
              <w:rPr>
                <w:sz w:val="28"/>
                <w:szCs w:val="28"/>
              </w:rPr>
              <w:t>Projekta izpildes ietekme uz pārvaldes institucionālo struktūru.</w:t>
            </w:r>
          </w:p>
          <w:p w:rsidR="005E3073" w:rsidRPr="00FE092B" w:rsidRDefault="005E3073" w:rsidP="0079104F">
            <w:pPr>
              <w:pStyle w:val="naiskr"/>
              <w:ind w:left="97" w:right="78"/>
              <w:jc w:val="both"/>
              <w:rPr>
                <w:sz w:val="28"/>
                <w:szCs w:val="28"/>
              </w:rPr>
            </w:pPr>
            <w:r w:rsidRPr="00FE092B">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71"/>
              <w:rPr>
                <w:sz w:val="28"/>
                <w:szCs w:val="28"/>
              </w:rPr>
            </w:pPr>
            <w:r w:rsidRPr="00FE092B">
              <w:rPr>
                <w:sz w:val="28"/>
                <w:szCs w:val="28"/>
              </w:rPr>
              <w:t>Noteikumu izpildei nav nepieciešams reorganizēt esošās institūcijas.</w:t>
            </w:r>
          </w:p>
        </w:tc>
      </w:tr>
      <w:tr w:rsidR="005E3073" w:rsidRPr="00FE092B" w:rsidTr="0079104F">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rPr>
                <w:sz w:val="28"/>
                <w:szCs w:val="28"/>
              </w:rPr>
            </w:pPr>
            <w:r w:rsidRPr="00FE092B">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97" w:right="78"/>
              <w:jc w:val="both"/>
              <w:rPr>
                <w:sz w:val="28"/>
                <w:szCs w:val="28"/>
              </w:rPr>
            </w:pPr>
            <w:r w:rsidRPr="00FE092B">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5E3073" w:rsidRPr="00FE092B" w:rsidRDefault="005E3073" w:rsidP="0079104F">
            <w:pPr>
              <w:pStyle w:val="naiskr"/>
              <w:ind w:left="126" w:right="71"/>
              <w:rPr>
                <w:sz w:val="28"/>
                <w:szCs w:val="28"/>
              </w:rPr>
            </w:pPr>
            <w:r w:rsidRPr="00FE092B">
              <w:rPr>
                <w:sz w:val="28"/>
                <w:szCs w:val="28"/>
              </w:rPr>
              <w:t>Nav.</w:t>
            </w:r>
          </w:p>
        </w:tc>
      </w:tr>
    </w:tbl>
    <w:p w:rsidR="005E3073" w:rsidRPr="00FE092B" w:rsidRDefault="005E3073" w:rsidP="005E3073">
      <w:pPr>
        <w:pStyle w:val="naisf"/>
        <w:tabs>
          <w:tab w:val="left" w:pos="2970"/>
        </w:tabs>
        <w:ind w:firstLine="0"/>
      </w:pPr>
      <w:r w:rsidRPr="00FE092B">
        <w:tab/>
      </w:r>
    </w:p>
    <w:p w:rsidR="005E3073" w:rsidRPr="00FE092B" w:rsidRDefault="005E3073" w:rsidP="005E3073">
      <w:pPr>
        <w:pStyle w:val="naisf"/>
        <w:ind w:firstLine="0"/>
      </w:pPr>
    </w:p>
    <w:p w:rsidR="005E3073" w:rsidRPr="00FE092B" w:rsidRDefault="005E3073" w:rsidP="005E3073">
      <w:pPr>
        <w:spacing w:after="120"/>
        <w:ind w:left="720"/>
        <w:rPr>
          <w:b/>
          <w:sz w:val="28"/>
          <w:szCs w:val="28"/>
        </w:rPr>
      </w:pPr>
      <w:r w:rsidRPr="00FE092B">
        <w:rPr>
          <w:b/>
          <w:sz w:val="28"/>
          <w:szCs w:val="28"/>
        </w:rPr>
        <w:t>Iesniedzējs:</w:t>
      </w:r>
    </w:p>
    <w:p w:rsidR="005E3073" w:rsidRPr="00FE092B" w:rsidRDefault="005E3073" w:rsidP="005E3073">
      <w:pPr>
        <w:ind w:left="720"/>
        <w:rPr>
          <w:sz w:val="28"/>
          <w:szCs w:val="28"/>
        </w:rPr>
      </w:pPr>
      <w:r w:rsidRPr="00FE092B">
        <w:rPr>
          <w:sz w:val="28"/>
          <w:szCs w:val="28"/>
        </w:rPr>
        <w:t xml:space="preserve">Vides aizsardzības un </w:t>
      </w:r>
    </w:p>
    <w:p w:rsidR="005E3073" w:rsidRPr="00FE092B" w:rsidRDefault="005E3073" w:rsidP="005E3073">
      <w:pPr>
        <w:ind w:left="720"/>
        <w:rPr>
          <w:sz w:val="28"/>
          <w:szCs w:val="28"/>
        </w:rPr>
      </w:pPr>
      <w:r w:rsidRPr="00FE092B">
        <w:rPr>
          <w:sz w:val="28"/>
          <w:szCs w:val="28"/>
        </w:rPr>
        <w:t>reģionālās attīstības ministrs</w:t>
      </w:r>
      <w:r w:rsidRPr="00FE092B">
        <w:rPr>
          <w:sz w:val="28"/>
          <w:szCs w:val="28"/>
        </w:rPr>
        <w:tab/>
      </w:r>
      <w:r w:rsidRPr="00FE092B">
        <w:rPr>
          <w:sz w:val="28"/>
          <w:szCs w:val="28"/>
        </w:rPr>
        <w:tab/>
      </w:r>
      <w:r w:rsidRPr="00FE092B">
        <w:rPr>
          <w:sz w:val="28"/>
          <w:szCs w:val="28"/>
        </w:rPr>
        <w:tab/>
      </w:r>
      <w:r w:rsidRPr="00FE092B">
        <w:rPr>
          <w:sz w:val="28"/>
          <w:szCs w:val="28"/>
        </w:rPr>
        <w:tab/>
      </w:r>
      <w:r w:rsidRPr="00FE092B">
        <w:rPr>
          <w:sz w:val="28"/>
          <w:szCs w:val="28"/>
        </w:rPr>
        <w:tab/>
        <w:t>E.Sprūdžs</w:t>
      </w:r>
    </w:p>
    <w:p w:rsidR="005E3073" w:rsidRPr="00FE092B" w:rsidRDefault="005E3073" w:rsidP="005E3073">
      <w:pPr>
        <w:ind w:left="720"/>
        <w:rPr>
          <w:b/>
          <w:sz w:val="28"/>
          <w:szCs w:val="28"/>
        </w:rPr>
      </w:pPr>
    </w:p>
    <w:p w:rsidR="005E3073" w:rsidRPr="00FE092B" w:rsidRDefault="005E3073" w:rsidP="005E3073">
      <w:pPr>
        <w:ind w:left="720"/>
        <w:rPr>
          <w:b/>
          <w:sz w:val="28"/>
          <w:szCs w:val="28"/>
        </w:rPr>
      </w:pPr>
    </w:p>
    <w:p w:rsidR="005E3073" w:rsidRPr="00FE092B" w:rsidRDefault="005E3073" w:rsidP="005E3073">
      <w:pPr>
        <w:spacing w:after="120"/>
        <w:ind w:left="720"/>
        <w:rPr>
          <w:sz w:val="28"/>
          <w:szCs w:val="28"/>
        </w:rPr>
      </w:pPr>
      <w:r w:rsidRPr="00FE092B">
        <w:rPr>
          <w:b/>
          <w:sz w:val="28"/>
          <w:szCs w:val="28"/>
        </w:rPr>
        <w:t>Vīza:</w:t>
      </w:r>
      <w:r w:rsidRPr="00FE092B">
        <w:rPr>
          <w:sz w:val="28"/>
          <w:szCs w:val="28"/>
        </w:rPr>
        <w:t xml:space="preserve"> </w:t>
      </w:r>
    </w:p>
    <w:p w:rsidR="005E3073" w:rsidRPr="00FE092B" w:rsidRDefault="005E3073" w:rsidP="005E3073">
      <w:pPr>
        <w:spacing w:after="120"/>
        <w:ind w:left="720"/>
        <w:rPr>
          <w:sz w:val="28"/>
          <w:szCs w:val="28"/>
        </w:rPr>
      </w:pPr>
      <w:r w:rsidRPr="00FE092B">
        <w:rPr>
          <w:sz w:val="28"/>
          <w:szCs w:val="28"/>
        </w:rPr>
        <w:t>valsts sekretārs</w:t>
      </w:r>
      <w:r w:rsidRPr="00FE092B">
        <w:rPr>
          <w:sz w:val="28"/>
          <w:szCs w:val="28"/>
        </w:rPr>
        <w:tab/>
      </w:r>
      <w:r w:rsidRPr="00FE092B">
        <w:rPr>
          <w:sz w:val="28"/>
          <w:szCs w:val="28"/>
        </w:rPr>
        <w:tab/>
      </w:r>
      <w:r w:rsidRPr="00FE092B">
        <w:rPr>
          <w:sz w:val="28"/>
          <w:szCs w:val="28"/>
        </w:rPr>
        <w:tab/>
      </w:r>
      <w:r w:rsidRPr="00FE092B">
        <w:rPr>
          <w:sz w:val="28"/>
          <w:szCs w:val="28"/>
        </w:rPr>
        <w:tab/>
      </w:r>
      <w:r w:rsidRPr="00FE092B">
        <w:rPr>
          <w:sz w:val="28"/>
          <w:szCs w:val="28"/>
        </w:rPr>
        <w:tab/>
      </w:r>
      <w:r w:rsidRPr="00FE092B">
        <w:rPr>
          <w:sz w:val="28"/>
          <w:szCs w:val="28"/>
        </w:rPr>
        <w:tab/>
      </w:r>
      <w:r w:rsidRPr="00FE092B">
        <w:rPr>
          <w:sz w:val="28"/>
          <w:szCs w:val="28"/>
        </w:rPr>
        <w:tab/>
        <w:t>A.Antonovs</w:t>
      </w:r>
    </w:p>
    <w:p w:rsidR="005E3073" w:rsidRPr="00FE092B" w:rsidRDefault="005E3073" w:rsidP="005E3073">
      <w:pPr>
        <w:pStyle w:val="BodyTextIndent"/>
        <w:tabs>
          <w:tab w:val="left" w:pos="0"/>
          <w:tab w:val="left" w:pos="1701"/>
          <w:tab w:val="left" w:pos="6521"/>
        </w:tabs>
        <w:spacing w:after="0"/>
        <w:ind w:left="0"/>
        <w:rPr>
          <w:sz w:val="28"/>
          <w:szCs w:val="28"/>
        </w:rPr>
      </w:pPr>
    </w:p>
    <w:p w:rsidR="005E3073" w:rsidRPr="00FE092B" w:rsidRDefault="005E3073" w:rsidP="005E3073">
      <w:pPr>
        <w:pStyle w:val="BodyTextIndent"/>
        <w:tabs>
          <w:tab w:val="left" w:pos="0"/>
          <w:tab w:val="left" w:pos="1701"/>
          <w:tab w:val="left" w:pos="6521"/>
        </w:tabs>
        <w:spacing w:after="0"/>
        <w:ind w:left="0"/>
        <w:rPr>
          <w:sz w:val="28"/>
          <w:szCs w:val="28"/>
        </w:rPr>
      </w:pPr>
    </w:p>
    <w:p w:rsidR="005E3073" w:rsidRPr="00FE092B" w:rsidRDefault="005E3073" w:rsidP="005E3073">
      <w:pPr>
        <w:pStyle w:val="BodyTextIndent"/>
        <w:tabs>
          <w:tab w:val="left" w:pos="0"/>
          <w:tab w:val="left" w:pos="1701"/>
          <w:tab w:val="left" w:pos="6521"/>
        </w:tabs>
        <w:spacing w:after="0"/>
        <w:ind w:left="0"/>
        <w:rPr>
          <w:sz w:val="28"/>
          <w:szCs w:val="28"/>
        </w:rPr>
      </w:pPr>
    </w:p>
    <w:p w:rsidR="005E3073" w:rsidRPr="00FE092B" w:rsidRDefault="005E3073" w:rsidP="005E3073">
      <w:pPr>
        <w:pStyle w:val="BodyTextIndent"/>
        <w:tabs>
          <w:tab w:val="left" w:pos="6521"/>
        </w:tabs>
        <w:spacing w:after="0"/>
        <w:ind w:left="0"/>
      </w:pPr>
      <w:fldSimple w:instr=" TIME \@ &quot;dd.MM.yyyy H:mm&quot; ">
        <w:r>
          <w:rPr>
            <w:noProof/>
          </w:rPr>
          <w:t>12.07.2013 9:36</w:t>
        </w:r>
      </w:fldSimple>
    </w:p>
    <w:p w:rsidR="005E3073" w:rsidRPr="00FE092B" w:rsidRDefault="005E3073" w:rsidP="005E3073">
      <w:pPr>
        <w:pStyle w:val="BodyTextIndent"/>
        <w:tabs>
          <w:tab w:val="left" w:pos="6521"/>
        </w:tabs>
        <w:spacing w:after="0"/>
        <w:ind w:left="0"/>
      </w:pPr>
      <w:r w:rsidRPr="00FE092B">
        <w:t>1819</w:t>
      </w:r>
    </w:p>
    <w:p w:rsidR="005E3073" w:rsidRPr="00FE092B" w:rsidRDefault="005E3073" w:rsidP="005E3073">
      <w:pPr>
        <w:pStyle w:val="BodyTextIndent"/>
        <w:tabs>
          <w:tab w:val="left" w:pos="6521"/>
        </w:tabs>
        <w:spacing w:after="0"/>
        <w:ind w:left="0"/>
      </w:pPr>
      <w:r w:rsidRPr="00FE092B">
        <w:t>D.Jirgensone</w:t>
      </w:r>
    </w:p>
    <w:p w:rsidR="005E3073" w:rsidRPr="00FE092B" w:rsidRDefault="005E3073" w:rsidP="005E3073">
      <w:pPr>
        <w:pStyle w:val="BodyTextIndent"/>
        <w:tabs>
          <w:tab w:val="left" w:pos="6521"/>
        </w:tabs>
        <w:spacing w:after="0"/>
        <w:ind w:left="0"/>
      </w:pPr>
      <w:r w:rsidRPr="00FE092B">
        <w:t>Dagnija.Jirgensone@varam.gov.lv</w:t>
      </w:r>
    </w:p>
    <w:p w:rsidR="00591073" w:rsidRDefault="00591073"/>
    <w:sectPr w:rsidR="00591073" w:rsidSect="005910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75DD"/>
    <w:multiLevelType w:val="hybridMultilevel"/>
    <w:tmpl w:val="CEAA08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3073"/>
    <w:rsid w:val="00591073"/>
    <w:rsid w:val="005E30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E3073"/>
    <w:pPr>
      <w:spacing w:before="75" w:after="75"/>
      <w:ind w:firstLine="375"/>
      <w:jc w:val="both"/>
    </w:pPr>
  </w:style>
  <w:style w:type="paragraph" w:customStyle="1" w:styleId="naisnod">
    <w:name w:val="naisnod"/>
    <w:basedOn w:val="Normal"/>
    <w:rsid w:val="005E3073"/>
    <w:pPr>
      <w:spacing w:before="150" w:after="150"/>
      <w:jc w:val="center"/>
    </w:pPr>
    <w:rPr>
      <w:b/>
      <w:bCs/>
    </w:rPr>
  </w:style>
  <w:style w:type="paragraph" w:customStyle="1" w:styleId="naislab">
    <w:name w:val="naislab"/>
    <w:basedOn w:val="Normal"/>
    <w:rsid w:val="005E3073"/>
    <w:pPr>
      <w:spacing w:before="75" w:after="75"/>
      <w:jc w:val="right"/>
    </w:pPr>
  </w:style>
  <w:style w:type="paragraph" w:customStyle="1" w:styleId="naiskr">
    <w:name w:val="naiskr"/>
    <w:basedOn w:val="Normal"/>
    <w:rsid w:val="005E3073"/>
    <w:pPr>
      <w:spacing w:before="75" w:after="75"/>
    </w:pPr>
  </w:style>
  <w:style w:type="paragraph" w:customStyle="1" w:styleId="naisc">
    <w:name w:val="naisc"/>
    <w:basedOn w:val="Normal"/>
    <w:rsid w:val="005E3073"/>
    <w:pPr>
      <w:spacing w:before="75" w:after="75"/>
      <w:jc w:val="center"/>
    </w:pPr>
  </w:style>
  <w:style w:type="character" w:styleId="Hyperlink">
    <w:name w:val="Hyperlink"/>
    <w:rsid w:val="005E3073"/>
    <w:rPr>
      <w:color w:val="0000FF"/>
      <w:u w:val="single"/>
    </w:rPr>
  </w:style>
  <w:style w:type="paragraph" w:styleId="BodyTextIndent">
    <w:name w:val="Body Text Indent"/>
    <w:basedOn w:val="Normal"/>
    <w:link w:val="BodyTextIndentChar"/>
    <w:rsid w:val="005E3073"/>
    <w:pPr>
      <w:spacing w:after="120"/>
      <w:ind w:left="283"/>
    </w:pPr>
  </w:style>
  <w:style w:type="character" w:customStyle="1" w:styleId="BodyTextIndentChar">
    <w:name w:val="Body Text Indent Char"/>
    <w:basedOn w:val="DefaultParagraphFont"/>
    <w:link w:val="BodyTextIndent"/>
    <w:rsid w:val="005E3073"/>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5E3073"/>
    <w:pPr>
      <w:autoSpaceDE w:val="0"/>
      <w:autoSpaceDN w:val="0"/>
      <w:adjustRightInd w:val="0"/>
    </w:pPr>
    <w:rPr>
      <w:rFonts w:ascii="EUAlbertina" w:hAnsi="EUAlbertina"/>
    </w:rPr>
  </w:style>
  <w:style w:type="paragraph" w:styleId="NormalWeb">
    <w:name w:val="Normal (Web)"/>
    <w:basedOn w:val="Normal"/>
    <w:rsid w:val="005E3073"/>
    <w:pPr>
      <w:spacing w:before="100" w:beforeAutospacing="1" w:after="100" w:afterAutospacing="1"/>
    </w:pPr>
    <w:rPr>
      <w:rFonts w:ascii="Verdana" w:hAnsi="Verdana"/>
      <w:sz w:val="18"/>
      <w:szCs w:val="18"/>
      <w:lang w:val="en-US" w:eastAsia="en-US"/>
    </w:rPr>
  </w:style>
  <w:style w:type="paragraph" w:styleId="PlainText">
    <w:name w:val="Plain Text"/>
    <w:basedOn w:val="Normal"/>
    <w:link w:val="PlainTextChar"/>
    <w:uiPriority w:val="99"/>
    <w:unhideWhenUsed/>
    <w:rsid w:val="005E3073"/>
    <w:rPr>
      <w:rFonts w:ascii="Consolas" w:eastAsia="Calibri" w:hAnsi="Consolas" w:cs="Arial Unicode MS"/>
      <w:sz w:val="21"/>
      <w:szCs w:val="21"/>
      <w:lang w:eastAsia="en-US" w:bidi="lo-LA"/>
    </w:rPr>
  </w:style>
  <w:style w:type="character" w:customStyle="1" w:styleId="PlainTextChar">
    <w:name w:val="Plain Text Char"/>
    <w:basedOn w:val="DefaultParagraphFont"/>
    <w:link w:val="PlainText"/>
    <w:uiPriority w:val="99"/>
    <w:rsid w:val="005E3073"/>
    <w:rPr>
      <w:rFonts w:ascii="Consolas" w:eastAsia="Calibri" w:hAnsi="Consolas" w:cs="Arial Unicode MS"/>
      <w:sz w:val="21"/>
      <w:szCs w:val="21"/>
      <w:lang w:bidi="lo-LA"/>
    </w:rPr>
  </w:style>
  <w:style w:type="character" w:styleId="Strong">
    <w:name w:val="Strong"/>
    <w:basedOn w:val="DefaultParagraphFont"/>
    <w:uiPriority w:val="22"/>
    <w:qFormat/>
    <w:rsid w:val="005E30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gmc.lv" TargetMode="External"/><Relationship Id="rId5" Type="http://schemas.openxmlformats.org/officeDocument/2006/relationships/hyperlink" Target="http://www.lvgmc.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12135</Words>
  <Characters>6918</Characters>
  <Application>Microsoft Office Word</Application>
  <DocSecurity>0</DocSecurity>
  <Lines>57</Lines>
  <Paragraphs>38</Paragraphs>
  <ScaleCrop>false</ScaleCrop>
  <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2013-07-12T06:36:00Z</dcterms:created>
  <dcterms:modified xsi:type="dcterms:W3CDTF">2013-07-12T06:37:00Z</dcterms:modified>
</cp:coreProperties>
</file>