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BA" w:rsidRPr="004D0948" w:rsidRDefault="00940ABA" w:rsidP="00940ABA">
      <w:pPr>
        <w:pStyle w:val="naislab"/>
        <w:jc w:val="center"/>
        <w:rPr>
          <w:sz w:val="22"/>
          <w:szCs w:val="22"/>
          <w:lang w:eastAsia="en-US"/>
        </w:rPr>
      </w:pPr>
      <w:r w:rsidRPr="004D0948">
        <w:rPr>
          <w:b/>
          <w:sz w:val="22"/>
          <w:szCs w:val="22"/>
        </w:rPr>
        <w:t xml:space="preserve">Grozījumu Ministru kabineta 2010.gada </w:t>
      </w:r>
      <w:r>
        <w:rPr>
          <w:b/>
          <w:sz w:val="22"/>
          <w:szCs w:val="22"/>
        </w:rPr>
        <w:t xml:space="preserve">14.septembra noteikumos Nr.843 </w:t>
      </w:r>
      <w:r w:rsidRPr="004D0948">
        <w:rPr>
          <w:b/>
          <w:sz w:val="22"/>
          <w:szCs w:val="22"/>
        </w:rPr>
        <w:t>„</w:t>
      </w:r>
      <w:r w:rsidRPr="004D0948">
        <w:rPr>
          <w:b/>
          <w:bCs/>
          <w:sz w:val="22"/>
          <w:szCs w:val="22"/>
        </w:rPr>
        <w:t xml:space="preserve">Noteikumi par darbības programmas </w:t>
      </w:r>
      <w:r>
        <w:rPr>
          <w:b/>
          <w:bCs/>
          <w:sz w:val="22"/>
          <w:szCs w:val="22"/>
        </w:rPr>
        <w:t>„</w:t>
      </w:r>
      <w:r w:rsidRPr="004D0948">
        <w:rPr>
          <w:b/>
          <w:bCs/>
          <w:sz w:val="22"/>
          <w:szCs w:val="22"/>
        </w:rPr>
        <w:t>Infrastruktūra un pakalpojumi</w:t>
      </w:r>
      <w:r>
        <w:rPr>
          <w:b/>
          <w:bCs/>
          <w:sz w:val="22"/>
          <w:szCs w:val="22"/>
        </w:rPr>
        <w:t>”</w:t>
      </w:r>
      <w:r w:rsidRPr="004D0948">
        <w:rPr>
          <w:b/>
          <w:bCs/>
          <w:sz w:val="22"/>
          <w:szCs w:val="22"/>
        </w:rPr>
        <w:t xml:space="preserve"> papildinājuma 3.6.2.1.aktivitāti </w:t>
      </w:r>
      <w:r>
        <w:rPr>
          <w:b/>
          <w:bCs/>
          <w:sz w:val="22"/>
          <w:szCs w:val="22"/>
        </w:rPr>
        <w:t>„</w:t>
      </w:r>
      <w:r w:rsidRPr="004D0948">
        <w:rPr>
          <w:b/>
          <w:bCs/>
          <w:sz w:val="22"/>
          <w:szCs w:val="22"/>
        </w:rPr>
        <w:t>Atbalsts novadu pašvaldību kompleksai attīstībai</w:t>
      </w:r>
      <w:r w:rsidRPr="004D0948">
        <w:rPr>
          <w:b/>
          <w:sz w:val="22"/>
          <w:szCs w:val="22"/>
        </w:rPr>
        <w:t>”” sākotnējās ietekmes novērtējuma ziņojums (anotācija)</w:t>
      </w: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567"/>
        <w:gridCol w:w="2269"/>
        <w:gridCol w:w="6804"/>
      </w:tblGrid>
      <w:tr w:rsidR="00940ABA" w:rsidRPr="004D0948" w:rsidTr="00A61CE9">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tcPr>
          <w:p w:rsidR="00940ABA" w:rsidRPr="004D0948" w:rsidRDefault="00940ABA" w:rsidP="00A61CE9">
            <w:pPr>
              <w:jc w:val="center"/>
              <w:rPr>
                <w:lang w:eastAsia="en-US"/>
              </w:rPr>
            </w:pPr>
            <w:r w:rsidRPr="004D0948">
              <w:rPr>
                <w:b/>
                <w:bCs/>
                <w:sz w:val="22"/>
                <w:szCs w:val="22"/>
                <w:lang w:eastAsia="en-US"/>
              </w:rPr>
              <w:t> I. Tiesību akta projekta izstrādes nepieciešamība</w:t>
            </w:r>
          </w:p>
        </w:tc>
      </w:tr>
      <w:tr w:rsidR="00940ABA" w:rsidRPr="004D0948" w:rsidTr="00A61CE9">
        <w:trPr>
          <w:trHeight w:val="630"/>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1.</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Pamatojums</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pStyle w:val="naisf"/>
              <w:spacing w:before="0" w:after="0"/>
              <w:ind w:firstLine="0"/>
            </w:pPr>
            <w:r w:rsidRPr="004D0948">
              <w:rPr>
                <w:sz w:val="22"/>
                <w:szCs w:val="22"/>
              </w:rPr>
              <w:t xml:space="preserve">     Eiropas Savienības struktūrfondu un Kohēzijas fonda vadības likuma 18.panta 10.punkts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p>
          <w:p w:rsidR="00940ABA" w:rsidRPr="004D0948" w:rsidRDefault="00940ABA" w:rsidP="00A61CE9">
            <w:pPr>
              <w:pStyle w:val="naisf"/>
              <w:spacing w:before="0" w:after="0"/>
              <w:ind w:firstLine="0"/>
            </w:pPr>
            <w:r w:rsidRPr="004D0948">
              <w:rPr>
                <w:sz w:val="22"/>
                <w:szCs w:val="22"/>
              </w:rPr>
              <w:t xml:space="preserve">     Deklarācijas par Valda Dombrovska vadītā Ministru kabineta iecerēto darbību „Nacionālajai izaugs</w:t>
            </w:r>
            <w:r>
              <w:rPr>
                <w:sz w:val="22"/>
                <w:szCs w:val="22"/>
              </w:rPr>
              <w:t>hhhh</w:t>
            </w:r>
            <w:r w:rsidRPr="004D0948">
              <w:rPr>
                <w:sz w:val="22"/>
                <w:szCs w:val="22"/>
              </w:rPr>
              <w:t>mei un vienotībai” 2.4.apakšpunkts paredzēja vienlaikus ar 2011.gada valsts budžeta likuma projekta izstrādi līdz tā apstiprināšanai nodrošināt Reģionālās attīstības un pašvaldību lietu ministrijas pievienošanu Vides ministrijai atbilstoši Ministru kabinetā apstiprinātajam reorganizācijas plā</w:t>
            </w:r>
            <w:r w:rsidRPr="004D0948">
              <w:rPr>
                <w:sz w:val="22"/>
                <w:szCs w:val="22"/>
              </w:rPr>
              <w:softHyphen/>
              <w:t xml:space="preserve">nam. </w:t>
            </w:r>
          </w:p>
          <w:p w:rsidR="00940ABA" w:rsidRPr="004D0948" w:rsidRDefault="00940ABA" w:rsidP="00A61CE9">
            <w:pPr>
              <w:pStyle w:val="naisf"/>
              <w:spacing w:before="0" w:after="0"/>
              <w:ind w:firstLine="0"/>
            </w:pPr>
            <w:r w:rsidRPr="004D0948">
              <w:rPr>
                <w:sz w:val="22"/>
                <w:szCs w:val="22"/>
              </w:rPr>
              <w:t xml:space="preserve">      Saskaņā ar Ministru kabineta 2010.gada 22.novembra rīkojumu Nr.676 „Par Reģionālās attīstības un pašvaldību lietu ministrijas likvidācijas nodrošināšanu”, Reģionālās attīstības un pašvaldību lietu ministrija tika likvidēta un pievienota Vides ministrijai. Ar 2011.gada 1.janvāri Vides ministrija ir Reģionālās attīstības un pašvaldību lietu ministrijas funkciju, pārvaldes uzdevumu, tiesību, saistību, mantas, finanšu līdzekļu, lietvedības un arhīva pārņēmēja.</w:t>
            </w:r>
          </w:p>
          <w:p w:rsidR="00940ABA" w:rsidRPr="004D0948" w:rsidRDefault="00940ABA" w:rsidP="00A61CE9">
            <w:pPr>
              <w:pStyle w:val="naisf"/>
              <w:spacing w:before="0" w:after="0"/>
              <w:ind w:firstLine="0"/>
            </w:pPr>
            <w:r w:rsidRPr="004D0948">
              <w:rPr>
                <w:sz w:val="22"/>
                <w:szCs w:val="22"/>
              </w:rPr>
              <w:t xml:space="preserve">    Likums „Grozījums Ministru kabineta iekārtas likumā” (pieņemts Saeimā 2010.gada 16.decembrī) nosaka vides ministra amata nosaukuma maiņu uz „vides aizsardzības un reģionālās attīstības ministrs”</w:t>
            </w:r>
            <w:bookmarkStart w:id="0" w:name="bkm54"/>
            <w:r w:rsidRPr="004D0948">
              <w:rPr>
                <w:sz w:val="22"/>
                <w:szCs w:val="22"/>
              </w:rPr>
              <w:t>, kam ir pakļauta attiecīgā ministrija.</w:t>
            </w:r>
            <w:bookmarkEnd w:id="0"/>
            <w:r w:rsidRPr="004D0948">
              <w:rPr>
                <w:sz w:val="22"/>
                <w:szCs w:val="22"/>
              </w:rPr>
              <w:t xml:space="preserve"> </w:t>
            </w:r>
          </w:p>
          <w:p w:rsidR="00940ABA" w:rsidRPr="004D0948" w:rsidRDefault="00940ABA" w:rsidP="00A61CE9">
            <w:pPr>
              <w:pStyle w:val="naisf"/>
              <w:spacing w:before="0" w:after="0"/>
              <w:ind w:firstLine="0"/>
            </w:pPr>
            <w:r w:rsidRPr="004D0948">
              <w:rPr>
                <w:sz w:val="22"/>
                <w:szCs w:val="22"/>
              </w:rPr>
              <w:t xml:space="preserve">    Attiecīgi grozīti arī citi likumi, kuros Vides ministrijai un Reģionālās attīstības un pašvaldību lietu ministrijai noteiktās funkcijas un uzdevumus ar 2011.gada 1.janvāri pilda Vides aizsardzības un reģionālās attīstības ministrija.</w:t>
            </w:r>
          </w:p>
        </w:tc>
      </w:tr>
      <w:tr w:rsidR="00940ABA" w:rsidRPr="004D0948" w:rsidTr="00A61CE9">
        <w:trPr>
          <w:trHeight w:val="472"/>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2.</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Pašreizējā situācija un problēmas</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pStyle w:val="naisf"/>
              <w:spacing w:before="0" w:after="0"/>
              <w:ind w:left="40" w:right="113" w:firstLine="30"/>
            </w:pPr>
            <w:r w:rsidRPr="004D0948">
              <w:rPr>
                <w:sz w:val="22"/>
                <w:szCs w:val="22"/>
              </w:rPr>
              <w:t xml:space="preserve">     2010.gada 22.novembra Ministru kabineta rīkojuma Nr.676 „</w:t>
            </w:r>
            <w:r w:rsidRPr="004D0948">
              <w:rPr>
                <w:bCs/>
                <w:sz w:val="22"/>
                <w:szCs w:val="22"/>
              </w:rPr>
              <w:t xml:space="preserve">Par </w:t>
            </w:r>
            <w:r w:rsidRPr="004D0948">
              <w:rPr>
                <w:sz w:val="22"/>
                <w:szCs w:val="22"/>
              </w:rPr>
              <w:t>Reģionālās attīstības un pašvaldību lietu ministrijas likvidācijas nodrošināšanu” 8.punkts uzdod Vides ministrijai izstrādāt un vides ministram līdz 2011.gada 30.jūnijam iesniegt Ministru kabinetā ar Reģionālās attīstības un pašvaldību lietu ministrijas likvidāciju saistītos grozījumus normatīvajos aktos. Reģionālās attīstības un pašvaldību lietu ministrijas likvidācija un Vides ministrijas nosaukuma maiņa saskaņā ar Grozījumu Ministru kabineta iekārtas likumā sakarā ar šo reorganizāciju noteic nepieciešamību grozīt Ministru kabineta 2010.gada 14.septembra noteikumus Nr.843 „</w:t>
            </w:r>
            <w:r w:rsidRPr="004D0948">
              <w:rPr>
                <w:bCs/>
                <w:sz w:val="22"/>
                <w:szCs w:val="22"/>
              </w:rPr>
              <w:t>Noteikumi par darbības programmas "Infrastruktūra un pakalpojumi" papildinājuma 3.6.2.1.aktivitāti "Atbalsts novadu pašvaldību kompleksai attīstībai</w:t>
            </w:r>
            <w:r w:rsidRPr="004D0948">
              <w:rPr>
                <w:sz w:val="22"/>
                <w:szCs w:val="22"/>
              </w:rPr>
              <w:t>”” (turpmāk - MK noteikumi Nr.843).</w:t>
            </w:r>
          </w:p>
          <w:p w:rsidR="00940ABA" w:rsidRPr="004D0948" w:rsidRDefault="00940ABA" w:rsidP="00A61CE9">
            <w:pPr>
              <w:pStyle w:val="naisf"/>
              <w:spacing w:before="0" w:after="0"/>
              <w:ind w:left="40" w:right="113" w:firstLine="30"/>
            </w:pPr>
            <w:r w:rsidRPr="004D0948">
              <w:rPr>
                <w:sz w:val="22"/>
                <w:szCs w:val="22"/>
              </w:rPr>
              <w:t xml:space="preserve">     3.6.2.1.aktivitātes „Atbalsts novadu pašvaldību kompleksai attīstībai” </w:t>
            </w:r>
            <w:r>
              <w:rPr>
                <w:sz w:val="22"/>
                <w:szCs w:val="22"/>
              </w:rPr>
              <w:t xml:space="preserve">(turpmāk – 3.6.2.1.aktivitāte) </w:t>
            </w:r>
            <w:r w:rsidRPr="004D0948">
              <w:rPr>
                <w:sz w:val="22"/>
                <w:szCs w:val="22"/>
              </w:rPr>
              <w:t xml:space="preserve">mērķis nosaka - veicināt to lielāko (pēc iedzīvotāju skaita) novadu attīstības centru konkurētspējas nostiprināšanu un funkcionālo saišu veidošanu starp attīstības centriem un to piegulošajām teritorijām, kuriem jāiekļaujas kopējā nacionālas un reģionālas nozīmes attīstības centru tīklā un tas jāpapildina, saskaņā ar </w:t>
            </w:r>
            <w:r w:rsidRPr="004D0948">
              <w:rPr>
                <w:sz w:val="22"/>
                <w:szCs w:val="22"/>
              </w:rPr>
              <w:lastRenderedPageBreak/>
              <w:t xml:space="preserve">integrētām pašvaldību attīstības programmām sniedzot atbalstu </w:t>
            </w:r>
            <w:r w:rsidRPr="004D0948">
              <w:rPr>
                <w:iCs/>
                <w:sz w:val="22"/>
                <w:szCs w:val="22"/>
              </w:rPr>
              <w:t>uzņēmējdarbības infrastruktūras (dabas un fiziskās vides) sakārtošanai, kā arī sabiedrisko pakalpojumu pieejamības un iedzīvotāju mobilitātes sekmēšanai.</w:t>
            </w:r>
            <w:r w:rsidRPr="004D0948">
              <w:rPr>
                <w:sz w:val="22"/>
                <w:szCs w:val="22"/>
              </w:rPr>
              <w:t xml:space="preserve"> Vienlaikus, šīs aktivitātes ietvaros nav plānots tiešs atbalsts sabiedrisko pakalpojumu attīstībai likuma par </w:t>
            </w:r>
            <w:r w:rsidRPr="004D0948">
              <w:rPr>
                <w:bCs/>
                <w:sz w:val="22"/>
                <w:szCs w:val="22"/>
              </w:rPr>
              <w:t>sabiedrisko pakalpojumu regulatoriem izpratnē, bet gan atbalsts ir paredzēts publisko pakalpojumu, ko nodrošina pašvaldības, pieejamības uzlabošanai.</w:t>
            </w:r>
          </w:p>
          <w:p w:rsidR="00940ABA" w:rsidRPr="004D0948" w:rsidRDefault="00940ABA" w:rsidP="00A61CE9">
            <w:pPr>
              <w:pStyle w:val="naisf"/>
              <w:spacing w:before="0" w:after="0"/>
              <w:ind w:left="40" w:right="113" w:firstLine="313"/>
            </w:pPr>
            <w:r w:rsidRPr="004D0948">
              <w:rPr>
                <w:sz w:val="22"/>
                <w:szCs w:val="22"/>
              </w:rPr>
              <w:t xml:space="preserve">Ievērojot to, ka pašvaldības kā finansējuma saņēmējas, lai nodrošinātu līdzfinansējumu projektu īstenošanai, bieži izmanto aizņēmumus Valsts kasē, ko ir iespējams saņemt, ja projekta ideja ir saskaņota Koordinācijas padomē, aktualizējas nepieciešamība Ministru kabineta noteikumu līmenī noteikt uzdevumu Vides aizsardzības un reģionālās attīstības ministrijai kā Eiropas Savienības fondu atbildīgai iestādei izveidot un nodrošināt Koordinācijas padomes darbu, kā to paredz darbības programma „Infrastruktūra un pakalpojumi”. </w:t>
            </w:r>
          </w:p>
          <w:p w:rsidR="00940ABA" w:rsidRPr="004D0948" w:rsidRDefault="00940ABA" w:rsidP="00A61CE9">
            <w:pPr>
              <w:pStyle w:val="BodyTextIndent"/>
              <w:spacing w:after="0"/>
              <w:ind w:left="0" w:right="-1" w:firstLine="211"/>
              <w:jc w:val="both"/>
            </w:pPr>
            <w:r w:rsidRPr="004D0948">
              <w:rPr>
                <w:sz w:val="22"/>
                <w:szCs w:val="22"/>
              </w:rPr>
              <w:t xml:space="preserve">  Ņemot vērā 2010.gada 9.novembra Ministru kabineta noteikumus Nr.1041 „</w:t>
            </w:r>
            <w:r w:rsidRPr="004D0948">
              <w:rPr>
                <w:bCs/>
                <w:sz w:val="22"/>
                <w:szCs w:val="22"/>
              </w:rPr>
              <w:t xml:space="preserve">Kārtība, kādā paredzami valsts budžeta līdzekļi Eiropas Savienības struktūrfondu un Kohēzijas fonda līdzfinansēto projektu īstenošanai, kā arī maksājumu veikšanas un izdevumu deklarācijas sagatavošanas kārtība”, savu aktualitāti zaudējusi norma, kas noteica sadarbības iestādes līdzdalību finanšu līdzekļu </w:t>
            </w:r>
            <w:r w:rsidRPr="004D0948">
              <w:rPr>
                <w:sz w:val="22"/>
                <w:szCs w:val="22"/>
              </w:rPr>
              <w:t>novirzīšanu uz valsts kasi aizdevuma dzēšanai.</w:t>
            </w:r>
          </w:p>
          <w:p w:rsidR="00940ABA" w:rsidRPr="00BA60B6" w:rsidRDefault="00940ABA" w:rsidP="00A61CE9">
            <w:pPr>
              <w:pStyle w:val="naisf"/>
              <w:spacing w:before="0" w:after="0"/>
              <w:ind w:left="40" w:right="113" w:firstLine="313"/>
            </w:pPr>
            <w:r>
              <w:rPr>
                <w:noProof/>
                <w:sz w:val="22"/>
                <w:szCs w:val="22"/>
              </w:rPr>
              <w:t xml:space="preserve">Ņemot vērā, ka 3.6.2.1.aktivitātes ietvaros vēl netiek ieviesti projekti, ņemta vērā pieredze no </w:t>
            </w:r>
            <w:r w:rsidRPr="00BA60B6">
              <w:rPr>
                <w:noProof/>
                <w:sz w:val="22"/>
                <w:szCs w:val="22"/>
              </w:rPr>
              <w:t>3.6.1.1.aktivitātes</w:t>
            </w:r>
            <w:r>
              <w:rPr>
                <w:noProof/>
                <w:sz w:val="22"/>
                <w:szCs w:val="22"/>
              </w:rPr>
              <w:t xml:space="preserve"> </w:t>
            </w:r>
            <w:r w:rsidRPr="00F41F78">
              <w:rPr>
                <w:sz w:val="22"/>
                <w:szCs w:val="22"/>
              </w:rPr>
              <w:t>„Nacionālas un reģionālas nozīmes attīstības centru izaugsmes veicināšana līdzsvarotai valsts attīstībai” (turpmāk – 3.6.1.1.aktivitāte)</w:t>
            </w:r>
            <w:r w:rsidRPr="00BA60B6">
              <w:rPr>
                <w:noProof/>
                <w:sz w:val="22"/>
                <w:szCs w:val="22"/>
              </w:rPr>
              <w:t xml:space="preserve"> ieviešanas</w:t>
            </w:r>
            <w:r>
              <w:rPr>
                <w:noProof/>
                <w:sz w:val="22"/>
                <w:szCs w:val="22"/>
              </w:rPr>
              <w:t>, kuras</w:t>
            </w:r>
            <w:r w:rsidRPr="00BA60B6">
              <w:rPr>
                <w:noProof/>
                <w:sz w:val="22"/>
                <w:szCs w:val="22"/>
              </w:rPr>
              <w:t xml:space="preserve"> laikā konstatēti vairāki gadījumi, kad </w:t>
            </w:r>
            <w:r w:rsidRPr="00BA60B6">
              <w:rPr>
                <w:sz w:val="22"/>
                <w:szCs w:val="22"/>
              </w:rPr>
              <w:t xml:space="preserve">sabiedrisko pakalpojumu sniegšanai nepieciešamās infrastruktūras bojāšanas risks pastāv ne tikai veicot projektā plānotās satiksmes pārvadu, tiltu, ielu, ceļu infrastruktūras būvniecības, bet arī teritoriju labiekārtošanas darbības (piemēram, veicot ietvju paplašināšanu, automašīnu stāvlaukumu izbūvi u.c.). Savukārt pazemes infrastruktūras bojāšanas risku var izraisīt ne tikai būvdarbi, bet arī teritorijas labiekārtošanas darbu ietvaros tiek veikti zemes planēšanas darbi izmantojot smago tehniku, teritorijas pārplānošanas un izmantošanas veida maiņas rezultātā var tikt demontēti konstruktīvie elementi, kas nodrošināja sabiedrisko pakalpojumu sniegšanai nepieciešamās infrastruktūras uzturēšanu u.c. Finansējuma saņēmēji vērš uzmanību uz to, ka nepieciešams </w:t>
            </w:r>
            <w:r>
              <w:rPr>
                <w:sz w:val="22"/>
                <w:szCs w:val="22"/>
              </w:rPr>
              <w:t xml:space="preserve">ieviest tādu </w:t>
            </w:r>
            <w:r w:rsidRPr="00BA60B6">
              <w:rPr>
                <w:sz w:val="22"/>
                <w:szCs w:val="22"/>
              </w:rPr>
              <w:t>regulējumu</w:t>
            </w:r>
            <w:r>
              <w:rPr>
                <w:sz w:val="22"/>
                <w:szCs w:val="22"/>
              </w:rPr>
              <w:t xml:space="preserve">, kas attiecināms gan uz pazemes, gan uz virszemes </w:t>
            </w:r>
            <w:r w:rsidRPr="00BA60B6">
              <w:rPr>
                <w:sz w:val="22"/>
                <w:szCs w:val="22"/>
              </w:rPr>
              <w:t>sabiedrisko pakalpojumu sniegšanai nepieciešamo infrastruktūru.</w:t>
            </w:r>
          </w:p>
          <w:p w:rsidR="00940ABA" w:rsidRDefault="00940ABA" w:rsidP="00A61CE9">
            <w:pPr>
              <w:pStyle w:val="BodyTextIndent"/>
              <w:spacing w:after="0"/>
              <w:ind w:left="0" w:firstLine="210"/>
              <w:jc w:val="both"/>
            </w:pPr>
            <w:r w:rsidRPr="003442C3">
              <w:rPr>
                <w:noProof/>
                <w:sz w:val="22"/>
                <w:szCs w:val="22"/>
              </w:rPr>
              <w:t>Lai nodrošinātu atbi</w:t>
            </w:r>
            <w:r>
              <w:rPr>
                <w:noProof/>
                <w:sz w:val="22"/>
                <w:szCs w:val="22"/>
              </w:rPr>
              <w:t>lstību</w:t>
            </w:r>
            <w:r w:rsidRPr="003442C3">
              <w:rPr>
                <w:noProof/>
                <w:sz w:val="22"/>
                <w:szCs w:val="22"/>
              </w:rPr>
              <w:t xml:space="preserve"> </w:t>
            </w:r>
            <w:r w:rsidRPr="003442C3">
              <w:rPr>
                <w:sz w:val="22"/>
                <w:szCs w:val="22"/>
              </w:rPr>
              <w:t>Komercdarbības atbalsta kontroles likuma prasībām, tiek svītrota iespēja neattiecināmajās izmaksās</w:t>
            </w:r>
            <w:r>
              <w:rPr>
                <w:sz w:val="22"/>
                <w:szCs w:val="22"/>
              </w:rPr>
              <w:t xml:space="preserve">, kas tiek finansētas no publiskajiem resursiem, </w:t>
            </w:r>
            <w:r w:rsidRPr="003442C3">
              <w:rPr>
                <w:sz w:val="22"/>
                <w:szCs w:val="22"/>
              </w:rPr>
              <w:t>paredzēt izmaksas gāzes, elektroenerģijas un sakaru komunikāciju infrastruktūras atjaunošanai, ja tās apkalpes jauda pēc atjaunošanas tiek palielināta.</w:t>
            </w:r>
          </w:p>
          <w:p w:rsidR="00940ABA" w:rsidRPr="004D0948" w:rsidRDefault="00940ABA" w:rsidP="00A61CE9">
            <w:pPr>
              <w:pStyle w:val="BodyTextIndent"/>
              <w:spacing w:after="0"/>
              <w:ind w:left="0" w:firstLine="210"/>
              <w:jc w:val="both"/>
            </w:pPr>
            <w:r w:rsidRPr="004D0948">
              <w:rPr>
                <w:sz w:val="22"/>
                <w:szCs w:val="22"/>
              </w:rPr>
              <w:t xml:space="preserve">Saskaņā ar 2011.gada 16.jūnija Eiropas Savienības fondu uzraudzības komitejas sēdes protokolu par sēdē nolemto, kas paredz </w:t>
            </w:r>
            <w:r w:rsidRPr="004D0948">
              <w:rPr>
                <w:bCs/>
                <w:i/>
                <w:sz w:val="22"/>
                <w:szCs w:val="22"/>
              </w:rPr>
              <w:t xml:space="preserve">Eiropas Parlamenta un Padomes 2009.gada 18.jūnija direktīvas 2009/52/EK, ar ko nosaka minimālos standartus sankcijām un pasākumiem pret darba devējiem, kas nodarbina trešo valstu valstspiederīgos, kuri dalībvalstīs uzturas nelikumīgi </w:t>
            </w:r>
            <w:r w:rsidRPr="004D0948">
              <w:rPr>
                <w:i/>
                <w:sz w:val="22"/>
                <w:szCs w:val="22"/>
              </w:rPr>
              <w:t>7.panta 1.punkta a) apakšpunktu</w:t>
            </w:r>
            <w:r w:rsidRPr="004D0948">
              <w:rPr>
                <w:sz w:val="22"/>
                <w:szCs w:val="22"/>
              </w:rPr>
              <w:t>, tajā noteikto kritēriju, ka projekta iesniedzējs nav sodīts par Latvijas Administratīvo pārkāpumu kodeksa 189.</w:t>
            </w:r>
            <w:r w:rsidRPr="004D0948">
              <w:rPr>
                <w:sz w:val="22"/>
                <w:szCs w:val="22"/>
                <w:vertAlign w:val="superscript"/>
              </w:rPr>
              <w:t>2</w:t>
            </w:r>
            <w:r w:rsidRPr="004D0948">
              <w:rPr>
                <w:sz w:val="22"/>
                <w:szCs w:val="22"/>
              </w:rPr>
              <w:t xml:space="preserve">panta trešajā daļā minētā administratīvā pārkāpuma izdarīšanu, nepieciešams iekļaut visos kritēriju komplektos (izņemot </w:t>
            </w:r>
            <w:r w:rsidRPr="004D0948">
              <w:rPr>
                <w:sz w:val="22"/>
                <w:szCs w:val="22"/>
              </w:rPr>
              <w:lastRenderedPageBreak/>
              <w:t>aktivitātes, kur projekta iesniedzējs var būt tikai tiešās pārvaldes iestāde), ja projektu iesniegumu atlasi plānots izsludināt pēc 2011.gada 20.jūlija.</w:t>
            </w:r>
          </w:p>
        </w:tc>
      </w:tr>
      <w:tr w:rsidR="00940ABA" w:rsidRPr="004D0948" w:rsidTr="00A61CE9">
        <w:trPr>
          <w:trHeight w:val="799"/>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lastRenderedPageBreak/>
              <w:t> 3.</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Saistītie politikas ietekmes novērtējumi un pētījumi</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ind w:left="70"/>
              <w:rPr>
                <w:lang w:eastAsia="en-US"/>
              </w:rPr>
            </w:pPr>
            <w:r>
              <w:rPr>
                <w:sz w:val="22"/>
                <w:szCs w:val="22"/>
                <w:lang w:eastAsia="en-US"/>
              </w:rPr>
              <w:t xml:space="preserve">   </w:t>
            </w:r>
            <w:r w:rsidRPr="004D0948">
              <w:rPr>
                <w:sz w:val="22"/>
                <w:szCs w:val="22"/>
                <w:lang w:eastAsia="en-US"/>
              </w:rPr>
              <w:t>Politikas ietekmes novērtējumi un pētījumi nav veikti.</w:t>
            </w:r>
          </w:p>
        </w:tc>
      </w:tr>
      <w:tr w:rsidR="00940ABA" w:rsidRPr="004D0948" w:rsidTr="00A61CE9">
        <w:trPr>
          <w:trHeight w:val="384"/>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4.</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Tiesiskā regulējuma mērķis un būtība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pStyle w:val="BodyTextIndent"/>
              <w:spacing w:after="0"/>
              <w:ind w:left="0" w:right="-1" w:firstLine="210"/>
              <w:jc w:val="both"/>
            </w:pPr>
            <w:r w:rsidRPr="004D0948">
              <w:rPr>
                <w:sz w:val="22"/>
                <w:szCs w:val="22"/>
              </w:rPr>
              <w:t xml:space="preserve">Noteikumu projekts precizē Vides aizsardzības un reģionālās attīstības ministrijas kā Eiropas Savienības fondu atbildīgās iestādes funkcijas, uzdevumus un kompetenci, īstenojot </w:t>
            </w:r>
            <w:r w:rsidRPr="004D0948">
              <w:rPr>
                <w:bCs/>
                <w:sz w:val="22"/>
                <w:szCs w:val="22"/>
              </w:rPr>
              <w:t xml:space="preserve">darbības programmas </w:t>
            </w:r>
            <w:r w:rsidRPr="004D0948">
              <w:rPr>
                <w:sz w:val="22"/>
                <w:szCs w:val="22"/>
              </w:rPr>
              <w:t>"</w:t>
            </w:r>
            <w:r w:rsidRPr="004D0948">
              <w:rPr>
                <w:bCs/>
                <w:sz w:val="22"/>
                <w:szCs w:val="22"/>
              </w:rPr>
              <w:t>Infrastruktūra un pakalpojumi</w:t>
            </w:r>
            <w:r w:rsidRPr="004D0948">
              <w:rPr>
                <w:sz w:val="22"/>
                <w:szCs w:val="22"/>
              </w:rPr>
              <w:t>"</w:t>
            </w:r>
            <w:r w:rsidRPr="004D0948">
              <w:rPr>
                <w:bCs/>
                <w:sz w:val="22"/>
                <w:szCs w:val="22"/>
              </w:rPr>
              <w:t xml:space="preserve"> papildinājuma 3.6.2.1.aktivitāti "Atbalsts novadu pašvaldību kompleksai attīstībai</w:t>
            </w:r>
            <w:r w:rsidRPr="004D0948">
              <w:rPr>
                <w:sz w:val="22"/>
                <w:szCs w:val="22"/>
              </w:rPr>
              <w:t xml:space="preserve">””. Noteikumu projektā precizēti institūciju nosaukumi, kas deleģē pārstāvjus darbam </w:t>
            </w:r>
            <w:r w:rsidRPr="004D0948">
              <w:rPr>
                <w:bCs/>
                <w:sz w:val="22"/>
                <w:szCs w:val="22"/>
              </w:rPr>
              <w:t>3.6.2.1.aktivitātes "Atbalsts novadu pašvaldību kompleksai attīstībai</w:t>
            </w:r>
            <w:r w:rsidRPr="004D0948">
              <w:rPr>
                <w:sz w:val="22"/>
                <w:szCs w:val="22"/>
              </w:rPr>
              <w:t xml:space="preserve">”” projektu iesniegumu vērtēšanas komisijā. </w:t>
            </w:r>
          </w:p>
          <w:p w:rsidR="00940ABA" w:rsidRDefault="00940ABA" w:rsidP="00A61CE9">
            <w:pPr>
              <w:pStyle w:val="BodyTextIndent"/>
              <w:spacing w:after="0"/>
              <w:ind w:left="0" w:right="-1" w:firstLine="210"/>
              <w:jc w:val="both"/>
              <w:rPr>
                <w:noProof/>
              </w:rPr>
            </w:pPr>
            <w:r w:rsidRPr="004D0948">
              <w:rPr>
                <w:sz w:val="22"/>
                <w:szCs w:val="22"/>
              </w:rPr>
              <w:t>Ar mērķi nodrošināt darbības programmas „Infrastruktūra un pakalpojumi” 3.6.prioritātes „Policentriska attīstība” finansējuma saņēmēju izstrādāto vai aktualizēto pašvaldību attīstības programmu un projekta ideju izvērtēšanu atbilstoši integrētas pieejas prasībām, sekmējot kompleksa pašvaldību atbalsta mehānisma izveidi un plānoto projektu darbību savstarpējo papildinātību un nepārklāšanos, MK noteikumi Nr.843 tiek papildināti ar uzdevumu atbildīgai iestādei izveidot koleģiālo iestādi - darbības programmas „Infrastruktūra un pakalpojumi” 3.6.prioritātes „Policentriska attīstība” Koordinācijas padomi un nosaka tās sastāvu. Vienlaikus, lai nodrošinātu vienveidīgu un pilnīgu izvērtējamo projektu ideju iesniegšanu, MK noteikumi Nr.843 tiek papildināti ar 3.pielikumu „Projekta idejas rezumējuma veidlapa”.</w:t>
            </w:r>
            <w:r w:rsidRPr="004D0948">
              <w:rPr>
                <w:noProof/>
                <w:sz w:val="22"/>
                <w:szCs w:val="22"/>
              </w:rPr>
              <w:t xml:space="preserve"> </w:t>
            </w:r>
          </w:p>
          <w:p w:rsidR="00940ABA" w:rsidRPr="00391A73" w:rsidRDefault="00940ABA" w:rsidP="00A61CE9">
            <w:pPr>
              <w:pStyle w:val="BodyTextIndent"/>
              <w:spacing w:after="0"/>
              <w:ind w:left="0" w:right="-1" w:firstLine="210"/>
              <w:jc w:val="both"/>
              <w:rPr>
                <w:noProof/>
              </w:rPr>
            </w:pPr>
            <w:r w:rsidRPr="00391A73">
              <w:rPr>
                <w:sz w:val="22"/>
                <w:szCs w:val="22"/>
              </w:rPr>
              <w:t xml:space="preserve">Ņemot vērā nepieciešamību racionāli izmantot fondu līdzfinansējumu </w:t>
            </w:r>
            <w:r>
              <w:rPr>
                <w:sz w:val="22"/>
                <w:szCs w:val="22"/>
              </w:rPr>
              <w:t>ir</w:t>
            </w:r>
            <w:r w:rsidRPr="00391A73">
              <w:rPr>
                <w:sz w:val="22"/>
                <w:szCs w:val="22"/>
              </w:rPr>
              <w:t xml:space="preserve"> </w:t>
            </w:r>
            <w:r>
              <w:rPr>
                <w:sz w:val="22"/>
                <w:szCs w:val="22"/>
              </w:rPr>
              <w:t>paredzēts</w:t>
            </w:r>
            <w:r w:rsidRPr="00391A73">
              <w:rPr>
                <w:sz w:val="22"/>
                <w:szCs w:val="22"/>
              </w:rPr>
              <w:t xml:space="preserve">, ka būvniecības izmaksas, kas </w:t>
            </w:r>
            <w:r w:rsidRPr="00391A73">
              <w:rPr>
                <w:bCs/>
                <w:sz w:val="22"/>
                <w:szCs w:val="22"/>
              </w:rPr>
              <w:t>pārsniedz attiecīgajam finansējuma saņēmējam pieejamo Eiropas Reģionālās attīstības fonda līdzfinansējuma apmēru, tiek noteiktas kā neattiecināmās izmaksas</w:t>
            </w:r>
            <w:r w:rsidRPr="00391A73">
              <w:rPr>
                <w:sz w:val="22"/>
                <w:szCs w:val="22"/>
              </w:rPr>
              <w:t>.</w:t>
            </w:r>
          </w:p>
          <w:p w:rsidR="00940ABA" w:rsidRDefault="00940ABA" w:rsidP="00A61CE9">
            <w:pPr>
              <w:pStyle w:val="BodyTextIndent"/>
              <w:spacing w:after="0"/>
              <w:ind w:left="0" w:right="-1" w:firstLine="210"/>
              <w:jc w:val="both"/>
              <w:rPr>
                <w:color w:val="000000"/>
              </w:rPr>
            </w:pPr>
            <w:r>
              <w:rPr>
                <w:noProof/>
                <w:sz w:val="22"/>
                <w:szCs w:val="22"/>
              </w:rPr>
              <w:t>Vienlaikus, lai</w:t>
            </w:r>
            <w:r w:rsidRPr="004D0948">
              <w:rPr>
                <w:noProof/>
                <w:sz w:val="22"/>
                <w:szCs w:val="22"/>
              </w:rPr>
              <w:t xml:space="preserve"> novērstu pārāk lielu saistību uzņemšanās iespējas pašvaldībām, kā viens no kontroles mehānismiem tiek noteik</w:t>
            </w:r>
            <w:r>
              <w:rPr>
                <w:noProof/>
                <w:sz w:val="22"/>
                <w:szCs w:val="22"/>
              </w:rPr>
              <w:t>ts, ka pašvaldību kā finansējuma</w:t>
            </w:r>
            <w:r w:rsidRPr="004D0948">
              <w:rPr>
                <w:noProof/>
                <w:sz w:val="22"/>
                <w:szCs w:val="22"/>
              </w:rPr>
              <w:t xml:space="preserve"> saņēmēju  finansējums  nedrīkst pārsniegt </w:t>
            </w:r>
            <w:r w:rsidRPr="004D0948">
              <w:rPr>
                <w:color w:val="000000"/>
                <w:sz w:val="22"/>
                <w:szCs w:val="22"/>
              </w:rPr>
              <w:t>60 procentus no projekta kopējām attiecināmajām izmaksām.</w:t>
            </w:r>
          </w:p>
          <w:p w:rsidR="00940ABA" w:rsidRPr="00374031" w:rsidRDefault="00940ABA" w:rsidP="00A61CE9">
            <w:pPr>
              <w:pStyle w:val="BodyTextIndent"/>
              <w:spacing w:after="0"/>
              <w:ind w:left="0" w:firstLine="210"/>
              <w:jc w:val="both"/>
            </w:pPr>
            <w:r>
              <w:t>Lai nodrošinātu atbilstību</w:t>
            </w:r>
            <w:r w:rsidRPr="00C17056">
              <w:t xml:space="preserve"> Eiropas Komisijas 2011.gada 20.decembra lēmuma</w:t>
            </w:r>
            <w:r>
              <w:t>m</w:t>
            </w:r>
            <w:r w:rsidRPr="00C17056">
              <w:t xml:space="preserve"> </w:t>
            </w:r>
            <w:r w:rsidRPr="005074F5">
              <w:t xml:space="preserve">Nr.2012/21/ES </w:t>
            </w:r>
            <w:r>
              <w:t>„P</w:t>
            </w:r>
            <w:r w:rsidRPr="00C17056">
              <w:t>ar Līguma par Eiropas Savienības darbību 106.panta 2.punkta piemērošanu valsts atbalstam attiecībā uz kompensāciju par sabiedriskajiem pakalpojumiem dažiem uzņēmumiem, kuriem uzticēts sniegt pakalpojumus ar vispārēju tautsaimniecības nozīmi</w:t>
            </w:r>
            <w:r>
              <w:t>”</w:t>
            </w:r>
            <w:r w:rsidRPr="00C17056">
              <w:t xml:space="preserve"> noteikt</w:t>
            </w:r>
            <w:r>
              <w:t>ajam</w:t>
            </w:r>
            <w:r w:rsidRPr="00C17056">
              <w:t xml:space="preserve">, noteikumu projektā </w:t>
            </w:r>
            <w:r>
              <w:t>tiek s</w:t>
            </w:r>
            <w:r w:rsidRPr="00374031">
              <w:t>vītrota atsauce uz Komercdarbības atbalsta kontroles likuma 21.</w:t>
            </w:r>
            <w:r w:rsidRPr="00374031">
              <w:rPr>
                <w:vertAlign w:val="superscript"/>
              </w:rPr>
              <w:t>1</w:t>
            </w:r>
            <w:r w:rsidRPr="00F4675A">
              <w:t>un 21.</w:t>
            </w:r>
            <w:r>
              <w:rPr>
                <w:vertAlign w:val="superscript"/>
              </w:rPr>
              <w:t>2</w:t>
            </w:r>
            <w:r w:rsidRPr="00374031">
              <w:t xml:space="preserve">pantu, </w:t>
            </w:r>
            <w:r>
              <w:t xml:space="preserve">vienlaikus </w:t>
            </w:r>
            <w:r w:rsidRPr="00374031">
              <w:t xml:space="preserve">papildinot noteikumu projektu ar </w:t>
            </w:r>
            <w:r>
              <w:t xml:space="preserve">likumā noteiktām </w:t>
            </w:r>
            <w:r w:rsidRPr="00374031">
              <w:t>prasībām</w:t>
            </w:r>
            <w:r>
              <w:t xml:space="preserve"> sabiedriskā pakalpojuma sniedzējam un </w:t>
            </w:r>
            <w:r w:rsidRPr="00374031">
              <w:t xml:space="preserve"> līgumam, kas nosaka sabiedriskā pakalpojuma sniegšanas pienākumu.</w:t>
            </w:r>
          </w:p>
          <w:p w:rsidR="00940ABA" w:rsidRPr="00BF3D06" w:rsidRDefault="00940ABA" w:rsidP="00A61CE9">
            <w:pPr>
              <w:pStyle w:val="naisf"/>
              <w:spacing w:before="0" w:after="0"/>
              <w:ind w:left="40" w:right="113" w:firstLine="171"/>
            </w:pPr>
            <w:r w:rsidRPr="00BF3D06">
              <w:t xml:space="preserve">Noteikts regulējums, kas nosaka, ka virszemes komunikāciju infrastruktūras pārbūve var būt attiecināma tikai tad, ja nav iespējams izvairīties no virszemes komunikāciju infrastruktūras pārbūves, savukārt pazemes komunikāciju infrastruktūras pārbūve var būt attiecināma arī tad, ja pastāv sabiedriskā pakalpojuma sniegšanai nepieciešamās infrastruktūras bojāšanās risks (vienlaikus saglabājot nosacījumu, ka netiek palielināti apkalpes </w:t>
            </w:r>
            <w:r w:rsidRPr="00BF3D06">
              <w:lastRenderedPageBreak/>
              <w:t>jaudu raksturojošie tehniskie parametri, kā arī ir pievienots sertificēta būvinženiera ekspertīzes atzinums).</w:t>
            </w:r>
          </w:p>
          <w:p w:rsidR="00940ABA" w:rsidRPr="00BF3D06" w:rsidRDefault="00940ABA" w:rsidP="00A61CE9">
            <w:pPr>
              <w:pStyle w:val="BodyTextIndent"/>
              <w:spacing w:after="0"/>
              <w:ind w:left="0" w:right="-1" w:firstLine="210"/>
              <w:jc w:val="both"/>
            </w:pPr>
            <w:r w:rsidRPr="00BF3D06">
              <w:rPr>
                <w:rStyle w:val="apple-style-span"/>
                <w:iCs/>
                <w:sz w:val="22"/>
                <w:szCs w:val="22"/>
              </w:rPr>
              <w:t>Lai novērstu mazo arhitektūras formu ar māksliniecisko vērtību iekļaušanu projekta tiešajās attiecināmajās izmaksās, noteikumu projekts papildināts ar attiecīgo regulējumu, nosakot, ka mazo arhitektūras formu ar māksliniecisko vērtību izmaksas nav iekļaujamas projektā.</w:t>
            </w:r>
          </w:p>
          <w:p w:rsidR="00940ABA" w:rsidRPr="00BF3D06" w:rsidRDefault="00940ABA" w:rsidP="00A61CE9">
            <w:pPr>
              <w:pStyle w:val="BodyTextIndent"/>
              <w:spacing w:after="0"/>
              <w:ind w:left="0" w:right="-1" w:firstLine="210"/>
              <w:jc w:val="both"/>
              <w:rPr>
                <w:color w:val="000000"/>
              </w:rPr>
            </w:pPr>
            <w:r w:rsidRPr="00BF3D06">
              <w:rPr>
                <w:sz w:val="22"/>
                <w:szCs w:val="22"/>
              </w:rPr>
              <w:t xml:space="preserve">Noteikumu projekts papildināts ar </w:t>
            </w:r>
            <w:r w:rsidRPr="00BF3D06">
              <w:rPr>
                <w:color w:val="000000"/>
                <w:sz w:val="22"/>
                <w:szCs w:val="22"/>
              </w:rPr>
              <w:t>nosacījumiem, kas viennozīmīgi nosaka, ka izmaksas ir attiecināmas, ja tās ir veiktas infrastruktūras objektā, kas atrodas finansējuma saņēmēja īpašumā.</w:t>
            </w:r>
          </w:p>
          <w:p w:rsidR="00940ABA" w:rsidRPr="00BF3D06" w:rsidRDefault="00940ABA" w:rsidP="00A61CE9">
            <w:pPr>
              <w:ind w:firstLine="210"/>
              <w:jc w:val="both"/>
            </w:pPr>
            <w:r w:rsidRPr="00BF3D06">
              <w:rPr>
                <w:sz w:val="22"/>
                <w:szCs w:val="22"/>
              </w:rPr>
              <w:t>Līdz ar MK 2010.gada 9.novembra noteikumu Nr.1041 „</w:t>
            </w:r>
            <w:r w:rsidRPr="00BF3D06">
              <w:rPr>
                <w:bCs/>
                <w:sz w:val="22"/>
                <w:szCs w:val="22"/>
              </w:rPr>
              <w:t>Kārtība, kādā paredzami valsts budžeta līdzekļi Eiropas Savienības struktūrfondu un Kohēzijas fonda līdzfinansēto projektu īstenošanai, kā arī maksājumu veikšanas un izdevumu deklarācijas sagatavošanas kārtība” stāšanos spēkā,</w:t>
            </w:r>
            <w:r w:rsidRPr="00BF3D06">
              <w:rPr>
                <w:sz w:val="22"/>
                <w:szCs w:val="22"/>
              </w:rPr>
              <w:t xml:space="preserve"> aizdevuma atmaksas pienākums ir pašvaldībām, līdz ar to no MK noteikumiem Nr.843, tiek svītrota norma, kas prasa iesniegt sadarbības iestādē paziņojumu par saņemto aizdevumu un aizdevuma līguma kopiju.</w:t>
            </w:r>
          </w:p>
          <w:p w:rsidR="00940ABA" w:rsidRPr="005D107C" w:rsidRDefault="00940ABA" w:rsidP="00A61CE9">
            <w:pPr>
              <w:ind w:firstLine="210"/>
              <w:jc w:val="both"/>
              <w:rPr>
                <w:rStyle w:val="apple-style-span"/>
              </w:rPr>
            </w:pPr>
            <w:r w:rsidRPr="004D0948">
              <w:rPr>
                <w:rStyle w:val="apple-style-span"/>
                <w:sz w:val="22"/>
                <w:szCs w:val="22"/>
              </w:rPr>
              <w:t xml:space="preserve"> </w:t>
            </w:r>
            <w:r w:rsidRPr="005D107C">
              <w:rPr>
                <w:rStyle w:val="apple-style-span"/>
                <w:sz w:val="22"/>
                <w:szCs w:val="22"/>
              </w:rPr>
              <w:t xml:space="preserve">Lai noteiktu normatīvo regulējumu situācijās, kad projektā veidojas </w:t>
            </w:r>
            <w:r w:rsidRPr="005D107C">
              <w:rPr>
                <w:sz w:val="22"/>
                <w:szCs w:val="22"/>
              </w:rPr>
              <w:t xml:space="preserve">Eiropas Reģionālās attīstības fonda finansējuma atlikums, kas nesasniedz </w:t>
            </w:r>
            <w:r w:rsidRPr="005D107C">
              <w:rPr>
                <w:rStyle w:val="apple-style-span"/>
                <w:sz w:val="22"/>
                <w:szCs w:val="22"/>
              </w:rPr>
              <w:t xml:space="preserve">MK noteikumi Nr.843 </w:t>
            </w:r>
            <w:r w:rsidRPr="005D107C">
              <w:rPr>
                <w:sz w:val="22"/>
                <w:szCs w:val="22"/>
              </w:rPr>
              <w:t>21.punktā noteikto projekta kopējo attiecināmo izmaksu apmēru,</w:t>
            </w:r>
            <w:r w:rsidRPr="005D107C">
              <w:rPr>
                <w:rStyle w:val="apple-style-span"/>
                <w:sz w:val="22"/>
                <w:szCs w:val="22"/>
              </w:rPr>
              <w:t xml:space="preserve"> MK noteikumi Nr.843 tiek papildināti ar jaunajiem punktiem, kas nosaka, ka tādā gadījumā finansējuma saņēmējs var plānot papildu darbības un ierosināt grozījumus vienošanās par projekta īstenošanu. Vienlaikus tiek noteikts, ka, ja papildu darbību veikšanai projektā tiek plānots piesaistīt papildu Eiropas Reģionālās attīstības fonda finansējumu un noteikt papildu uzraudzības rādītājus, tad pirms grozījumiem vienošanās par projekta īstenošanu ir jāprecizē projekta ideju un jāsaskaņo to Vides aizsardzības un reģionālās attīstības ministriju Koordinācijas padomē.</w:t>
            </w:r>
          </w:p>
          <w:p w:rsidR="00940ABA" w:rsidRPr="004D0948" w:rsidRDefault="00940ABA" w:rsidP="00A61CE9">
            <w:pPr>
              <w:ind w:firstLine="210"/>
              <w:jc w:val="both"/>
              <w:rPr>
                <w:rStyle w:val="apple-style-span"/>
                <w:color w:val="000000"/>
              </w:rPr>
            </w:pPr>
            <w:r w:rsidRPr="004D0948">
              <w:rPr>
                <w:sz w:val="22"/>
                <w:szCs w:val="22"/>
              </w:rPr>
              <w:t>Lai taupītu cilvēkresursus projektu iesniegumu vērtēšanas procesā, tiek precizēta vērtēšanas komisijas rīcība gadījumos, kad projekta iesniedzējs pēc savas iniciatīvas atsauc projekta iesniegumu.</w:t>
            </w:r>
          </w:p>
          <w:p w:rsidR="00940ABA" w:rsidRPr="004D0948" w:rsidRDefault="00940ABA" w:rsidP="00A61CE9">
            <w:pPr>
              <w:ind w:firstLine="210"/>
              <w:jc w:val="both"/>
            </w:pPr>
            <w:r w:rsidRPr="004D0948">
              <w:rPr>
                <w:rStyle w:val="apple-style-span"/>
                <w:sz w:val="22"/>
                <w:szCs w:val="22"/>
              </w:rPr>
              <w:t>Lai atvieglotu</w:t>
            </w:r>
            <w:r w:rsidRPr="004D0948">
              <w:rPr>
                <w:sz w:val="22"/>
                <w:szCs w:val="22"/>
              </w:rPr>
              <w:t xml:space="preserve"> finansējuma saņēmējiem projekta iesnieguma sagatavošanu gadījumos, kad projekta ietvaros ir paredzēta zemes iegāde, noteiktas prasības iesniedzamajiem dokumentiem.</w:t>
            </w:r>
          </w:p>
          <w:p w:rsidR="00940ABA" w:rsidRPr="004D0948" w:rsidRDefault="00940ABA" w:rsidP="00A61CE9">
            <w:pPr>
              <w:ind w:firstLine="210"/>
              <w:jc w:val="both"/>
            </w:pPr>
            <w:r w:rsidRPr="004D0948">
              <w:rPr>
                <w:sz w:val="22"/>
                <w:szCs w:val="22"/>
              </w:rPr>
              <w:t xml:space="preserve">Noteikumu projekts papildināts ar aktivitātes projektu iesniegumu vērtēšanas kritēriju, kas vērtēs, vai </w:t>
            </w:r>
            <w:r w:rsidRPr="004D0948">
              <w:rPr>
                <w:iCs/>
                <w:color w:val="000000"/>
                <w:sz w:val="22"/>
                <w:szCs w:val="22"/>
              </w:rPr>
              <w:t>projekta iesniedzējs nav sodīts par Latvijas Administratīvo pārkāpumu kodeksa 189.</w:t>
            </w:r>
            <w:r w:rsidRPr="004D0948">
              <w:rPr>
                <w:iCs/>
                <w:color w:val="000000"/>
                <w:sz w:val="22"/>
                <w:szCs w:val="22"/>
                <w:vertAlign w:val="superscript"/>
              </w:rPr>
              <w:t>2</w:t>
            </w:r>
            <w:r w:rsidRPr="004D0948">
              <w:rPr>
                <w:iCs/>
                <w:color w:val="000000"/>
                <w:sz w:val="22"/>
                <w:szCs w:val="22"/>
              </w:rPr>
              <w:t>panta trešajā daļā minētā administratīvā pārkāpuma izdarīšanu</w:t>
            </w:r>
            <w:r w:rsidRPr="004D0948">
              <w:rPr>
                <w:sz w:val="22"/>
                <w:szCs w:val="22"/>
              </w:rPr>
              <w:t>. Papildus, lai pārliecinātos par minētā kritērija izpildi, paredzēts papildināt projekta iesnieguma veidlapas apliecinājuma lapu ar apliecinājumu, ka projekta iesniedzējs atbilst minētajam kritērijam.</w:t>
            </w:r>
          </w:p>
          <w:p w:rsidR="00940ABA" w:rsidRPr="004D0948" w:rsidRDefault="00940ABA" w:rsidP="00A61CE9">
            <w:pPr>
              <w:pStyle w:val="BodyTextIndent"/>
              <w:spacing w:after="0"/>
              <w:ind w:left="0" w:right="-1" w:firstLine="210"/>
              <w:jc w:val="both"/>
            </w:pPr>
            <w:r w:rsidRPr="004D0948">
              <w:rPr>
                <w:noProof/>
                <w:sz w:val="22"/>
                <w:szCs w:val="22"/>
              </w:rPr>
              <w:t>Atbilstoši grozījumiem darbības programmā „Infrasturktūra un pakalpojumi”, kas izdarīti ar Ministru kabineta 22.06.2011. rīkojumu Nr.25</w:t>
            </w:r>
            <w:r>
              <w:rPr>
                <w:noProof/>
                <w:sz w:val="22"/>
                <w:szCs w:val="22"/>
              </w:rPr>
              <w:t>9</w:t>
            </w:r>
            <w:r w:rsidRPr="004D0948">
              <w:rPr>
                <w:noProof/>
                <w:sz w:val="22"/>
                <w:szCs w:val="22"/>
              </w:rPr>
              <w:t>, tiek veikti atiecīgi grozījumi arī noteikumu projektā.</w:t>
            </w:r>
          </w:p>
          <w:p w:rsidR="00940ABA" w:rsidRPr="004D0948" w:rsidRDefault="00940ABA" w:rsidP="00A61CE9">
            <w:pPr>
              <w:ind w:firstLine="210"/>
              <w:jc w:val="both"/>
            </w:pPr>
            <w:r w:rsidRPr="004D0948">
              <w:rPr>
                <w:sz w:val="22"/>
                <w:szCs w:val="22"/>
                <w:lang w:val="sv-SE"/>
              </w:rPr>
              <w:t xml:space="preserve">Noteikumu projekts attiecas uz </w:t>
            </w:r>
            <w:r w:rsidRPr="004D0948">
              <w:rPr>
                <w:sz w:val="22"/>
                <w:szCs w:val="22"/>
              </w:rPr>
              <w:t xml:space="preserve">budžeta un finanšu politikas </w:t>
            </w:r>
            <w:r w:rsidRPr="004D0948">
              <w:rPr>
                <w:sz w:val="22"/>
                <w:szCs w:val="22"/>
                <w:lang w:val="sv-SE"/>
              </w:rPr>
              <w:t>jomu.</w:t>
            </w:r>
          </w:p>
        </w:tc>
      </w:tr>
      <w:tr w:rsidR="00940ABA" w:rsidRPr="004D0948" w:rsidTr="00A61CE9">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lastRenderedPageBreak/>
              <w:t> 5.</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ind w:left="70"/>
              <w:jc w:val="both"/>
              <w:rPr>
                <w:lang w:eastAsia="en-US"/>
              </w:rPr>
            </w:pPr>
            <w:r w:rsidRPr="004D0948">
              <w:rPr>
                <w:sz w:val="22"/>
                <w:szCs w:val="22"/>
                <w:lang w:eastAsia="en-US"/>
              </w:rPr>
              <w:t>Noteikumu projekta izstrādē tika iesaistīta Valsts reģionālās attīstības aģentūra.</w:t>
            </w:r>
          </w:p>
        </w:tc>
      </w:tr>
      <w:tr w:rsidR="00940ABA" w:rsidRPr="004D0948" w:rsidTr="00A61CE9">
        <w:trPr>
          <w:trHeight w:val="787"/>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6.</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Iemesli, kādēļ netika nodrošināta sabiedrības līdzdalība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ind w:left="70" w:right="70"/>
              <w:jc w:val="both"/>
              <w:rPr>
                <w:lang w:eastAsia="en-US"/>
              </w:rPr>
            </w:pPr>
            <w:r w:rsidRPr="004D0948">
              <w:rPr>
                <w:sz w:val="22"/>
                <w:szCs w:val="22"/>
                <w:lang w:eastAsia="en-US"/>
              </w:rPr>
              <w:t>Ņemot vērā, ka noteikumu projekts neierobežo sabiedrības intereses, bet gan skar valsts pārvaldes institucionālās sistēmas pilnveidošanu, noteikumu projekta izstrādes gaitā nav veikta sabiedrības iesaiste.</w:t>
            </w:r>
          </w:p>
        </w:tc>
      </w:tr>
      <w:tr w:rsidR="00940ABA" w:rsidRPr="004D0948" w:rsidTr="00A61CE9">
        <w:trPr>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7.</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rPr>
                <w:lang w:eastAsia="en-US"/>
              </w:rPr>
            </w:pPr>
            <w:r w:rsidRPr="004D0948">
              <w:rPr>
                <w:sz w:val="22"/>
                <w:szCs w:val="22"/>
                <w:lang w:eastAsia="en-US"/>
              </w:rPr>
              <w:t> Cita informācija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ind w:left="70"/>
              <w:rPr>
                <w:lang w:eastAsia="en-US"/>
              </w:rPr>
            </w:pPr>
            <w:r w:rsidRPr="004D0948">
              <w:rPr>
                <w:sz w:val="22"/>
                <w:szCs w:val="22"/>
                <w:lang w:eastAsia="en-US"/>
              </w:rPr>
              <w:t>Nav.</w:t>
            </w:r>
          </w:p>
        </w:tc>
      </w:tr>
    </w:tbl>
    <w:p w:rsidR="00940ABA" w:rsidRPr="004D0948" w:rsidRDefault="00940ABA" w:rsidP="00940ABA">
      <w:pPr>
        <w:ind w:firstLine="375"/>
        <w:jc w:val="both"/>
        <w:rPr>
          <w:sz w:val="22"/>
          <w:szCs w:val="22"/>
          <w:lang w:eastAsia="en-US"/>
        </w:rPr>
      </w:pPr>
    </w:p>
    <w:p w:rsidR="00940ABA" w:rsidRDefault="00940ABA" w:rsidP="00940ABA">
      <w:pPr>
        <w:ind w:firstLine="375"/>
        <w:jc w:val="both"/>
        <w:rPr>
          <w:i/>
          <w:sz w:val="22"/>
          <w:szCs w:val="22"/>
        </w:rPr>
      </w:pPr>
      <w:r w:rsidRPr="004D0948">
        <w:rPr>
          <w:i/>
          <w:sz w:val="22"/>
          <w:szCs w:val="22"/>
          <w:lang w:eastAsia="en-US"/>
        </w:rPr>
        <w:t> </w:t>
      </w:r>
      <w:r w:rsidRPr="004D0948">
        <w:rPr>
          <w:i/>
          <w:sz w:val="22"/>
          <w:szCs w:val="22"/>
        </w:rPr>
        <w:t>Anotācijas II, III, IV sadaļa – projekts šīs jomas neskar.</w:t>
      </w:r>
    </w:p>
    <w:p w:rsidR="00940ABA" w:rsidRDefault="00940ABA" w:rsidP="00940ABA">
      <w:pPr>
        <w:rPr>
          <w:i/>
          <w:iCs/>
          <w:lang w:eastAsia="en-US"/>
        </w:rPr>
      </w:pPr>
    </w:p>
    <w:tbl>
      <w:tblPr>
        <w:tblW w:w="9640"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959"/>
        <w:gridCol w:w="1109"/>
        <w:gridCol w:w="1291"/>
        <w:gridCol w:w="410"/>
        <w:gridCol w:w="2127"/>
        <w:gridCol w:w="2693"/>
      </w:tblGrid>
      <w:tr w:rsidR="00940ABA" w:rsidRPr="00BA2B1A" w:rsidTr="00A61CE9">
        <w:trPr>
          <w:tblCellSpacing w:w="0" w:type="dxa"/>
        </w:trPr>
        <w:tc>
          <w:tcPr>
            <w:tcW w:w="9640" w:type="dxa"/>
            <w:gridSpan w:val="7"/>
            <w:tcBorders>
              <w:top w:val="outset" w:sz="6" w:space="0" w:color="auto"/>
              <w:left w:val="outset" w:sz="6" w:space="0" w:color="auto"/>
              <w:bottom w:val="outset" w:sz="6" w:space="0" w:color="auto"/>
              <w:right w:val="outset" w:sz="6" w:space="0" w:color="auto"/>
            </w:tcBorders>
            <w:hideMark/>
          </w:tcPr>
          <w:p w:rsidR="00940ABA" w:rsidRPr="00660AD7" w:rsidRDefault="00940ABA" w:rsidP="00A61CE9">
            <w:pPr>
              <w:spacing w:before="136" w:after="136"/>
              <w:jc w:val="center"/>
              <w:rPr>
                <w:b/>
                <w:bCs/>
              </w:rPr>
            </w:pPr>
            <w:r w:rsidRPr="00660AD7">
              <w:rPr>
                <w:b/>
                <w:bCs/>
              </w:rPr>
              <w:t> V. Tiesību akta projekta atbilstība Latvijas Republikas starptautiskajām saistībām</w:t>
            </w:r>
          </w:p>
        </w:tc>
      </w:tr>
      <w:tr w:rsidR="00940ABA" w:rsidRPr="00660AD7" w:rsidTr="00A61CE9">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1.</w:t>
            </w:r>
          </w:p>
        </w:tc>
        <w:tc>
          <w:tcPr>
            <w:tcW w:w="3359"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Saistības pret Eiropas Savienību</w:t>
            </w:r>
          </w:p>
        </w:tc>
        <w:tc>
          <w:tcPr>
            <w:tcW w:w="5230"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C17056">
              <w:t>Eiropas Komisijas 2011.gada 20.decembra lēmum</w:t>
            </w:r>
            <w:r>
              <w:t>s</w:t>
            </w:r>
            <w:r w:rsidRPr="00C17056">
              <w:t xml:space="preserve"> </w:t>
            </w:r>
            <w:r w:rsidRPr="005074F5">
              <w:t xml:space="preserve">Nr.2012/21/ES </w:t>
            </w:r>
            <w:r>
              <w:t>„P</w:t>
            </w:r>
            <w:r w:rsidRPr="00C17056">
              <w:t>ar Līguma par Eiropas Savienības darbību 106.panta 2.punkta piemērošanu valsts atbalstam attiecībā uz kompensāciju par sabiedriskajiem pakalpojumiem dažiem uzņēmumiem, kuriem uzticēts sniegt pakalpojumus ar vispārēju tautsaimniecības nozīmi</w:t>
            </w:r>
            <w:r>
              <w:t xml:space="preserve">” </w:t>
            </w:r>
          </w:p>
        </w:tc>
      </w:tr>
      <w:tr w:rsidR="00940ABA" w:rsidRPr="00660AD7" w:rsidTr="00A61CE9">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2.</w:t>
            </w:r>
          </w:p>
        </w:tc>
        <w:tc>
          <w:tcPr>
            <w:tcW w:w="3359"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Citas starptautiskās saistības</w:t>
            </w:r>
          </w:p>
        </w:tc>
        <w:tc>
          <w:tcPr>
            <w:tcW w:w="5230"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w:t>
            </w:r>
            <w:r>
              <w:t>Projekts šo jomu neskar</w:t>
            </w:r>
          </w:p>
        </w:tc>
      </w:tr>
      <w:tr w:rsidR="00940ABA" w:rsidRPr="00660AD7" w:rsidTr="00A61CE9">
        <w:trPr>
          <w:tblCellSpacing w:w="0" w:type="dxa"/>
        </w:trPr>
        <w:tc>
          <w:tcPr>
            <w:tcW w:w="1051" w:type="dxa"/>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3.</w:t>
            </w:r>
          </w:p>
        </w:tc>
        <w:tc>
          <w:tcPr>
            <w:tcW w:w="3359"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rsidRPr="00660AD7">
              <w:t> Cita informācija</w:t>
            </w:r>
          </w:p>
        </w:tc>
        <w:tc>
          <w:tcPr>
            <w:tcW w:w="5230" w:type="dxa"/>
            <w:gridSpan w:val="3"/>
            <w:tcBorders>
              <w:top w:val="outset" w:sz="6" w:space="0" w:color="auto"/>
              <w:left w:val="outset" w:sz="6" w:space="0" w:color="auto"/>
              <w:bottom w:val="outset" w:sz="6" w:space="0" w:color="auto"/>
              <w:right w:val="outset" w:sz="6" w:space="0" w:color="auto"/>
            </w:tcBorders>
            <w:hideMark/>
          </w:tcPr>
          <w:p w:rsidR="00940ABA" w:rsidRPr="00660AD7" w:rsidRDefault="00940ABA" w:rsidP="00A61CE9">
            <w:r>
              <w:t>Nav</w:t>
            </w:r>
          </w:p>
        </w:tc>
      </w:tr>
      <w:tr w:rsidR="00940ABA" w:rsidRPr="00BA2B1A" w:rsidTr="00A61CE9">
        <w:trPr>
          <w:trHeight w:val="523"/>
          <w:tblCellSpacing w:w="0" w:type="dxa"/>
        </w:trPr>
        <w:tc>
          <w:tcPr>
            <w:tcW w:w="9640" w:type="dxa"/>
            <w:gridSpan w:val="7"/>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before="136" w:after="136"/>
              <w:jc w:val="center"/>
              <w:rPr>
                <w:b/>
                <w:bCs/>
              </w:rPr>
            </w:pPr>
            <w:r w:rsidRPr="00280611">
              <w:rPr>
                <w:b/>
                <w:bCs/>
                <w:sz w:val="22"/>
                <w:szCs w:val="22"/>
              </w:rPr>
              <w:t> 1.tabula</w:t>
            </w:r>
          </w:p>
          <w:p w:rsidR="00940ABA" w:rsidRPr="00280611" w:rsidRDefault="00940ABA" w:rsidP="00A61CE9">
            <w:pPr>
              <w:spacing w:before="136" w:after="136"/>
              <w:jc w:val="center"/>
              <w:rPr>
                <w:b/>
                <w:bCs/>
              </w:rPr>
            </w:pPr>
            <w:r w:rsidRPr="00280611">
              <w:rPr>
                <w:b/>
                <w:bCs/>
                <w:sz w:val="22"/>
                <w:szCs w:val="22"/>
              </w:rPr>
              <w:t>Tiesību akta projekta atbilstība ES tiesību aktiem</w:t>
            </w:r>
          </w:p>
        </w:tc>
      </w:tr>
      <w:tr w:rsidR="00940ABA" w:rsidRPr="00660AD7" w:rsidTr="00A61CE9">
        <w:trPr>
          <w:trHeight w:val="1252"/>
          <w:tblCellSpacing w:w="0" w:type="dxa"/>
        </w:trPr>
        <w:tc>
          <w:tcPr>
            <w:tcW w:w="2010" w:type="dxa"/>
            <w:gridSpan w:val="2"/>
            <w:tcBorders>
              <w:top w:val="outset" w:sz="6" w:space="0" w:color="auto"/>
              <w:left w:val="outset" w:sz="6" w:space="0" w:color="auto"/>
              <w:bottom w:val="outset" w:sz="6" w:space="0" w:color="auto"/>
              <w:right w:val="outset" w:sz="6" w:space="0" w:color="auto"/>
            </w:tcBorders>
            <w:vAlign w:val="center"/>
            <w:hideMark/>
          </w:tcPr>
          <w:p w:rsidR="00940ABA" w:rsidRPr="00660AD7" w:rsidRDefault="00940ABA" w:rsidP="00A61CE9">
            <w:pPr>
              <w:jc w:val="center"/>
            </w:pPr>
            <w:r w:rsidRPr="00660AD7">
              <w:t> Attiecīgā ES tiesību akta datums, numurs un nosaukums</w:t>
            </w:r>
          </w:p>
        </w:tc>
        <w:tc>
          <w:tcPr>
            <w:tcW w:w="7630" w:type="dxa"/>
            <w:gridSpan w:val="5"/>
            <w:tcBorders>
              <w:top w:val="outset" w:sz="6" w:space="0" w:color="auto"/>
              <w:left w:val="outset" w:sz="6" w:space="0" w:color="auto"/>
              <w:bottom w:val="outset" w:sz="6" w:space="0" w:color="auto"/>
              <w:right w:val="outset" w:sz="6" w:space="0" w:color="auto"/>
            </w:tcBorders>
            <w:vAlign w:val="center"/>
            <w:hideMark/>
          </w:tcPr>
          <w:p w:rsidR="00940ABA" w:rsidRDefault="00940ABA" w:rsidP="00A61CE9">
            <w:pPr>
              <w:ind w:left="102"/>
            </w:pPr>
          </w:p>
          <w:p w:rsidR="00940ABA" w:rsidRDefault="00940ABA" w:rsidP="00A61CE9">
            <w:pPr>
              <w:ind w:left="102"/>
            </w:pPr>
            <w:r w:rsidRPr="00280611">
              <w:rPr>
                <w:sz w:val="22"/>
                <w:szCs w:val="22"/>
              </w:rPr>
              <w:t>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tautsaimniecības nozīmi” (publicēts ES OV L 007, 11/01/2012 lpp. 3-10)</w:t>
            </w:r>
          </w:p>
          <w:p w:rsidR="00940ABA" w:rsidRPr="00280611" w:rsidRDefault="00940ABA" w:rsidP="00A61CE9"/>
        </w:tc>
      </w:tr>
      <w:tr w:rsidR="00940ABA" w:rsidRPr="00660AD7" w:rsidTr="00A61CE9">
        <w:trPr>
          <w:trHeight w:val="163"/>
          <w:tblCellSpacing w:w="0" w:type="dxa"/>
        </w:trPr>
        <w:tc>
          <w:tcPr>
            <w:tcW w:w="9640" w:type="dxa"/>
            <w:gridSpan w:val="7"/>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line="163" w:lineRule="atLeast"/>
            </w:pPr>
            <w:r w:rsidRPr="00280611">
              <w:rPr>
                <w:sz w:val="22"/>
                <w:szCs w:val="22"/>
              </w:rPr>
              <w:t>  </w:t>
            </w:r>
          </w:p>
        </w:tc>
      </w:tr>
      <w:tr w:rsidR="00940ABA" w:rsidRPr="00660AD7" w:rsidTr="00A61CE9">
        <w:trPr>
          <w:trHeight w:val="165"/>
          <w:tblCellSpacing w:w="0"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line="165" w:lineRule="atLeast"/>
              <w:jc w:val="center"/>
            </w:pPr>
            <w:r w:rsidRPr="00280611">
              <w:rPr>
                <w:sz w:val="22"/>
                <w:szCs w:val="22"/>
              </w:rPr>
              <w:t> A</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line="165" w:lineRule="atLeast"/>
              <w:jc w:val="center"/>
            </w:pPr>
            <w:r w:rsidRPr="00280611">
              <w:rPr>
                <w:sz w:val="22"/>
                <w:szCs w:val="22"/>
              </w:rPr>
              <w:t> B</w:t>
            </w:r>
          </w:p>
        </w:tc>
        <w:tc>
          <w:tcPr>
            <w:tcW w:w="2127" w:type="dxa"/>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line="165" w:lineRule="atLeast"/>
              <w:jc w:val="center"/>
            </w:pPr>
            <w:r w:rsidRPr="00280611">
              <w:rPr>
                <w:sz w:val="22"/>
                <w:szCs w:val="22"/>
              </w:rPr>
              <w:t> C</w:t>
            </w:r>
          </w:p>
        </w:tc>
        <w:tc>
          <w:tcPr>
            <w:tcW w:w="2693" w:type="dxa"/>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spacing w:line="165" w:lineRule="atLeast"/>
              <w:jc w:val="center"/>
            </w:pPr>
            <w:r w:rsidRPr="00280611">
              <w:rPr>
                <w:sz w:val="22"/>
                <w:szCs w:val="22"/>
              </w:rPr>
              <w:t> D</w:t>
            </w:r>
          </w:p>
        </w:tc>
      </w:tr>
      <w:tr w:rsidR="00940ABA" w:rsidRPr="00660AD7" w:rsidTr="00A61CE9">
        <w:trPr>
          <w:trHeight w:val="4708"/>
          <w:tblCellSpacing w:w="0" w:type="dxa"/>
        </w:trPr>
        <w:tc>
          <w:tcPr>
            <w:tcW w:w="3119" w:type="dxa"/>
            <w:gridSpan w:val="3"/>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Attiecīgā ES tiesību akta panta numurs (uzskaitot katru tiesību akta</w:t>
            </w:r>
            <w:r w:rsidRPr="00280611">
              <w:rPr>
                <w:sz w:val="22"/>
                <w:szCs w:val="22"/>
              </w:rPr>
              <w:br/>
              <w:t>vienību – pantu, daļu, punktu, apakšpunktu)</w:t>
            </w:r>
          </w:p>
        </w:tc>
        <w:tc>
          <w:tcPr>
            <w:tcW w:w="1701" w:type="dxa"/>
            <w:gridSpan w:val="2"/>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Projekta vienība, kas pārņem vai ievieš katru šīs tabulas A ailē minēto ES tiesību akta vienību, vai tiesību akts, kur attiecīgā ES tiesību akta vienība pārņemta vai ieviesta</w:t>
            </w:r>
          </w:p>
        </w:tc>
        <w:tc>
          <w:tcPr>
            <w:tcW w:w="2127" w:type="dxa"/>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Informācija par to, vai šīs tabulas A ailē minētās ES tiesību akta vienības tiek pārņemtas vai ieviestas pilnībā vai daļēji.</w:t>
            </w:r>
          </w:p>
          <w:p w:rsidR="00940ABA" w:rsidRPr="00280611" w:rsidRDefault="00940ABA" w:rsidP="00A61CE9">
            <w:pPr>
              <w:ind w:left="127"/>
            </w:pPr>
            <w:r w:rsidRPr="00280611">
              <w:rPr>
                <w:sz w:val="22"/>
                <w:szCs w:val="22"/>
              </w:rPr>
              <w:t> </w:t>
            </w:r>
          </w:p>
          <w:p w:rsidR="00940ABA" w:rsidRPr="00280611" w:rsidRDefault="00940ABA" w:rsidP="00A61CE9">
            <w:pPr>
              <w:ind w:left="127"/>
            </w:pPr>
            <w:r w:rsidRPr="00280611">
              <w:rPr>
                <w:sz w:val="22"/>
                <w:szCs w:val="22"/>
              </w:rPr>
              <w:t>Ja attiecīgā ES tiesību akta vienība tiek pārņemta vai ieviesta daļēji, – sniedz attiecīgu skaidrojumu, kā arī precīzi norāda, kad un kādā veidā ES tiesību akta vienība tiks pārņemta vai ieviesta pilnībā.</w:t>
            </w:r>
          </w:p>
          <w:p w:rsidR="00940ABA" w:rsidRPr="00280611" w:rsidRDefault="00940ABA" w:rsidP="00A61CE9">
            <w:pPr>
              <w:ind w:left="127"/>
            </w:pPr>
            <w:r w:rsidRPr="00280611">
              <w:rPr>
                <w:sz w:val="22"/>
                <w:szCs w:val="22"/>
              </w:rPr>
              <w:t> </w:t>
            </w:r>
          </w:p>
          <w:p w:rsidR="00940ABA" w:rsidRPr="00280611" w:rsidRDefault="00940ABA" w:rsidP="00A61CE9">
            <w:pPr>
              <w:ind w:left="127"/>
            </w:pPr>
            <w:r w:rsidRPr="00280611">
              <w:rPr>
                <w:sz w:val="22"/>
                <w:szCs w:val="22"/>
              </w:rPr>
              <w:t>Norāda institūciju, kas ir atbildīga par šo saistību izpildi pilnībā</w:t>
            </w:r>
          </w:p>
        </w:tc>
        <w:tc>
          <w:tcPr>
            <w:tcW w:w="2693" w:type="dxa"/>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Informācija par to, vai šīs tabulas B ailē minētās projekta vienības paredz stingrākas prasības nekā šīs tabulas A ailē minētās ES tiesību akta vienības.</w:t>
            </w:r>
          </w:p>
          <w:p w:rsidR="00940ABA" w:rsidRPr="00280611" w:rsidRDefault="00940ABA" w:rsidP="00A61CE9">
            <w:pPr>
              <w:ind w:left="127"/>
            </w:pPr>
            <w:r w:rsidRPr="00280611">
              <w:rPr>
                <w:sz w:val="22"/>
                <w:szCs w:val="22"/>
              </w:rPr>
              <w:t> </w:t>
            </w:r>
          </w:p>
          <w:p w:rsidR="00940ABA" w:rsidRPr="00280611" w:rsidRDefault="00940ABA" w:rsidP="00A61CE9">
            <w:pPr>
              <w:ind w:left="127"/>
            </w:pPr>
            <w:r w:rsidRPr="00280611">
              <w:rPr>
                <w:sz w:val="22"/>
                <w:szCs w:val="22"/>
              </w:rPr>
              <w:t>Ja projekts satur stingrākas prasības nekā attiecīgais ES tiesību akts, – norāda pamatojumu un samērīgumu.</w:t>
            </w:r>
          </w:p>
          <w:p w:rsidR="00940ABA" w:rsidRPr="00280611" w:rsidRDefault="00940ABA" w:rsidP="00A61CE9">
            <w:pPr>
              <w:ind w:left="127"/>
            </w:pPr>
            <w:r w:rsidRPr="00280611">
              <w:rPr>
                <w:sz w:val="22"/>
                <w:szCs w:val="22"/>
              </w:rPr>
              <w:t> </w:t>
            </w:r>
          </w:p>
          <w:p w:rsidR="00940ABA" w:rsidRPr="00280611" w:rsidRDefault="00940ABA" w:rsidP="00A61CE9">
            <w:pPr>
              <w:ind w:left="127"/>
            </w:pPr>
            <w:r w:rsidRPr="00280611">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940ABA" w:rsidRPr="00660AD7" w:rsidTr="00A61CE9">
        <w:trPr>
          <w:trHeight w:val="542"/>
          <w:tblCellSpacing w:w="0" w:type="dxa"/>
        </w:trPr>
        <w:tc>
          <w:tcPr>
            <w:tcW w:w="3119" w:type="dxa"/>
            <w:gridSpan w:val="3"/>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xml:space="preserve">Eiropas Komisijas 2011.gada 20.decembra lēmuma Nr.2012/21/ES „Par Līguma par Eiropas Savienības darbību 106.panta 2.punkta piemērošanu </w:t>
            </w:r>
            <w:r w:rsidRPr="00280611">
              <w:rPr>
                <w:sz w:val="22"/>
                <w:szCs w:val="22"/>
              </w:rPr>
              <w:lastRenderedPageBreak/>
              <w:t xml:space="preserve">valsts atbalstam attiecībā uz kompensāciju par sabiedriskajiem pakalpojumiem dažiem uzņēmumiem, kuriem uzticēts sniegt pakalpojumus ar vispārēju tautsaimniecības nozīmi” 4.pants </w:t>
            </w:r>
          </w:p>
        </w:tc>
        <w:tc>
          <w:tcPr>
            <w:tcW w:w="1701" w:type="dxa"/>
            <w:gridSpan w:val="2"/>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lastRenderedPageBreak/>
              <w:t>MK noteikumi Nr.843 tiek papildināti ar 28.</w:t>
            </w:r>
            <w:r w:rsidRPr="00280611">
              <w:rPr>
                <w:sz w:val="22"/>
                <w:szCs w:val="22"/>
                <w:vertAlign w:val="superscript"/>
              </w:rPr>
              <w:t xml:space="preserve"> 1 </w:t>
            </w:r>
            <w:r w:rsidRPr="00280611">
              <w:rPr>
                <w:sz w:val="22"/>
                <w:szCs w:val="22"/>
              </w:rPr>
              <w:t>un</w:t>
            </w:r>
            <w:r w:rsidRPr="00280611">
              <w:rPr>
                <w:sz w:val="22"/>
                <w:szCs w:val="22"/>
                <w:vertAlign w:val="superscript"/>
              </w:rPr>
              <w:t xml:space="preserve"> </w:t>
            </w:r>
            <w:r w:rsidRPr="00280611">
              <w:rPr>
                <w:sz w:val="22"/>
                <w:szCs w:val="22"/>
              </w:rPr>
              <w:t>28.</w:t>
            </w:r>
            <w:r w:rsidRPr="00280611">
              <w:rPr>
                <w:sz w:val="22"/>
                <w:szCs w:val="22"/>
                <w:vertAlign w:val="superscript"/>
              </w:rPr>
              <w:t>2</w:t>
            </w:r>
            <w:r w:rsidRPr="00280611">
              <w:rPr>
                <w:sz w:val="22"/>
                <w:szCs w:val="22"/>
              </w:rPr>
              <w:t xml:space="preserve">punktu, noteikumu </w:t>
            </w:r>
            <w:r w:rsidRPr="00280611">
              <w:rPr>
                <w:sz w:val="22"/>
                <w:szCs w:val="22"/>
              </w:rPr>
              <w:lastRenderedPageBreak/>
              <w:t>projekta 21.punkts</w:t>
            </w:r>
          </w:p>
        </w:tc>
        <w:tc>
          <w:tcPr>
            <w:tcW w:w="2127" w:type="dxa"/>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lastRenderedPageBreak/>
              <w:t>Prasības tiek ieviestas pilnībā</w:t>
            </w:r>
          </w:p>
        </w:tc>
        <w:tc>
          <w:tcPr>
            <w:tcW w:w="2693" w:type="dxa"/>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Projekts neparedz stingrākas prasības</w:t>
            </w:r>
          </w:p>
        </w:tc>
      </w:tr>
      <w:tr w:rsidR="00940ABA" w:rsidRPr="00660AD7" w:rsidTr="00A61CE9">
        <w:trPr>
          <w:trHeight w:val="281"/>
          <w:tblCellSpacing w:w="0"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ind w:left="127"/>
            </w:pPr>
            <w:r w:rsidRPr="00280611">
              <w:rPr>
                <w:sz w:val="22"/>
                <w:szCs w:val="22"/>
              </w:rPr>
              <w:lastRenderedPageBreak/>
              <w:t> Kā ir izmantota ES tiesību aktā paredzētā rīcības brīvība dalībvalstij pārņemt vai ieviest noteiktas ES tiesību akta normas.</w:t>
            </w:r>
          </w:p>
          <w:p w:rsidR="00940ABA" w:rsidRPr="00280611" w:rsidRDefault="00940ABA" w:rsidP="00A61CE9">
            <w:pPr>
              <w:ind w:left="127"/>
            </w:pPr>
            <w:r w:rsidRPr="00280611">
              <w:rPr>
                <w:sz w:val="22"/>
                <w:szCs w:val="22"/>
              </w:rPr>
              <w:t>Kādēļ?</w:t>
            </w:r>
          </w:p>
        </w:tc>
        <w:tc>
          <w:tcPr>
            <w:tcW w:w="6521" w:type="dxa"/>
            <w:gridSpan w:val="4"/>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xml:space="preserve"> Tiesību akts neparedz rīcības brīvību dalībvalstij </w:t>
            </w:r>
          </w:p>
        </w:tc>
      </w:tr>
      <w:tr w:rsidR="00940ABA" w:rsidRPr="00660AD7" w:rsidTr="00A61CE9">
        <w:trPr>
          <w:trHeight w:val="913"/>
          <w:tblCellSpacing w:w="0" w:type="dxa"/>
        </w:trPr>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940ABA" w:rsidRPr="00280611" w:rsidRDefault="00940ABA" w:rsidP="00A61CE9">
            <w:pPr>
              <w:ind w:left="127"/>
            </w:pPr>
            <w:r w:rsidRPr="00280611">
              <w:rPr>
                <w:sz w:val="22"/>
                <w:szCs w:val="22"/>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1" w:type="dxa"/>
            <w:gridSpan w:val="4"/>
            <w:tcBorders>
              <w:top w:val="outset" w:sz="6" w:space="0" w:color="auto"/>
              <w:left w:val="outset" w:sz="6" w:space="0" w:color="auto"/>
              <w:bottom w:val="outset" w:sz="6" w:space="0" w:color="auto"/>
              <w:right w:val="outset" w:sz="6" w:space="0" w:color="auto"/>
            </w:tcBorders>
            <w:hideMark/>
          </w:tcPr>
          <w:p w:rsidR="00940ABA" w:rsidRPr="00280611" w:rsidRDefault="00940ABA" w:rsidP="00A61CE9">
            <w:pPr>
              <w:ind w:left="127"/>
            </w:pPr>
            <w:r w:rsidRPr="00280611">
              <w:rPr>
                <w:sz w:val="22"/>
                <w:szCs w:val="22"/>
              </w:rPr>
              <w:t xml:space="preserve"> Pirmo ziņojumu iesniedz līdz 2014.gada 30.jūnijam </w:t>
            </w:r>
          </w:p>
        </w:tc>
      </w:tr>
      <w:tr w:rsidR="00940ABA" w:rsidRPr="00660AD7" w:rsidTr="00A61CE9">
        <w:trPr>
          <w:trHeight w:val="579"/>
          <w:tblCellSpacing w:w="0" w:type="dxa"/>
        </w:trPr>
        <w:tc>
          <w:tcPr>
            <w:tcW w:w="3119" w:type="dxa"/>
            <w:gridSpan w:val="3"/>
            <w:tcBorders>
              <w:top w:val="outset" w:sz="6" w:space="0" w:color="auto"/>
              <w:left w:val="outset" w:sz="6" w:space="0" w:color="auto"/>
              <w:bottom w:val="outset" w:sz="6" w:space="0" w:color="auto"/>
              <w:right w:val="outset" w:sz="6" w:space="0" w:color="auto"/>
            </w:tcBorders>
            <w:hideMark/>
          </w:tcPr>
          <w:p w:rsidR="00940ABA" w:rsidRPr="00280611" w:rsidRDefault="00940ABA" w:rsidP="00A61CE9">
            <w:r w:rsidRPr="00280611">
              <w:rPr>
                <w:sz w:val="22"/>
                <w:szCs w:val="22"/>
              </w:rPr>
              <w:t> Cita informācija</w:t>
            </w:r>
          </w:p>
        </w:tc>
        <w:tc>
          <w:tcPr>
            <w:tcW w:w="6521" w:type="dxa"/>
            <w:gridSpan w:val="4"/>
            <w:tcBorders>
              <w:top w:val="outset" w:sz="6" w:space="0" w:color="auto"/>
              <w:left w:val="outset" w:sz="6" w:space="0" w:color="auto"/>
              <w:bottom w:val="outset" w:sz="6" w:space="0" w:color="auto"/>
              <w:right w:val="outset" w:sz="6" w:space="0" w:color="auto"/>
            </w:tcBorders>
            <w:hideMark/>
          </w:tcPr>
          <w:p w:rsidR="00940ABA" w:rsidRPr="00280611" w:rsidRDefault="00940ABA" w:rsidP="00A61CE9">
            <w:r w:rsidRPr="00280611">
              <w:rPr>
                <w:sz w:val="22"/>
                <w:szCs w:val="22"/>
              </w:rPr>
              <w:t> Nav</w:t>
            </w:r>
          </w:p>
        </w:tc>
      </w:tr>
      <w:tr w:rsidR="00940ABA" w:rsidRPr="00660AD7" w:rsidTr="00A61CE9">
        <w:trPr>
          <w:trHeight w:val="792"/>
          <w:tblCellSpacing w:w="0" w:type="dxa"/>
        </w:trPr>
        <w:tc>
          <w:tcPr>
            <w:tcW w:w="9640" w:type="dxa"/>
            <w:gridSpan w:val="7"/>
            <w:tcBorders>
              <w:top w:val="outset" w:sz="6" w:space="0" w:color="auto"/>
              <w:left w:val="outset" w:sz="6" w:space="0" w:color="auto"/>
              <w:bottom w:val="outset" w:sz="6" w:space="0" w:color="auto"/>
              <w:right w:val="outset" w:sz="6" w:space="0" w:color="auto"/>
            </w:tcBorders>
            <w:vAlign w:val="center"/>
            <w:hideMark/>
          </w:tcPr>
          <w:p w:rsidR="00940ABA" w:rsidRPr="000601C4" w:rsidRDefault="00940ABA" w:rsidP="00A61CE9">
            <w:pPr>
              <w:spacing w:before="136" w:after="136"/>
              <w:jc w:val="center"/>
              <w:rPr>
                <w:b/>
                <w:bCs/>
              </w:rPr>
            </w:pPr>
            <w:r w:rsidRPr="000601C4">
              <w:rPr>
                <w:sz w:val="22"/>
                <w:szCs w:val="22"/>
              </w:rPr>
              <w:t> </w:t>
            </w:r>
            <w:r w:rsidRPr="000601C4">
              <w:rPr>
                <w:b/>
                <w:bCs/>
                <w:sz w:val="22"/>
                <w:szCs w:val="22"/>
              </w:rPr>
              <w:t> 2.tabula</w:t>
            </w:r>
          </w:p>
          <w:p w:rsidR="00940ABA" w:rsidRPr="000601C4" w:rsidRDefault="00940ABA" w:rsidP="00A61CE9">
            <w:pPr>
              <w:spacing w:before="136" w:after="136"/>
              <w:jc w:val="center"/>
              <w:rPr>
                <w:b/>
                <w:bCs/>
              </w:rPr>
            </w:pPr>
            <w:r w:rsidRPr="000601C4">
              <w:rPr>
                <w:b/>
                <w:bCs/>
                <w:sz w:val="22"/>
                <w:szCs w:val="22"/>
              </w:rPr>
              <w:t>Ar tiesību akta projektu uzņemtās saistības, kas izriet no starptautiskajiem tiesību aktiem vai starptautiskas institūcijas vai organizācijas dokumentiem</w:t>
            </w:r>
          </w:p>
          <w:p w:rsidR="00940ABA" w:rsidRPr="00660AD7" w:rsidRDefault="00940ABA" w:rsidP="00A61CE9">
            <w:pPr>
              <w:spacing w:before="136" w:after="136"/>
              <w:jc w:val="center"/>
              <w:rPr>
                <w:b/>
                <w:bCs/>
              </w:rPr>
            </w:pPr>
            <w:r w:rsidRPr="000601C4">
              <w:rPr>
                <w:b/>
                <w:bCs/>
                <w:sz w:val="22"/>
                <w:szCs w:val="22"/>
              </w:rPr>
              <w:t>Pasākumi šo saistību izpildei</w:t>
            </w:r>
          </w:p>
        </w:tc>
      </w:tr>
      <w:tr w:rsidR="00940ABA" w:rsidRPr="00660AD7" w:rsidTr="00A61CE9">
        <w:trPr>
          <w:trHeight w:val="163"/>
          <w:tblCellSpacing w:w="0" w:type="dxa"/>
        </w:trPr>
        <w:tc>
          <w:tcPr>
            <w:tcW w:w="9640" w:type="dxa"/>
            <w:gridSpan w:val="7"/>
            <w:tcBorders>
              <w:top w:val="outset" w:sz="6" w:space="0" w:color="auto"/>
              <w:left w:val="outset" w:sz="6" w:space="0" w:color="auto"/>
              <w:bottom w:val="outset" w:sz="6" w:space="0" w:color="auto"/>
              <w:right w:val="outset" w:sz="6" w:space="0" w:color="auto"/>
            </w:tcBorders>
            <w:vAlign w:val="center"/>
            <w:hideMark/>
          </w:tcPr>
          <w:p w:rsidR="00940ABA" w:rsidRPr="00660AD7" w:rsidRDefault="00940ABA" w:rsidP="00A61CE9">
            <w:pPr>
              <w:spacing w:before="68" w:after="68" w:line="163" w:lineRule="atLeast"/>
            </w:pPr>
            <w:r w:rsidRPr="00660AD7">
              <w:t>  </w:t>
            </w:r>
            <w:r>
              <w:t>Projekts šo jomu neskar</w:t>
            </w:r>
          </w:p>
        </w:tc>
      </w:tr>
    </w:tbl>
    <w:p w:rsidR="00940ABA" w:rsidRPr="004D0948" w:rsidRDefault="00940ABA" w:rsidP="00940ABA">
      <w:pPr>
        <w:ind w:firstLine="375"/>
        <w:jc w:val="both"/>
        <w:rPr>
          <w:i/>
          <w:sz w:val="22"/>
          <w:szCs w:val="22"/>
        </w:rPr>
      </w:pPr>
    </w:p>
    <w:p w:rsidR="00940ABA" w:rsidRDefault="00940ABA" w:rsidP="00940ABA">
      <w:pPr>
        <w:ind w:firstLine="375"/>
        <w:jc w:val="both"/>
        <w:rPr>
          <w:i/>
          <w:sz w:val="22"/>
          <w:szCs w:val="22"/>
        </w:rPr>
      </w:pPr>
      <w:r w:rsidRPr="004D0948">
        <w:rPr>
          <w:i/>
          <w:sz w:val="22"/>
          <w:szCs w:val="22"/>
        </w:rPr>
        <w:t xml:space="preserve">Anotācijas </w:t>
      </w:r>
      <w:r>
        <w:rPr>
          <w:i/>
          <w:sz w:val="22"/>
          <w:szCs w:val="22"/>
        </w:rPr>
        <w:t xml:space="preserve">VI </w:t>
      </w:r>
      <w:r w:rsidRPr="004D0948">
        <w:rPr>
          <w:i/>
          <w:sz w:val="22"/>
          <w:szCs w:val="22"/>
        </w:rPr>
        <w:t>sadaļa – projekts šīs jomas neskar.</w:t>
      </w:r>
    </w:p>
    <w:tbl>
      <w:tblPr>
        <w:tblW w:w="9640" w:type="dxa"/>
        <w:tblCellSpacing w:w="0" w:type="dxa"/>
        <w:tblInd w:w="-21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567"/>
        <w:gridCol w:w="2269"/>
        <w:gridCol w:w="6804"/>
      </w:tblGrid>
      <w:tr w:rsidR="00940ABA" w:rsidRPr="004D0948" w:rsidTr="00A61CE9">
        <w:trPr>
          <w:tblCellSpacing w:w="0" w:type="dxa"/>
        </w:trPr>
        <w:tc>
          <w:tcPr>
            <w:tcW w:w="9640" w:type="dxa"/>
            <w:gridSpan w:val="3"/>
            <w:tcBorders>
              <w:top w:val="outset" w:sz="6" w:space="0" w:color="auto"/>
              <w:left w:val="outset" w:sz="6" w:space="0" w:color="auto"/>
              <w:bottom w:val="outset" w:sz="6" w:space="0" w:color="auto"/>
              <w:right w:val="outset" w:sz="6" w:space="0" w:color="auto"/>
            </w:tcBorders>
          </w:tcPr>
          <w:p w:rsidR="00940ABA" w:rsidRDefault="00940ABA" w:rsidP="00A61CE9">
            <w:pPr>
              <w:jc w:val="center"/>
              <w:rPr>
                <w:b/>
                <w:bCs/>
              </w:rPr>
            </w:pPr>
            <w:r w:rsidRPr="004D0948">
              <w:rPr>
                <w:b/>
                <w:bCs/>
                <w:sz w:val="22"/>
                <w:szCs w:val="22"/>
              </w:rPr>
              <w:t> VII. Tiesību akta projekta izpildes nodrošināšana un tās ietekme uz institūcijām</w:t>
            </w:r>
          </w:p>
          <w:p w:rsidR="00940ABA" w:rsidRPr="004D0948" w:rsidRDefault="00940ABA" w:rsidP="00A61CE9">
            <w:pPr>
              <w:jc w:val="center"/>
            </w:pPr>
          </w:p>
        </w:tc>
      </w:tr>
      <w:tr w:rsidR="00940ABA" w:rsidRPr="004D0948" w:rsidTr="00A61CE9">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1.</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Projekta izpildē iesaistītās institūcijas</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jc w:val="both"/>
            </w:pPr>
            <w:r w:rsidRPr="004D0948">
              <w:rPr>
                <w:sz w:val="22"/>
                <w:szCs w:val="22"/>
              </w:rPr>
              <w:t>Vides aizsardzības un reģionālās attīstības ministrija</w:t>
            </w:r>
          </w:p>
          <w:p w:rsidR="00940ABA" w:rsidRPr="004D0948" w:rsidRDefault="00940ABA" w:rsidP="00A61CE9">
            <w:pPr>
              <w:jc w:val="both"/>
            </w:pPr>
          </w:p>
        </w:tc>
      </w:tr>
      <w:tr w:rsidR="00940ABA" w:rsidRPr="004D0948" w:rsidTr="00A61CE9">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2.</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Projekta izpildes ietekme uz pārvaldes funkcijām</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ind w:right="212"/>
              <w:jc w:val="both"/>
            </w:pPr>
            <w:r w:rsidRPr="004D0948">
              <w:rPr>
                <w:sz w:val="22"/>
                <w:szCs w:val="22"/>
                <w:lang w:eastAsia="en-US"/>
              </w:rPr>
              <w:t xml:space="preserve">Noteikumu projekts nosaka un precizē Vides aizsardzības un reģionālās attīstības ministrijas funkcijas un uzdevumus, kurus līdz 2010.gada 31.decembrim veica Reģionālās attīstības un pašvaldību lietu ministrija. </w:t>
            </w:r>
          </w:p>
        </w:tc>
      </w:tr>
      <w:tr w:rsidR="00940ABA" w:rsidRPr="004D0948" w:rsidTr="00A61CE9">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3.</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Projekta izpilde</w:t>
            </w:r>
            <w:bookmarkStart w:id="1" w:name="_GoBack"/>
            <w:bookmarkEnd w:id="1"/>
            <w:r w:rsidRPr="004D0948">
              <w:rPr>
                <w:sz w:val="22"/>
                <w:szCs w:val="22"/>
              </w:rPr>
              <w:t>s ietekme uz pārvaldes institucionālo struktūru.</w:t>
            </w:r>
          </w:p>
          <w:p w:rsidR="00940ABA" w:rsidRPr="004D0948" w:rsidRDefault="00940ABA" w:rsidP="00A61CE9">
            <w:r w:rsidRPr="004D0948">
              <w:rPr>
                <w:sz w:val="22"/>
                <w:szCs w:val="22"/>
              </w:rPr>
              <w:t>Jaunu institūciju izveide</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jc w:val="both"/>
            </w:pPr>
            <w:r w:rsidRPr="004D0948">
              <w:rPr>
                <w:sz w:val="22"/>
                <w:szCs w:val="22"/>
              </w:rPr>
              <w:t xml:space="preserve">Noteikumu projekts neparedz jaunu valsts pārvaldes institūciju izveidi. </w:t>
            </w:r>
          </w:p>
        </w:tc>
      </w:tr>
      <w:tr w:rsidR="00940ABA" w:rsidRPr="004D0948" w:rsidTr="00A61CE9">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4.</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Projekta izpildes ietekme uz pārvaldes institucionālo struktūru.</w:t>
            </w:r>
          </w:p>
          <w:p w:rsidR="00940ABA" w:rsidRPr="004D0948" w:rsidRDefault="00940ABA" w:rsidP="00A61CE9">
            <w:r w:rsidRPr="004D0948">
              <w:rPr>
                <w:sz w:val="22"/>
                <w:szCs w:val="22"/>
              </w:rPr>
              <w:t>Esošu institūciju likvidācija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jc w:val="both"/>
            </w:pPr>
            <w:r w:rsidRPr="004D0948">
              <w:rPr>
                <w:sz w:val="22"/>
                <w:szCs w:val="22"/>
              </w:rPr>
              <w:t>Noteikumu projekts neparedz esošo valsts pārvaldes institūciju likvidāciju.</w:t>
            </w:r>
          </w:p>
        </w:tc>
      </w:tr>
      <w:tr w:rsidR="00940ABA" w:rsidRPr="004D0948" w:rsidTr="00A61CE9">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lastRenderedPageBreak/>
              <w:t>5.</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Projekta izpildes ietekme uz pārvaldes institucionālo struktūru.</w:t>
            </w:r>
          </w:p>
          <w:p w:rsidR="00940ABA" w:rsidRPr="004D0948" w:rsidRDefault="00940ABA" w:rsidP="00A61CE9">
            <w:r w:rsidRPr="004D0948">
              <w:rPr>
                <w:sz w:val="22"/>
                <w:szCs w:val="22"/>
              </w:rPr>
              <w:t>Esošu institūciju reorganizācija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pPr>
              <w:jc w:val="both"/>
            </w:pPr>
            <w:r w:rsidRPr="004D0948">
              <w:rPr>
                <w:sz w:val="22"/>
                <w:szCs w:val="22"/>
              </w:rPr>
              <w:t>Noteikumu projekts neparedz esošo valsts pārvaldes institūciju reorganizāciju.</w:t>
            </w:r>
          </w:p>
        </w:tc>
      </w:tr>
      <w:tr w:rsidR="00940ABA" w:rsidRPr="004D0948" w:rsidTr="00A61CE9">
        <w:trPr>
          <w:trHeight w:val="320"/>
          <w:tblCellSpacing w:w="0" w:type="dxa"/>
        </w:trPr>
        <w:tc>
          <w:tcPr>
            <w:tcW w:w="567"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6.</w:t>
            </w:r>
          </w:p>
        </w:tc>
        <w:tc>
          <w:tcPr>
            <w:tcW w:w="2269"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 Cita informācija</w:t>
            </w:r>
          </w:p>
        </w:tc>
        <w:tc>
          <w:tcPr>
            <w:tcW w:w="6804" w:type="dxa"/>
            <w:tcBorders>
              <w:top w:val="outset" w:sz="6" w:space="0" w:color="auto"/>
              <w:left w:val="outset" w:sz="6" w:space="0" w:color="auto"/>
              <w:bottom w:val="outset" w:sz="6" w:space="0" w:color="auto"/>
              <w:right w:val="outset" w:sz="6" w:space="0" w:color="auto"/>
            </w:tcBorders>
          </w:tcPr>
          <w:p w:rsidR="00940ABA" w:rsidRPr="004D0948" w:rsidRDefault="00940ABA" w:rsidP="00A61CE9">
            <w:r w:rsidRPr="004D0948">
              <w:rPr>
                <w:sz w:val="22"/>
                <w:szCs w:val="22"/>
              </w:rPr>
              <w:t>Nav.</w:t>
            </w:r>
          </w:p>
        </w:tc>
      </w:tr>
    </w:tbl>
    <w:p w:rsidR="00940ABA" w:rsidRPr="004D0948" w:rsidRDefault="00940ABA" w:rsidP="00940ABA">
      <w:pPr>
        <w:pStyle w:val="BodyTextIndent"/>
        <w:tabs>
          <w:tab w:val="left" w:pos="540"/>
          <w:tab w:val="left" w:pos="6840"/>
          <w:tab w:val="left" w:pos="7020"/>
        </w:tabs>
        <w:spacing w:after="0"/>
        <w:ind w:left="0"/>
        <w:rPr>
          <w:sz w:val="22"/>
          <w:szCs w:val="22"/>
        </w:rPr>
      </w:pPr>
      <w:r w:rsidRPr="004D0948">
        <w:rPr>
          <w:sz w:val="22"/>
          <w:szCs w:val="22"/>
        </w:rPr>
        <w:tab/>
      </w:r>
    </w:p>
    <w:p w:rsidR="00940ABA" w:rsidRDefault="00940ABA" w:rsidP="00940ABA">
      <w:pPr>
        <w:pStyle w:val="BodyTextIndent"/>
        <w:tabs>
          <w:tab w:val="left" w:pos="540"/>
          <w:tab w:val="left" w:pos="6840"/>
          <w:tab w:val="left" w:pos="7020"/>
        </w:tabs>
        <w:spacing w:after="0"/>
        <w:ind w:left="0"/>
        <w:rPr>
          <w:sz w:val="22"/>
          <w:szCs w:val="22"/>
        </w:rPr>
      </w:pPr>
      <w:r>
        <w:rPr>
          <w:sz w:val="22"/>
          <w:szCs w:val="22"/>
        </w:rPr>
        <w:t xml:space="preserve">         </w:t>
      </w:r>
    </w:p>
    <w:p w:rsidR="00940ABA" w:rsidRDefault="00940ABA" w:rsidP="00940ABA">
      <w:pPr>
        <w:pStyle w:val="BodyTextIndent"/>
        <w:tabs>
          <w:tab w:val="left" w:pos="540"/>
          <w:tab w:val="left" w:pos="6840"/>
          <w:tab w:val="left" w:pos="7020"/>
        </w:tabs>
        <w:spacing w:after="0"/>
        <w:ind w:left="0"/>
        <w:rPr>
          <w:sz w:val="22"/>
          <w:szCs w:val="22"/>
        </w:rPr>
      </w:pPr>
    </w:p>
    <w:p w:rsidR="00940ABA" w:rsidRPr="004D0948" w:rsidRDefault="00940ABA" w:rsidP="00940ABA">
      <w:pPr>
        <w:pStyle w:val="BodyTextIndent"/>
        <w:tabs>
          <w:tab w:val="left" w:pos="540"/>
          <w:tab w:val="left" w:pos="6840"/>
          <w:tab w:val="left" w:pos="7020"/>
        </w:tabs>
        <w:spacing w:after="0"/>
        <w:ind w:left="0"/>
        <w:rPr>
          <w:sz w:val="22"/>
          <w:szCs w:val="22"/>
        </w:rPr>
      </w:pPr>
      <w:r>
        <w:rPr>
          <w:sz w:val="22"/>
          <w:szCs w:val="22"/>
        </w:rPr>
        <w:tab/>
      </w:r>
      <w:r w:rsidRPr="004D0948">
        <w:rPr>
          <w:sz w:val="22"/>
          <w:szCs w:val="22"/>
        </w:rPr>
        <w:t xml:space="preserve">Vides aizsardzības un </w:t>
      </w:r>
    </w:p>
    <w:p w:rsidR="00940ABA" w:rsidRPr="004D0948" w:rsidRDefault="00940ABA" w:rsidP="00940ABA">
      <w:pPr>
        <w:pStyle w:val="BodyTextIndent"/>
        <w:tabs>
          <w:tab w:val="left" w:pos="540"/>
          <w:tab w:val="left" w:pos="6840"/>
          <w:tab w:val="left" w:pos="7020"/>
        </w:tabs>
        <w:spacing w:after="0"/>
        <w:ind w:left="0"/>
        <w:rPr>
          <w:sz w:val="22"/>
          <w:szCs w:val="22"/>
        </w:rPr>
      </w:pPr>
      <w:r w:rsidRPr="004D0948">
        <w:rPr>
          <w:sz w:val="22"/>
          <w:szCs w:val="22"/>
        </w:rPr>
        <w:tab/>
        <w:t>reģionālās attīstības ministrs</w:t>
      </w:r>
      <w:r w:rsidRPr="004D0948">
        <w:rPr>
          <w:sz w:val="22"/>
          <w:szCs w:val="22"/>
        </w:rPr>
        <w:tab/>
      </w:r>
      <w:r w:rsidRPr="004D0948">
        <w:rPr>
          <w:sz w:val="22"/>
          <w:szCs w:val="22"/>
        </w:rPr>
        <w:tab/>
        <w:t>E.Sprūdžs</w:t>
      </w:r>
    </w:p>
    <w:p w:rsidR="00940ABA" w:rsidRPr="004D0948" w:rsidRDefault="00940ABA" w:rsidP="00940ABA">
      <w:pPr>
        <w:tabs>
          <w:tab w:val="left" w:pos="540"/>
          <w:tab w:val="left" w:pos="7020"/>
        </w:tabs>
        <w:ind w:left="720"/>
        <w:rPr>
          <w:sz w:val="22"/>
          <w:szCs w:val="22"/>
        </w:rPr>
      </w:pPr>
    </w:p>
    <w:p w:rsidR="00940ABA" w:rsidRPr="004D0948" w:rsidRDefault="00940ABA" w:rsidP="00940ABA">
      <w:pPr>
        <w:tabs>
          <w:tab w:val="left" w:pos="540"/>
          <w:tab w:val="left" w:pos="7020"/>
        </w:tabs>
        <w:ind w:left="540"/>
        <w:rPr>
          <w:sz w:val="22"/>
          <w:szCs w:val="22"/>
        </w:rPr>
      </w:pPr>
      <w:r w:rsidRPr="004D0948">
        <w:rPr>
          <w:sz w:val="22"/>
          <w:szCs w:val="22"/>
        </w:rPr>
        <w:t>Vīza:</w:t>
      </w:r>
    </w:p>
    <w:p w:rsidR="00940ABA" w:rsidRPr="004D0948" w:rsidRDefault="00940ABA" w:rsidP="00940ABA">
      <w:pPr>
        <w:pStyle w:val="BodyTextIndent"/>
        <w:tabs>
          <w:tab w:val="left" w:pos="540"/>
          <w:tab w:val="left" w:pos="6840"/>
          <w:tab w:val="left" w:pos="7020"/>
        </w:tabs>
        <w:spacing w:after="0"/>
        <w:ind w:left="0"/>
        <w:rPr>
          <w:sz w:val="22"/>
          <w:szCs w:val="22"/>
        </w:rPr>
      </w:pPr>
      <w:r w:rsidRPr="004D0948">
        <w:rPr>
          <w:sz w:val="22"/>
          <w:szCs w:val="22"/>
        </w:rPr>
        <w:tab/>
        <w:t xml:space="preserve">Vides aizsardzības un reģionālās </w:t>
      </w:r>
    </w:p>
    <w:p w:rsidR="00940ABA" w:rsidRPr="004D0948" w:rsidRDefault="00940ABA" w:rsidP="00940ABA">
      <w:pPr>
        <w:pStyle w:val="BodyTextIndent"/>
        <w:tabs>
          <w:tab w:val="left" w:pos="540"/>
          <w:tab w:val="left" w:pos="6840"/>
          <w:tab w:val="left" w:pos="7020"/>
        </w:tabs>
        <w:spacing w:after="0"/>
        <w:ind w:left="0"/>
        <w:rPr>
          <w:sz w:val="22"/>
          <w:szCs w:val="22"/>
        </w:rPr>
      </w:pPr>
      <w:r w:rsidRPr="004D0948">
        <w:rPr>
          <w:sz w:val="22"/>
          <w:szCs w:val="22"/>
        </w:rPr>
        <w:tab/>
        <w:t xml:space="preserve">attīstības ministrijas </w:t>
      </w:r>
      <w:r w:rsidRPr="004D0948">
        <w:rPr>
          <w:color w:val="000000"/>
          <w:sz w:val="22"/>
          <w:szCs w:val="22"/>
        </w:rPr>
        <w:t xml:space="preserve">valsts sekretārs                                                  </w:t>
      </w:r>
      <w:r>
        <w:rPr>
          <w:color w:val="000000"/>
          <w:sz w:val="22"/>
          <w:szCs w:val="22"/>
        </w:rPr>
        <w:t xml:space="preserve">          </w:t>
      </w:r>
      <w:r>
        <w:rPr>
          <w:bCs/>
          <w:color w:val="000000"/>
          <w:sz w:val="22"/>
          <w:szCs w:val="22"/>
        </w:rPr>
        <w:t>A.Antonovs</w:t>
      </w:r>
    </w:p>
    <w:p w:rsidR="00940ABA" w:rsidRDefault="00940ABA" w:rsidP="00940ABA">
      <w:pPr>
        <w:pStyle w:val="BodyTextIndent3"/>
        <w:spacing w:after="0"/>
        <w:ind w:left="0"/>
        <w:rPr>
          <w:sz w:val="22"/>
          <w:szCs w:val="22"/>
          <w:lang w:val="lv-LV"/>
        </w:rPr>
      </w:pPr>
    </w:p>
    <w:p w:rsidR="00940ABA" w:rsidRDefault="00940ABA" w:rsidP="00940ABA">
      <w:pPr>
        <w:pStyle w:val="BodyTextIndent3"/>
        <w:spacing w:after="0"/>
        <w:ind w:left="0"/>
        <w:rPr>
          <w:sz w:val="22"/>
          <w:szCs w:val="22"/>
          <w:lang w:val="lv-LV"/>
        </w:rPr>
      </w:pPr>
    </w:p>
    <w:p w:rsidR="00940ABA" w:rsidRPr="004D0948" w:rsidRDefault="00940ABA" w:rsidP="00940ABA">
      <w:pPr>
        <w:pStyle w:val="BodyTextIndent3"/>
        <w:spacing w:after="0"/>
        <w:ind w:left="0"/>
        <w:rPr>
          <w:sz w:val="22"/>
          <w:szCs w:val="22"/>
          <w:lang w:val="lv-LV"/>
        </w:rPr>
      </w:pPr>
    </w:p>
    <w:p w:rsidR="00940ABA" w:rsidRPr="0034020F" w:rsidRDefault="00940ABA" w:rsidP="00940ABA">
      <w:pPr>
        <w:pStyle w:val="BodyTextIndent3"/>
        <w:spacing w:after="0"/>
        <w:ind w:left="0"/>
        <w:rPr>
          <w:sz w:val="18"/>
          <w:szCs w:val="18"/>
          <w:lang w:val="lv-LV"/>
        </w:rPr>
      </w:pPr>
      <w:r>
        <w:rPr>
          <w:sz w:val="18"/>
          <w:szCs w:val="18"/>
          <w:lang w:val="lv-LV"/>
        </w:rPr>
        <w:t>11.04</w:t>
      </w:r>
      <w:r w:rsidRPr="0034020F">
        <w:rPr>
          <w:sz w:val="18"/>
          <w:szCs w:val="18"/>
          <w:lang w:val="lv-LV"/>
        </w:rPr>
        <w:t xml:space="preserve">.2012 </w:t>
      </w:r>
      <w:r>
        <w:rPr>
          <w:sz w:val="18"/>
          <w:szCs w:val="18"/>
          <w:lang w:val="lv-LV"/>
        </w:rPr>
        <w:t>15</w:t>
      </w:r>
      <w:r w:rsidRPr="0034020F">
        <w:rPr>
          <w:sz w:val="18"/>
          <w:szCs w:val="18"/>
          <w:lang w:val="lv-LV"/>
        </w:rPr>
        <w:t>:</w:t>
      </w:r>
      <w:r>
        <w:rPr>
          <w:sz w:val="18"/>
          <w:szCs w:val="18"/>
          <w:lang w:val="lv-LV"/>
        </w:rPr>
        <w:t>0</w:t>
      </w:r>
      <w:r w:rsidRPr="0034020F">
        <w:rPr>
          <w:sz w:val="18"/>
          <w:szCs w:val="18"/>
          <w:lang w:val="lv-LV"/>
        </w:rPr>
        <w:t>0</w:t>
      </w:r>
    </w:p>
    <w:p w:rsidR="00940ABA" w:rsidRPr="0034020F" w:rsidRDefault="00940ABA" w:rsidP="00940ABA">
      <w:pPr>
        <w:pStyle w:val="BodyTextIndent3"/>
        <w:spacing w:after="0"/>
        <w:ind w:left="0"/>
        <w:rPr>
          <w:sz w:val="18"/>
          <w:szCs w:val="18"/>
          <w:lang w:val="lv-LV"/>
        </w:rPr>
      </w:pPr>
      <w:r>
        <w:rPr>
          <w:sz w:val="18"/>
          <w:szCs w:val="18"/>
          <w:lang w:val="lv-LV"/>
        </w:rPr>
        <w:t>2133</w:t>
      </w:r>
    </w:p>
    <w:p w:rsidR="00940ABA" w:rsidRPr="0034020F" w:rsidRDefault="00940ABA" w:rsidP="00940ABA">
      <w:pPr>
        <w:jc w:val="both"/>
        <w:rPr>
          <w:bCs/>
          <w:sz w:val="18"/>
          <w:szCs w:val="18"/>
        </w:rPr>
      </w:pPr>
      <w:r w:rsidRPr="0034020F">
        <w:rPr>
          <w:bCs/>
          <w:sz w:val="18"/>
          <w:szCs w:val="18"/>
        </w:rPr>
        <w:t>L.Lāma</w:t>
      </w:r>
    </w:p>
    <w:p w:rsidR="00940ABA" w:rsidRPr="0034020F" w:rsidRDefault="00940ABA" w:rsidP="00940ABA">
      <w:pPr>
        <w:rPr>
          <w:sz w:val="18"/>
          <w:szCs w:val="18"/>
        </w:rPr>
      </w:pPr>
      <w:r w:rsidRPr="0034020F">
        <w:rPr>
          <w:sz w:val="18"/>
          <w:szCs w:val="18"/>
        </w:rPr>
        <w:t xml:space="preserve">66016753, </w:t>
      </w:r>
      <w:hyperlink r:id="rId7" w:history="1">
        <w:r w:rsidRPr="0034020F">
          <w:rPr>
            <w:rStyle w:val="Hyperlink"/>
            <w:sz w:val="18"/>
            <w:szCs w:val="18"/>
          </w:rPr>
          <w:t>Linda.Lama@varam.gov.lv</w:t>
        </w:r>
      </w:hyperlink>
      <w:r w:rsidRPr="0034020F">
        <w:rPr>
          <w:sz w:val="18"/>
          <w:szCs w:val="18"/>
        </w:rPr>
        <w:t xml:space="preserve"> </w:t>
      </w:r>
    </w:p>
    <w:p w:rsidR="00CD52B6" w:rsidRDefault="00CD52B6"/>
    <w:sectPr w:rsidR="00CD52B6" w:rsidSect="0034020F">
      <w:headerReference w:type="default" r:id="rId8"/>
      <w:footerReference w:type="default" r:id="rId9"/>
      <w:footerReference w:type="first" r:id="rId10"/>
      <w:pgSz w:w="11907" w:h="16839" w:code="9"/>
      <w:pgMar w:top="1418"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E5" w:rsidRDefault="00CD06E5">
      <w:r>
        <w:separator/>
      </w:r>
    </w:p>
  </w:endnote>
  <w:endnote w:type="continuationSeparator" w:id="0">
    <w:p w:rsidR="00CD06E5" w:rsidRDefault="00C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75" w:rsidRPr="00691B6B" w:rsidRDefault="00940ABA" w:rsidP="00691B6B">
    <w:pPr>
      <w:pStyle w:val="naislab"/>
      <w:jc w:val="both"/>
      <w:rPr>
        <w:sz w:val="18"/>
        <w:szCs w:val="18"/>
      </w:rPr>
    </w:pPr>
    <w:r w:rsidRPr="00691B6B">
      <w:rPr>
        <w:sz w:val="18"/>
        <w:szCs w:val="18"/>
      </w:rPr>
      <w:fldChar w:fldCharType="begin"/>
    </w:r>
    <w:r w:rsidRPr="00691B6B">
      <w:rPr>
        <w:sz w:val="18"/>
        <w:szCs w:val="18"/>
      </w:rPr>
      <w:instrText xml:space="preserve"> FILENAME </w:instrText>
    </w:r>
    <w:r w:rsidRPr="00691B6B">
      <w:rPr>
        <w:sz w:val="18"/>
        <w:szCs w:val="18"/>
      </w:rPr>
      <w:fldChar w:fldCharType="separate"/>
    </w:r>
    <w:r>
      <w:rPr>
        <w:noProof/>
        <w:sz w:val="18"/>
        <w:szCs w:val="18"/>
      </w:rPr>
      <w:t>VARAMAnot_110412_groz843</w:t>
    </w:r>
    <w:r w:rsidRPr="00691B6B">
      <w:rPr>
        <w:sz w:val="18"/>
        <w:szCs w:val="18"/>
      </w:rPr>
      <w:fldChar w:fldCharType="end"/>
    </w:r>
    <w:r w:rsidRPr="00691B6B">
      <w:rPr>
        <w:sz w:val="18"/>
        <w:szCs w:val="18"/>
      </w:rPr>
      <w:t>; Grozījumu Ministru kabineta 2010.gada 14.septembra noteikumos Nr.843 „</w:t>
    </w:r>
    <w:r w:rsidRPr="00691B6B">
      <w:rPr>
        <w:bCs/>
        <w:sz w:val="18"/>
        <w:szCs w:val="18"/>
      </w:rPr>
      <w:t>Noteikumi par darbības programmas "Infrastruktūra un pakalpojumi" papildinājuma 3.6.2.1.aktivitāti "Atbalsts novadu pašvaldību kompleksai attīstībai</w:t>
    </w:r>
    <w:r w:rsidRPr="00691B6B">
      <w:rPr>
        <w:sz w:val="18"/>
        <w:szCs w:val="18"/>
      </w:rPr>
      <w:t>”” sākotnējās ietekmes novērtējuma ziņojums (anotācija)</w:t>
    </w:r>
  </w:p>
  <w:p w:rsidR="00C22775" w:rsidRPr="00691B6B" w:rsidRDefault="00CD06E5" w:rsidP="00B04A1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75" w:rsidRPr="00691B6B" w:rsidRDefault="00940ABA" w:rsidP="00B04A14">
    <w:pPr>
      <w:pStyle w:val="naislab"/>
      <w:jc w:val="both"/>
      <w:rPr>
        <w:sz w:val="18"/>
        <w:szCs w:val="18"/>
      </w:rPr>
    </w:pPr>
    <w:r w:rsidRPr="00691B6B">
      <w:rPr>
        <w:sz w:val="18"/>
        <w:szCs w:val="18"/>
      </w:rPr>
      <w:fldChar w:fldCharType="begin"/>
    </w:r>
    <w:r w:rsidRPr="00691B6B">
      <w:rPr>
        <w:sz w:val="18"/>
        <w:szCs w:val="18"/>
      </w:rPr>
      <w:instrText xml:space="preserve"> FILENAME </w:instrText>
    </w:r>
    <w:r w:rsidRPr="00691B6B">
      <w:rPr>
        <w:sz w:val="18"/>
        <w:szCs w:val="18"/>
      </w:rPr>
      <w:fldChar w:fldCharType="separate"/>
    </w:r>
    <w:r>
      <w:rPr>
        <w:noProof/>
        <w:sz w:val="18"/>
        <w:szCs w:val="18"/>
      </w:rPr>
      <w:t>VARAMAnot_110412_groz843</w:t>
    </w:r>
    <w:r w:rsidRPr="00691B6B">
      <w:rPr>
        <w:sz w:val="18"/>
        <w:szCs w:val="18"/>
      </w:rPr>
      <w:fldChar w:fldCharType="end"/>
    </w:r>
    <w:r w:rsidRPr="00691B6B">
      <w:rPr>
        <w:sz w:val="18"/>
        <w:szCs w:val="18"/>
      </w:rPr>
      <w:t>; Grozījumu Ministru kabineta 2010.gada 14.septembra noteikumos Nr.843 „</w:t>
    </w:r>
    <w:r w:rsidRPr="00691B6B">
      <w:rPr>
        <w:bCs/>
        <w:sz w:val="18"/>
        <w:szCs w:val="18"/>
      </w:rPr>
      <w:t>Noteikumi par darbības programmas "Infrastruktūra un pakalpojumi" papildinājuma 3.6.2.1.aktivitāti "Atbalsts novadu pašvaldību kompleksai attīstībai</w:t>
    </w:r>
    <w:r w:rsidRPr="00691B6B">
      <w:rPr>
        <w:sz w:val="18"/>
        <w:szCs w:val="18"/>
      </w:rPr>
      <w:t>”” sākotnējās ietekmes novērtējuma ziņojums (anotācija)</w:t>
    </w:r>
  </w:p>
  <w:p w:rsidR="00C22775" w:rsidRPr="00B04A14" w:rsidRDefault="00CD06E5" w:rsidP="00B04A14">
    <w:pPr>
      <w:pStyle w:val="Heading3"/>
      <w:spacing w:before="0" w:after="0"/>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E5" w:rsidRDefault="00CD06E5">
      <w:r>
        <w:separator/>
      </w:r>
    </w:p>
  </w:footnote>
  <w:footnote w:type="continuationSeparator" w:id="0">
    <w:p w:rsidR="00CD06E5" w:rsidRDefault="00CD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75" w:rsidRDefault="00940ABA">
    <w:pPr>
      <w:pStyle w:val="Header"/>
      <w:jc w:val="center"/>
    </w:pPr>
    <w:r>
      <w:fldChar w:fldCharType="begin"/>
    </w:r>
    <w:r>
      <w:instrText xml:space="preserve"> PAGE   \* MERGEFORMAT </w:instrText>
    </w:r>
    <w:r>
      <w:fldChar w:fldCharType="separate"/>
    </w:r>
    <w:r w:rsidR="00A02BBF">
      <w:rPr>
        <w:noProof/>
      </w:rPr>
      <w:t>7</w:t>
    </w:r>
    <w:r>
      <w:fldChar w:fldCharType="end"/>
    </w:r>
  </w:p>
  <w:p w:rsidR="00C22775" w:rsidRDefault="00CD0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0ABA"/>
    <w:rsid w:val="00940ABA"/>
    <w:rsid w:val="00A02BBF"/>
    <w:rsid w:val="00CD06E5"/>
    <w:rsid w:val="00CD5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B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940AB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0ABA"/>
    <w:rPr>
      <w:rFonts w:ascii="Arial" w:eastAsia="Times New Roman" w:hAnsi="Arial" w:cs="Arial"/>
      <w:b/>
      <w:bCs/>
      <w:sz w:val="26"/>
      <w:szCs w:val="26"/>
    </w:rPr>
  </w:style>
  <w:style w:type="paragraph" w:customStyle="1" w:styleId="naisf">
    <w:name w:val="naisf"/>
    <w:basedOn w:val="Normal"/>
    <w:rsid w:val="00940ABA"/>
    <w:pPr>
      <w:spacing w:before="75" w:after="75"/>
      <w:ind w:firstLine="375"/>
      <w:jc w:val="both"/>
    </w:pPr>
  </w:style>
  <w:style w:type="paragraph" w:customStyle="1" w:styleId="naislab">
    <w:name w:val="naislab"/>
    <w:basedOn w:val="Normal"/>
    <w:rsid w:val="00940ABA"/>
    <w:pPr>
      <w:spacing w:before="75" w:after="75"/>
      <w:jc w:val="right"/>
    </w:pPr>
  </w:style>
  <w:style w:type="character" w:styleId="Hyperlink">
    <w:name w:val="Hyperlink"/>
    <w:basedOn w:val="DefaultParagraphFont"/>
    <w:unhideWhenUsed/>
    <w:rsid w:val="00940ABA"/>
    <w:rPr>
      <w:color w:val="0000FF"/>
      <w:u w:val="single"/>
    </w:rPr>
  </w:style>
  <w:style w:type="paragraph" w:styleId="Header">
    <w:name w:val="header"/>
    <w:basedOn w:val="Normal"/>
    <w:link w:val="HeaderChar"/>
    <w:uiPriority w:val="99"/>
    <w:unhideWhenUsed/>
    <w:rsid w:val="00940ABA"/>
    <w:pPr>
      <w:tabs>
        <w:tab w:val="center" w:pos="4320"/>
        <w:tab w:val="right" w:pos="8640"/>
      </w:tabs>
    </w:pPr>
  </w:style>
  <w:style w:type="character" w:customStyle="1" w:styleId="HeaderChar">
    <w:name w:val="Header Char"/>
    <w:basedOn w:val="DefaultParagraphFont"/>
    <w:link w:val="Header"/>
    <w:uiPriority w:val="99"/>
    <w:rsid w:val="00940ABA"/>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940ABA"/>
    <w:pPr>
      <w:tabs>
        <w:tab w:val="center" w:pos="4320"/>
        <w:tab w:val="right" w:pos="8640"/>
      </w:tabs>
    </w:pPr>
  </w:style>
  <w:style w:type="character" w:customStyle="1" w:styleId="FooterChar">
    <w:name w:val="Footer Char"/>
    <w:basedOn w:val="DefaultParagraphFont"/>
    <w:link w:val="Footer"/>
    <w:uiPriority w:val="99"/>
    <w:semiHidden/>
    <w:rsid w:val="00940ABA"/>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940ABA"/>
    <w:pPr>
      <w:spacing w:after="120"/>
      <w:ind w:left="283"/>
    </w:pPr>
    <w:rPr>
      <w:sz w:val="16"/>
      <w:szCs w:val="16"/>
      <w:lang w:val="en-US"/>
    </w:rPr>
  </w:style>
  <w:style w:type="character" w:customStyle="1" w:styleId="BodyTextIndent3Char">
    <w:name w:val="Body Text Indent 3 Char"/>
    <w:basedOn w:val="DefaultParagraphFont"/>
    <w:link w:val="BodyTextIndent3"/>
    <w:rsid w:val="00940ABA"/>
    <w:rPr>
      <w:rFonts w:ascii="Times New Roman" w:eastAsia="Times New Roman" w:hAnsi="Times New Roman" w:cs="Times New Roman"/>
      <w:sz w:val="16"/>
      <w:szCs w:val="16"/>
      <w:lang w:val="en-US" w:eastAsia="lv-LV"/>
    </w:rPr>
  </w:style>
  <w:style w:type="paragraph" w:styleId="BodyTextIndent">
    <w:name w:val="Body Text Indent"/>
    <w:basedOn w:val="Normal"/>
    <w:link w:val="BodyTextIndentChar"/>
    <w:rsid w:val="00940ABA"/>
    <w:pPr>
      <w:spacing w:after="120"/>
      <w:ind w:left="283"/>
    </w:pPr>
  </w:style>
  <w:style w:type="character" w:customStyle="1" w:styleId="BodyTextIndentChar">
    <w:name w:val="Body Text Indent Char"/>
    <w:basedOn w:val="DefaultParagraphFont"/>
    <w:link w:val="BodyTextIndent"/>
    <w:rsid w:val="00940ABA"/>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940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Lama@vara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11798</Words>
  <Characters>6726</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Marika Pudāne</cp:lastModifiedBy>
  <cp:revision>2</cp:revision>
  <dcterms:created xsi:type="dcterms:W3CDTF">2012-05-02T08:59:00Z</dcterms:created>
  <dcterms:modified xsi:type="dcterms:W3CDTF">2012-05-02T09:06:00Z</dcterms:modified>
</cp:coreProperties>
</file>