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CE646D" w:rsidRDefault="00C91A09" w:rsidP="00AD3269">
      <w:pPr>
        <w:pStyle w:val="naislab"/>
        <w:spacing w:before="0" w:after="0"/>
        <w:jc w:val="center"/>
        <w:outlineLvl w:val="0"/>
        <w:rPr>
          <w:b/>
        </w:rPr>
      </w:pPr>
      <w:bookmarkStart w:id="0" w:name="OLE_LINK1"/>
      <w:bookmarkStart w:id="1" w:name="OLE_LINK2"/>
      <w:bookmarkStart w:id="2" w:name="OLE_LINK3"/>
      <w:bookmarkStart w:id="3" w:name="OLE_LINK4"/>
      <w:bookmarkStart w:id="4" w:name="OLE_LINK5"/>
      <w:r w:rsidRPr="00CE646D">
        <w:rPr>
          <w:b/>
          <w:bCs/>
        </w:rPr>
        <w:t>Ministru kabineta noteikumu projekta „</w:t>
      </w:r>
      <w:r w:rsidR="001D6579" w:rsidRPr="00CE646D">
        <w:rPr>
          <w:b/>
        </w:rPr>
        <w:t>Grozījumi Ministru kabine</w:t>
      </w:r>
      <w:r w:rsidR="00744474">
        <w:rPr>
          <w:b/>
        </w:rPr>
        <w:t>ta 2010</w:t>
      </w:r>
      <w:r w:rsidR="00F33720" w:rsidRPr="00CE646D">
        <w:rPr>
          <w:b/>
        </w:rPr>
        <w:t>.</w:t>
      </w:r>
      <w:r w:rsidR="00744474">
        <w:rPr>
          <w:b/>
        </w:rPr>
        <w:t xml:space="preserve"> gada 10. augusta noteikumos Nr.76</w:t>
      </w:r>
      <w:r w:rsidR="001D6579" w:rsidRPr="00CE646D">
        <w:rPr>
          <w:b/>
        </w:rPr>
        <w:t>6 „Noteikumi par darbības programmas „Infrastruktūra un pakalpojumi” papildi</w:t>
      </w:r>
      <w:r w:rsidR="00F33720" w:rsidRPr="00CE646D">
        <w:rPr>
          <w:b/>
        </w:rPr>
        <w:t>nājuma 3.2.2.1.1.apakšaktivitātes</w:t>
      </w:r>
      <w:r w:rsidR="001D6579" w:rsidRPr="00CE646D">
        <w:rPr>
          <w:b/>
        </w:rPr>
        <w:t xml:space="preserve"> „Informācijas sistēmu un elektronisko pakalpojumu attīstība” projektu iesniegumu atlases </w:t>
      </w:r>
      <w:r w:rsidR="00744474">
        <w:rPr>
          <w:b/>
        </w:rPr>
        <w:t xml:space="preserve">otro </w:t>
      </w:r>
      <w:r w:rsidR="003A499F">
        <w:rPr>
          <w:b/>
        </w:rPr>
        <w:t xml:space="preserve">un trešo </w:t>
      </w:r>
      <w:r w:rsidR="001D6579" w:rsidRPr="00CE646D">
        <w:rPr>
          <w:b/>
        </w:rPr>
        <w:t>kārtu”</w:t>
      </w:r>
      <w:r w:rsidRPr="00CE646D">
        <w:rPr>
          <w:b/>
          <w:bCs/>
        </w:rPr>
        <w:t>”</w:t>
      </w:r>
      <w:r w:rsidR="00D9753A" w:rsidRPr="00CE646D">
        <w:rPr>
          <w:b/>
          <w:bCs/>
        </w:rPr>
        <w:t xml:space="preserve"> </w:t>
      </w:r>
      <w:r w:rsidR="00852042" w:rsidRPr="00CE646D">
        <w:rPr>
          <w:b/>
        </w:rPr>
        <w:t>sākotnējā</w:t>
      </w:r>
      <w:r w:rsidR="002D3306" w:rsidRPr="00CE646D">
        <w:rPr>
          <w:b/>
        </w:rPr>
        <w:t>s</w:t>
      </w:r>
      <w:r w:rsidR="00852042" w:rsidRPr="00CE646D">
        <w:rPr>
          <w:b/>
        </w:rPr>
        <w:t xml:space="preserve"> ietekmes novērtējuma </w:t>
      </w:r>
      <w:smartTag w:uri="schemas-tilde-lv/tildestengine" w:element="veidnes">
        <w:smartTagPr>
          <w:attr w:name="id" w:val="-1"/>
          <w:attr w:name="baseform" w:val="ziņojums"/>
          <w:attr w:name="text" w:val="ziņojums"/>
        </w:smartTagPr>
        <w:r w:rsidR="00852042" w:rsidRPr="00CE646D">
          <w:rPr>
            <w:b/>
          </w:rPr>
          <w:t>ziņojums</w:t>
        </w:r>
      </w:smartTag>
      <w:r w:rsidR="00852042" w:rsidRPr="00CE646D">
        <w:rPr>
          <w:b/>
        </w:rPr>
        <w:t xml:space="preserve">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852042" w:rsidRPr="00CE646D">
        <w:tc>
          <w:tcPr>
            <w:tcW w:w="9725" w:type="dxa"/>
            <w:gridSpan w:val="3"/>
            <w:vAlign w:val="center"/>
          </w:tcPr>
          <w:bookmarkEnd w:id="2"/>
          <w:bookmarkEnd w:id="3"/>
          <w:bookmarkEnd w:id="4"/>
          <w:p w:rsidR="00852042" w:rsidRPr="00CE646D" w:rsidRDefault="00852042" w:rsidP="006C4607">
            <w:pPr>
              <w:pStyle w:val="naisnod"/>
              <w:spacing w:before="0" w:after="0"/>
            </w:pPr>
            <w:r w:rsidRPr="00CE646D">
              <w:t>I</w:t>
            </w:r>
            <w:r w:rsidR="000941C5" w:rsidRPr="00CE646D">
              <w:t>.</w:t>
            </w:r>
            <w:r w:rsidRPr="00CE646D">
              <w:t xml:space="preserve"> Tiesību akta </w:t>
            </w:r>
            <w:r w:rsidR="002E3FF4" w:rsidRPr="00CE646D">
              <w:t xml:space="preserve">projekta </w:t>
            </w:r>
            <w:r w:rsidRPr="00CE646D">
              <w:t>izstrādes nepieciešamība</w:t>
            </w:r>
          </w:p>
        </w:tc>
      </w:tr>
      <w:tr w:rsidR="00262E2B" w:rsidRPr="00CE646D" w:rsidTr="00C91A09">
        <w:trPr>
          <w:trHeight w:val="630"/>
        </w:trPr>
        <w:tc>
          <w:tcPr>
            <w:tcW w:w="550" w:type="dxa"/>
          </w:tcPr>
          <w:p w:rsidR="00262E2B" w:rsidRPr="00CE646D" w:rsidRDefault="00262E2B" w:rsidP="006C4607">
            <w:pPr>
              <w:pStyle w:val="naiskr"/>
              <w:spacing w:before="0" w:after="0"/>
            </w:pPr>
            <w:r w:rsidRPr="00CE646D">
              <w:t>1.</w:t>
            </w:r>
          </w:p>
        </w:tc>
        <w:tc>
          <w:tcPr>
            <w:tcW w:w="4133" w:type="dxa"/>
          </w:tcPr>
          <w:p w:rsidR="00262E2B" w:rsidRPr="00CE646D" w:rsidRDefault="002D7F54" w:rsidP="006C4607">
            <w:pPr>
              <w:pStyle w:val="naiskr"/>
              <w:spacing w:before="0" w:after="0"/>
              <w:ind w:hanging="10"/>
            </w:pPr>
            <w:r w:rsidRPr="00CE646D">
              <w:t>Pamatojums</w:t>
            </w:r>
          </w:p>
        </w:tc>
        <w:tc>
          <w:tcPr>
            <w:tcW w:w="5042" w:type="dxa"/>
          </w:tcPr>
          <w:p w:rsidR="002E3D78" w:rsidRPr="006B2667" w:rsidRDefault="006B2667" w:rsidP="009F0B5B">
            <w:pPr>
              <w:jc w:val="both"/>
            </w:pPr>
            <w:r w:rsidRPr="006B2667">
              <w:t xml:space="preserve">Ministru kabineta </w:t>
            </w:r>
            <w:r w:rsidR="00C74F5B" w:rsidRPr="006B2667">
              <w:t>2012. gada</w:t>
            </w:r>
            <w:r w:rsidRPr="006B2667">
              <w:t xml:space="preserve"> 9. oktobra </w:t>
            </w:r>
            <w:r>
              <w:t>protokola</w:t>
            </w:r>
            <w:r w:rsidRPr="006B2667">
              <w:t xml:space="preserve"> Nr. 56 </w:t>
            </w:r>
            <w:bookmarkStart w:id="5" w:name="32"/>
            <w:r w:rsidRPr="006B2667">
              <w:rPr>
                <w:bCs/>
              </w:rPr>
              <w:t>32</w:t>
            </w:r>
            <w:bookmarkEnd w:id="5"/>
            <w:r w:rsidRPr="006B2667">
              <w:rPr>
                <w:bCs/>
              </w:rPr>
              <w:t xml:space="preserve">.§ </w:t>
            </w:r>
            <w:r w:rsidR="002763E5" w:rsidRPr="00F66A65">
              <w:rPr>
                <w:bCs/>
              </w:rPr>
              <w:t>„</w:t>
            </w:r>
            <w:r w:rsidR="002763E5" w:rsidRPr="00F66A65">
              <w:t xml:space="preserve">Informatīvais ziņojums „Par 3.2.2.1.1. </w:t>
            </w:r>
            <w:proofErr w:type="spellStart"/>
            <w:r w:rsidR="002763E5" w:rsidRPr="00F66A65">
              <w:t>apakšaktivitātes</w:t>
            </w:r>
            <w:proofErr w:type="spellEnd"/>
            <w:r w:rsidR="002763E5" w:rsidRPr="00F66A65">
              <w:t xml:space="preserve"> „Informācijas sistēmu un elektronisko pakalpojumu attīstība” tiesiskā regulējuma pilnveidošanu””</w:t>
            </w:r>
            <w:r w:rsidR="002763E5">
              <w:rPr>
                <w:b/>
              </w:rPr>
              <w:t xml:space="preserve"> </w:t>
            </w:r>
            <w:r w:rsidRPr="006B2667">
              <w:rPr>
                <w:bCs/>
              </w:rPr>
              <w:t>2.punkts</w:t>
            </w:r>
            <w:r w:rsidR="00744474">
              <w:rPr>
                <w:bCs/>
              </w:rPr>
              <w:t>.</w:t>
            </w:r>
          </w:p>
        </w:tc>
      </w:tr>
      <w:tr w:rsidR="00262E2B" w:rsidRPr="00CE646D" w:rsidTr="00C91A09">
        <w:trPr>
          <w:trHeight w:val="472"/>
        </w:trPr>
        <w:tc>
          <w:tcPr>
            <w:tcW w:w="550" w:type="dxa"/>
          </w:tcPr>
          <w:p w:rsidR="00262E2B" w:rsidRPr="00CE646D" w:rsidRDefault="00262E2B" w:rsidP="006C4607">
            <w:pPr>
              <w:pStyle w:val="naiskr"/>
              <w:spacing w:before="0" w:after="0"/>
            </w:pPr>
            <w:r w:rsidRPr="00CE646D">
              <w:t>2.</w:t>
            </w:r>
          </w:p>
        </w:tc>
        <w:tc>
          <w:tcPr>
            <w:tcW w:w="4133" w:type="dxa"/>
          </w:tcPr>
          <w:p w:rsidR="00262E2B" w:rsidRPr="00CE646D" w:rsidRDefault="00262E2B" w:rsidP="006C4607">
            <w:pPr>
              <w:pStyle w:val="naiskr"/>
              <w:tabs>
                <w:tab w:val="left" w:pos="170"/>
              </w:tabs>
              <w:spacing w:before="0" w:after="0"/>
            </w:pPr>
            <w:r w:rsidRPr="00CE646D">
              <w:t>Pašreizējā situācija</w:t>
            </w:r>
            <w:r w:rsidR="001F5CD6" w:rsidRPr="00CE646D">
              <w:t xml:space="preserve"> un problēmas</w:t>
            </w:r>
          </w:p>
        </w:tc>
        <w:tc>
          <w:tcPr>
            <w:tcW w:w="5042" w:type="dxa"/>
          </w:tcPr>
          <w:p w:rsidR="009F7E48" w:rsidRPr="009F7E48" w:rsidRDefault="009F7E48" w:rsidP="009F7E48">
            <w:pPr>
              <w:pStyle w:val="ListParagraph"/>
              <w:numPr>
                <w:ilvl w:val="0"/>
                <w:numId w:val="17"/>
              </w:numPr>
              <w:ind w:left="0" w:firstLine="360"/>
              <w:jc w:val="both"/>
              <w:rPr>
                <w:rFonts w:eastAsia="Calibri"/>
              </w:rPr>
            </w:pPr>
            <w:r>
              <w:rPr>
                <w:rFonts w:eastAsia="Calibri"/>
                <w:iCs/>
              </w:rPr>
              <w:t>Ministru kabineta 2010. gada 10. augusta noteikumu Nr.</w:t>
            </w:r>
            <w:r>
              <w:rPr>
                <w:rFonts w:eastAsia="Calibri"/>
              </w:rPr>
              <w:t> </w:t>
            </w:r>
            <w:r w:rsidRPr="007C0F4A">
              <w:rPr>
                <w:rFonts w:eastAsia="Calibri"/>
                <w:iCs/>
              </w:rPr>
              <w:t>766</w:t>
            </w:r>
            <w:r>
              <w:rPr>
                <w:rFonts w:eastAsia="Calibri"/>
                <w:iCs/>
              </w:rPr>
              <w:t xml:space="preserve"> „Noteikumi par darbības programmas „Infrastruktūra un pakalpojumi” papildinājuma 3.2.2.1.1. </w:t>
            </w:r>
            <w:proofErr w:type="spellStart"/>
            <w:r>
              <w:rPr>
                <w:rFonts w:eastAsia="Calibri"/>
                <w:iCs/>
              </w:rPr>
              <w:t>apakšaktivitātes</w:t>
            </w:r>
            <w:proofErr w:type="spellEnd"/>
            <w:r>
              <w:rPr>
                <w:rFonts w:eastAsia="Calibri"/>
                <w:iCs/>
              </w:rPr>
              <w:t xml:space="preserve"> „Informācijas sistēmu un elektronisko pakalpojumu attīstība” projektu iesniegumu atlases otro </w:t>
            </w:r>
            <w:r w:rsidR="00A57675">
              <w:rPr>
                <w:rFonts w:eastAsia="Calibri"/>
                <w:iCs/>
              </w:rPr>
              <w:t xml:space="preserve">un </w:t>
            </w:r>
            <w:r w:rsidR="00A57675" w:rsidRPr="006D2332">
              <w:rPr>
                <w:rFonts w:eastAsia="Calibri"/>
                <w:iCs/>
              </w:rPr>
              <w:t>trešo</w:t>
            </w:r>
            <w:r w:rsidR="00A57675">
              <w:rPr>
                <w:rFonts w:eastAsia="Calibri"/>
                <w:iCs/>
              </w:rPr>
              <w:t xml:space="preserve"> </w:t>
            </w:r>
            <w:r>
              <w:rPr>
                <w:rFonts w:eastAsia="Calibri"/>
                <w:iCs/>
              </w:rPr>
              <w:t xml:space="preserve">kārtu” (turpmāk – Noteikumi Nr. 766) </w:t>
            </w:r>
            <w:r w:rsidRPr="009F7E48">
              <w:rPr>
                <w:rFonts w:eastAsia="Calibri"/>
              </w:rPr>
              <w:t>9.12. apakšpunkts noteic, ka pirms noslēguma maksājuma pieprasījuma apstiprināšanas atbildīgā iestāde veic pārbaudi projekta īstenošanas vietā, nodrošinot tehniskā satura novērtējuma un funkcionalitātes pārbaudi.</w:t>
            </w:r>
          </w:p>
          <w:p w:rsidR="009F7E48" w:rsidRDefault="009F7E48" w:rsidP="009F7E48">
            <w:pPr>
              <w:ind w:firstLine="720"/>
              <w:jc w:val="both"/>
              <w:rPr>
                <w:rStyle w:val="flexinput2"/>
                <w:rFonts w:eastAsia="Calibri"/>
              </w:rPr>
            </w:pPr>
            <w:r w:rsidRPr="009F7E48">
              <w:rPr>
                <w:rStyle w:val="ms-rtecustom-rakstavirsraksts1"/>
                <w:rFonts w:ascii="Times New Roman" w:hAnsi="Times New Roman" w:cs="Times New Roman"/>
                <w:b w:val="0"/>
                <w:color w:val="auto"/>
              </w:rPr>
              <w:t xml:space="preserve">Biedrība </w:t>
            </w:r>
            <w:r>
              <w:rPr>
                <w:rStyle w:val="ms-rtecustom-rakstavirsraksts1"/>
                <w:rFonts w:ascii="Times New Roman" w:hAnsi="Times New Roman" w:cs="Times New Roman"/>
                <w:b w:val="0"/>
                <w:color w:val="auto"/>
              </w:rPr>
              <w:t>„</w:t>
            </w:r>
            <w:r w:rsidRPr="009F7E48">
              <w:rPr>
                <w:rStyle w:val="ms-rtecustom-rakstavirsraksts1"/>
                <w:rFonts w:ascii="Times New Roman" w:hAnsi="Times New Roman" w:cs="Times New Roman"/>
                <w:b w:val="0"/>
                <w:color w:val="auto"/>
              </w:rPr>
              <w:t xml:space="preserve">Latvijas Informācijas un komunikācijas tehnoloģijas asociācija” (turpmāk – </w:t>
            </w:r>
            <w:r w:rsidRPr="009F7E48">
              <w:rPr>
                <w:rFonts w:eastAsia="Calibri"/>
              </w:rPr>
              <w:t xml:space="preserve">LIKTA) ir norādījusi, ka nav saprotams </w:t>
            </w:r>
            <w:r w:rsidRPr="009F7E48">
              <w:rPr>
                <w:rStyle w:val="flexinput2"/>
                <w:rFonts w:eastAsia="Calibri"/>
              </w:rPr>
              <w:t>termina „tehniskā satura novērtējums” saturs un līdz ar to nav skaidrs pārbaudes priekšmets.</w:t>
            </w:r>
          </w:p>
          <w:p w:rsidR="009F7E48" w:rsidRDefault="009F7E48" w:rsidP="009F7E48">
            <w:pPr>
              <w:ind w:firstLine="720"/>
              <w:jc w:val="both"/>
              <w:rPr>
                <w:rStyle w:val="flexinput2"/>
                <w:rFonts w:eastAsia="Calibri"/>
              </w:rPr>
            </w:pPr>
          </w:p>
          <w:p w:rsidR="009F7E48" w:rsidRPr="00E63586" w:rsidRDefault="009F7E48" w:rsidP="009F7E48">
            <w:pPr>
              <w:jc w:val="both"/>
              <w:rPr>
                <w:rFonts w:eastAsia="Calibri"/>
              </w:rPr>
            </w:pPr>
            <w:r>
              <w:t>-</w:t>
            </w:r>
            <w:r w:rsidRPr="00E63586">
              <w:rPr>
                <w:rFonts w:eastAsia="Calibri"/>
              </w:rPr>
              <w:t xml:space="preserve"> </w:t>
            </w:r>
            <w:r>
              <w:rPr>
                <w:rFonts w:eastAsia="Calibri"/>
              </w:rPr>
              <w:t>N</w:t>
            </w:r>
            <w:r w:rsidRPr="00E63586">
              <w:rPr>
                <w:rFonts w:eastAsia="Calibri"/>
              </w:rPr>
              <w:t>oteikumu Nr. 766 18.</w:t>
            </w:r>
            <w:r w:rsidRPr="00E63586">
              <w:rPr>
                <w:rFonts w:eastAsia="Calibri"/>
                <w:vertAlign w:val="superscript"/>
              </w:rPr>
              <w:t>1</w:t>
            </w:r>
            <w:r w:rsidRPr="00E63586">
              <w:rPr>
                <w:rFonts w:eastAsia="Calibri"/>
              </w:rPr>
              <w:t xml:space="preserve"> punkts noteic, ja samaksu par pakalpojumiem veic, piemērojot cilvēkstundas likmi, attiecīgo pakalpojumu izmaksas nepārsniedz piecus procentus no projekta kopējām tiešajām attiecināmajām izmaksām.</w:t>
            </w:r>
          </w:p>
          <w:p w:rsidR="003A499F" w:rsidRPr="00F66A65" w:rsidRDefault="003A499F" w:rsidP="003A499F">
            <w:pPr>
              <w:jc w:val="both"/>
              <w:rPr>
                <w:rStyle w:val="spelle"/>
                <w:rFonts w:eastAsia="Calibri"/>
              </w:rPr>
            </w:pPr>
            <w:r w:rsidRPr="00F66A65">
              <w:rPr>
                <w:rStyle w:val="spelle"/>
                <w:rFonts w:eastAsia="Calibri"/>
              </w:rPr>
              <w:t>Informācijas tehnoloģiju projektos ne visas prasības ir uzreiz nosakāmas vai tās var tikt grozītas. Proti, uzsākot programmatūras izstrādi, var tik</w:t>
            </w:r>
            <w:r w:rsidR="00D01131" w:rsidRPr="00F66A65">
              <w:rPr>
                <w:rStyle w:val="spelle"/>
                <w:rFonts w:eastAsia="Calibri"/>
              </w:rPr>
              <w:t>t grozīti normatīvie akti, kuri</w:t>
            </w:r>
            <w:r w:rsidRPr="00F66A65">
              <w:rPr>
                <w:rStyle w:val="spelle"/>
                <w:rFonts w:eastAsia="Calibri"/>
              </w:rPr>
              <w:t xml:space="preserve"> </w:t>
            </w:r>
            <w:r w:rsidR="00D01131" w:rsidRPr="00F66A65">
              <w:rPr>
                <w:rStyle w:val="spelle"/>
                <w:rFonts w:eastAsia="Calibri"/>
              </w:rPr>
              <w:t>ir saistīti ar informācijas sistēmu</w:t>
            </w:r>
            <w:r w:rsidRPr="00F66A65">
              <w:rPr>
                <w:rStyle w:val="spelle"/>
                <w:rFonts w:eastAsia="Calibri"/>
              </w:rPr>
              <w:t xml:space="preserve"> vai tiek identificēti kļūdaini lēmumi prasību definēšanas fāzē. </w:t>
            </w:r>
            <w:r w:rsidR="00D01131" w:rsidRPr="00F66A65">
              <w:rPr>
                <w:rStyle w:val="spelle"/>
                <w:rFonts w:eastAsia="Calibri"/>
              </w:rPr>
              <w:t>Š</w:t>
            </w:r>
            <w:r w:rsidRPr="00F66A65">
              <w:rPr>
                <w:rStyle w:val="spelle"/>
                <w:rFonts w:eastAsia="Calibri"/>
              </w:rPr>
              <w:t xml:space="preserve">ādos gadījumos tiek izmantoti izmaiņu pieprasījumi, kurus definē kā cilvēkstundu skaitu. Pasaulē pieņemtā prakse liecina, ka šādu izmaiņu pieprasījumu apjoms sastāda 20 - 25 % no projekta kopējās cenas. </w:t>
            </w:r>
            <w:r w:rsidRPr="00F66A65">
              <w:rPr>
                <w:rFonts w:eastAsia="Calibri"/>
              </w:rPr>
              <w:t xml:space="preserve">Līdz ar to, </w:t>
            </w:r>
            <w:r w:rsidRPr="00F66A65">
              <w:rPr>
                <w:rStyle w:val="spelle"/>
                <w:rFonts w:eastAsia="Calibri"/>
              </w:rPr>
              <w:t xml:space="preserve">lai nodrošinātu iespēju nepieciešamības gadījumā operatīvi veikt izmaiņas informācijas sistēmās (piemēram, normatīvo aktu izmaiņu gadījumā), samaksu par informācijas sistēmas programmatūras izstrādes </w:t>
            </w:r>
            <w:r w:rsidRPr="00F66A65">
              <w:rPr>
                <w:rStyle w:val="spelle"/>
                <w:rFonts w:eastAsia="Calibri"/>
              </w:rPr>
              <w:lastRenderedPageBreak/>
              <w:t xml:space="preserve">izmaiņām </w:t>
            </w:r>
            <w:r w:rsidR="00F66A65">
              <w:rPr>
                <w:rStyle w:val="spelle"/>
                <w:rFonts w:eastAsia="Calibri"/>
              </w:rPr>
              <w:t>ir jānoteic</w:t>
            </w:r>
            <w:r w:rsidRPr="00F66A65">
              <w:rPr>
                <w:rStyle w:val="spelle"/>
                <w:rFonts w:eastAsia="Calibri"/>
              </w:rPr>
              <w:t xml:space="preserve"> līdz 15 procentiem </w:t>
            </w:r>
            <w:r w:rsidRPr="00F66A65">
              <w:rPr>
                <w:rFonts w:eastAsia="Calibri"/>
              </w:rPr>
              <w:t>no projekta kopējām tiešajām attiecināmajām izmaksām līdzšinējo 5 procentu vietā.</w:t>
            </w:r>
          </w:p>
          <w:p w:rsidR="009F7E48" w:rsidRPr="009F7E48" w:rsidRDefault="009F7E48" w:rsidP="009F7E48">
            <w:pPr>
              <w:jc w:val="both"/>
              <w:rPr>
                <w:rFonts w:eastAsia="Calibri"/>
              </w:rPr>
            </w:pPr>
          </w:p>
          <w:p w:rsidR="00D17F44" w:rsidRPr="00D17F44" w:rsidRDefault="007C0F4A" w:rsidP="00D17F44">
            <w:pPr>
              <w:pStyle w:val="ListParagraph"/>
              <w:numPr>
                <w:ilvl w:val="0"/>
                <w:numId w:val="16"/>
              </w:numPr>
              <w:ind w:left="0" w:firstLine="360"/>
              <w:jc w:val="both"/>
              <w:rPr>
                <w:rFonts w:eastAsia="Calibri"/>
              </w:rPr>
            </w:pPr>
            <w:r w:rsidRPr="007C0F4A">
              <w:rPr>
                <w:rFonts w:eastAsia="Calibri"/>
                <w:iCs/>
              </w:rPr>
              <w:t xml:space="preserve">Ierobežojot sarunu procedūras </w:t>
            </w:r>
            <w:r w:rsidRPr="006D2332">
              <w:rPr>
                <w:rFonts w:eastAsia="Calibri"/>
                <w:b/>
                <w:iCs/>
              </w:rPr>
              <w:t xml:space="preserve">ar </w:t>
            </w:r>
            <w:r w:rsidR="00F66A65" w:rsidRPr="006D2332">
              <w:rPr>
                <w:rFonts w:eastAsia="Calibri"/>
                <w:b/>
                <w:iCs/>
              </w:rPr>
              <w:t>Noteikumu</w:t>
            </w:r>
            <w:r w:rsidR="009F7E48" w:rsidRPr="006D2332">
              <w:rPr>
                <w:rFonts w:eastAsia="Calibri"/>
                <w:b/>
                <w:iCs/>
              </w:rPr>
              <w:t xml:space="preserve"> Nr. 766</w:t>
            </w:r>
            <w:r w:rsidR="002763E5">
              <w:rPr>
                <w:rFonts w:eastAsia="Calibri"/>
                <w:iCs/>
              </w:rPr>
              <w:t xml:space="preserve"> </w:t>
            </w:r>
            <w:r w:rsidR="002763E5" w:rsidRPr="002763E5">
              <w:rPr>
                <w:rFonts w:eastAsia="Calibri"/>
                <w:b/>
                <w:iCs/>
              </w:rPr>
              <w:t>20.7. apakšpunkt</w:t>
            </w:r>
            <w:r w:rsidR="002E67E6">
              <w:rPr>
                <w:rFonts w:eastAsia="Calibri"/>
                <w:b/>
                <w:iCs/>
              </w:rPr>
              <w:t>u</w:t>
            </w:r>
            <w:r w:rsidRPr="007C0F4A">
              <w:rPr>
                <w:rFonts w:eastAsia="Calibri"/>
                <w:iCs/>
              </w:rPr>
              <w:t>, ir radītas Publisko iepirkumu likuma tiesisko regulējumu ierobežojošas Ministru kabineta noteikumu tiesību normas. VARAM uzskata, ka šādu ierobežojumu noteikšana Noteikum</w:t>
            </w:r>
            <w:r w:rsidRPr="003A499F">
              <w:rPr>
                <w:rFonts w:eastAsia="Calibri"/>
                <w:iCs/>
              </w:rPr>
              <w:t>o</w:t>
            </w:r>
            <w:r w:rsidRPr="007C0F4A">
              <w:rPr>
                <w:rFonts w:eastAsia="Calibri"/>
                <w:iCs/>
              </w:rPr>
              <w:t xml:space="preserve">s Nr. 766 nav pietiekami pamatota, jo atbilstoši Publisko iepirkumu likuma, kā arī Eiropas Savienības tiesību normām (piemēram, </w:t>
            </w:r>
            <w:r w:rsidRPr="007C0F4A">
              <w:rPr>
                <w:rFonts w:eastAsia="Calibri"/>
              </w:rPr>
              <w:t xml:space="preserve">Eiropas Parlamenta un Padomes 2004.gada 31.marta direktīva </w:t>
            </w:r>
            <w:hyperlink r:id="rId8" w:tgtFrame="_blank" w:tooltip="Atvērt direktīvas konsolidēto versiju" w:history="1">
              <w:r w:rsidRPr="00E6126D">
                <w:rPr>
                  <w:rStyle w:val="Hyperlink"/>
                  <w:rFonts w:eastAsia="Calibri"/>
                  <w:color w:val="auto"/>
                  <w:u w:val="none"/>
                </w:rPr>
                <w:t>2004/18/EK</w:t>
              </w:r>
            </w:hyperlink>
            <w:r w:rsidRPr="007C0F4A">
              <w:rPr>
                <w:rFonts w:eastAsia="Calibri"/>
              </w:rPr>
              <w:t xml:space="preserve"> par to, kā koordinēt būvdarbu valsts līgumu, piegādes valsts līgumu un pakalpojumu valsts līgumu slēgšanas tiesību piešķiršanas procedūru)</w:t>
            </w:r>
            <w:r w:rsidRPr="007C0F4A">
              <w:rPr>
                <w:rFonts w:eastAsia="Calibri"/>
                <w:iCs/>
              </w:rPr>
              <w:t xml:space="preserve"> sarunu procedūra ir viena no pieļaujamajām iepirkumu procedūrām, kuru pasūtītājs var izvēlēties piemērot Publisko iepirkumu likumā noteiktajos gadījumos. </w:t>
            </w:r>
          </w:p>
          <w:p w:rsidR="007C0F4A" w:rsidRPr="00D17F44" w:rsidRDefault="00D17F44" w:rsidP="00D17F44">
            <w:pPr>
              <w:ind w:firstLine="720"/>
              <w:jc w:val="both"/>
              <w:rPr>
                <w:rFonts w:eastAsia="Calibri"/>
                <w:b/>
              </w:rPr>
            </w:pPr>
            <w:r w:rsidRPr="00D17F44">
              <w:rPr>
                <w:rStyle w:val="spelle"/>
                <w:rFonts w:eastAsia="Calibri"/>
                <w:b/>
              </w:rPr>
              <w:t>Turklāt, pieņemot Ministru kabineta 2012. gada 10. janvāra noteikumus Nr. 51 „</w:t>
            </w:r>
            <w:r w:rsidRPr="00D17F44">
              <w:rPr>
                <w:b/>
                <w:bCs/>
              </w:rPr>
              <w:t xml:space="preserve">Grozījumi Ministru kabineta 2010.gada 10.augusta noteikumos Nr.766 </w:t>
            </w:r>
            <w:r>
              <w:rPr>
                <w:b/>
                <w:bCs/>
              </w:rPr>
              <w:t>„</w:t>
            </w:r>
            <w:hyperlink r:id="rId9" w:tgtFrame="_blank" w:history="1">
              <w:r w:rsidRPr="00D17F44">
                <w:rPr>
                  <w:rStyle w:val="Hyperlink"/>
                  <w:b/>
                  <w:bCs/>
                  <w:color w:val="auto"/>
                  <w:u w:val="none"/>
                </w:rPr>
                <w:t>Not</w:t>
              </w:r>
              <w:r>
                <w:rPr>
                  <w:rStyle w:val="Hyperlink"/>
                  <w:b/>
                  <w:bCs/>
                  <w:color w:val="auto"/>
                  <w:u w:val="none"/>
                </w:rPr>
                <w:t>eikumi par darbības programmas „Infrastruktūra un pakalpojumi”</w:t>
              </w:r>
              <w:r w:rsidRPr="00D17F44">
                <w:rPr>
                  <w:rStyle w:val="Hyperlink"/>
                  <w:b/>
                  <w:bCs/>
                  <w:color w:val="auto"/>
                  <w:u w:val="none"/>
                </w:rPr>
                <w:t xml:space="preserve"> papildināj</w:t>
              </w:r>
              <w:r>
                <w:rPr>
                  <w:rStyle w:val="Hyperlink"/>
                  <w:b/>
                  <w:bCs/>
                  <w:color w:val="auto"/>
                  <w:u w:val="none"/>
                </w:rPr>
                <w:t>uma 3.2.2.1.1.apakšaktivitātes „</w:t>
              </w:r>
              <w:r w:rsidRPr="00D17F44">
                <w:rPr>
                  <w:rStyle w:val="Hyperlink"/>
                  <w:b/>
                  <w:bCs/>
                  <w:color w:val="auto"/>
                  <w:u w:val="none"/>
                </w:rPr>
                <w:t>Informācijas sistēmu un ele</w:t>
              </w:r>
              <w:r>
                <w:rPr>
                  <w:rStyle w:val="Hyperlink"/>
                  <w:b/>
                  <w:bCs/>
                  <w:color w:val="auto"/>
                  <w:u w:val="none"/>
                </w:rPr>
                <w:t>ktronisko pakalpojumu attīstība”</w:t>
              </w:r>
              <w:r w:rsidRPr="00D17F44">
                <w:rPr>
                  <w:rStyle w:val="Hyperlink"/>
                  <w:b/>
                  <w:bCs/>
                  <w:color w:val="auto"/>
                  <w:u w:val="none"/>
                </w:rPr>
                <w:t xml:space="preserve"> projektu iesniegumu atlases otro kārtu</w:t>
              </w:r>
            </w:hyperlink>
            <w:r>
              <w:rPr>
                <w:b/>
                <w:bCs/>
              </w:rPr>
              <w:t>”</w:t>
            </w:r>
            <w:r w:rsidRPr="00D17F44">
              <w:rPr>
                <w:rFonts w:eastAsia="Calibri"/>
                <w:b/>
              </w:rPr>
              <w:t xml:space="preserve"> </w:t>
            </w:r>
            <w:r w:rsidRPr="00D17F44">
              <w:rPr>
                <w:rStyle w:val="spelle"/>
                <w:rFonts w:eastAsia="Calibri"/>
                <w:b/>
              </w:rPr>
              <w:t xml:space="preserve">nav ievērotas </w:t>
            </w:r>
            <w:r w:rsidRPr="00D17F44">
              <w:rPr>
                <w:rFonts w:eastAsia="Calibri"/>
                <w:b/>
                <w:iCs/>
              </w:rPr>
              <w:t xml:space="preserve">Eiropas Savienības struktūrfondu un Kohēzijas fonda vadības likumā Ministru kabinetam noteiktās pilnvarojuma robežas, līdz ar to </w:t>
            </w:r>
            <w:r>
              <w:rPr>
                <w:rFonts w:eastAsia="Calibri"/>
                <w:b/>
                <w:iCs/>
              </w:rPr>
              <w:t>šo noteikumu 10</w:t>
            </w:r>
            <w:r w:rsidRPr="00D17F44">
              <w:rPr>
                <w:rFonts w:eastAsia="Calibri"/>
                <w:b/>
                <w:iCs/>
              </w:rPr>
              <w:t>. punktā paredzētais Noteikumu Nr. 7</w:t>
            </w:r>
            <w:r>
              <w:rPr>
                <w:rFonts w:eastAsia="Calibri"/>
                <w:b/>
                <w:iCs/>
              </w:rPr>
              <w:t>6</w:t>
            </w:r>
            <w:r w:rsidRPr="00D17F44">
              <w:rPr>
                <w:rFonts w:eastAsia="Calibri"/>
                <w:b/>
                <w:iCs/>
              </w:rPr>
              <w:t xml:space="preserve">6 </w:t>
            </w:r>
            <w:r>
              <w:rPr>
                <w:rFonts w:eastAsia="Calibri"/>
                <w:b/>
                <w:iCs/>
              </w:rPr>
              <w:t>20.7</w:t>
            </w:r>
            <w:r w:rsidRPr="00D17F44">
              <w:rPr>
                <w:rFonts w:eastAsia="Calibri"/>
                <w:b/>
                <w:iCs/>
              </w:rPr>
              <w:t>. apakšpunkts ir neatbilstošs Latvijas Republikas Satversmei.</w:t>
            </w:r>
          </w:p>
          <w:p w:rsidR="00D17F44" w:rsidRDefault="00D17F44" w:rsidP="00F20F02">
            <w:pPr>
              <w:jc w:val="both"/>
            </w:pPr>
          </w:p>
          <w:p w:rsidR="007C0F4A" w:rsidRPr="00E63586" w:rsidRDefault="007C0F4A" w:rsidP="007C0F4A">
            <w:pPr>
              <w:jc w:val="both"/>
              <w:rPr>
                <w:rStyle w:val="spelle"/>
                <w:rFonts w:eastAsia="Calibri"/>
              </w:rPr>
            </w:pPr>
            <w:r>
              <w:t>-</w:t>
            </w:r>
            <w:r w:rsidR="00E6126D">
              <w:rPr>
                <w:rFonts w:eastAsia="Calibri"/>
              </w:rPr>
              <w:t xml:space="preserve"> N</w:t>
            </w:r>
            <w:r w:rsidRPr="00E63586">
              <w:rPr>
                <w:rFonts w:eastAsia="Calibri"/>
              </w:rPr>
              <w:t>oteikumu Nr. 766 20.8. apakšpunkts</w:t>
            </w:r>
            <w:r w:rsidRPr="00E63586">
              <w:rPr>
                <w:rStyle w:val="spelle"/>
                <w:rFonts w:eastAsia="Calibri"/>
              </w:rPr>
              <w:t xml:space="preserve"> noteic, ka </w:t>
            </w:r>
            <w:r w:rsidRPr="00E63586">
              <w:rPr>
                <w:rFonts w:eastAsia="Calibri"/>
              </w:rPr>
              <w:t xml:space="preserve">izmaksas uzskatāmas par attiecināmām izmaksām, ja tās publiskajā iepirkumā nepārsniedz 45 latus par cilvēkstundu (ieskaitot pievienotās vērtības nodokli) un samaksa par pakalpojumu veikta, pamatojoties uz nostrādāto stundu skaitu. </w:t>
            </w:r>
          </w:p>
          <w:p w:rsidR="00AE7D01" w:rsidRPr="00AE7D01" w:rsidRDefault="007C0F4A" w:rsidP="00AE7D01">
            <w:pPr>
              <w:pStyle w:val="Footer"/>
              <w:ind w:firstLine="720"/>
              <w:jc w:val="both"/>
              <w:rPr>
                <w:rFonts w:eastAsia="Calibri"/>
              </w:rPr>
            </w:pPr>
            <w:r w:rsidRPr="00E63586">
              <w:rPr>
                <w:rStyle w:val="spelle"/>
                <w:rFonts w:eastAsia="Calibri"/>
              </w:rPr>
              <w:tab/>
            </w:r>
            <w:r w:rsidRPr="00E63586">
              <w:rPr>
                <w:rFonts w:eastAsia="Calibri"/>
              </w:rPr>
              <w:t xml:space="preserve">Praksē </w:t>
            </w:r>
            <w:r w:rsidRPr="00E63586">
              <w:rPr>
                <w:rStyle w:val="spelle"/>
                <w:rFonts w:eastAsia="Calibri"/>
              </w:rPr>
              <w:t xml:space="preserve">var būt tādi gadījumi, ka konsultāciju likmes varētu pārsniegt 45 latu robežu un līdz ar to, būtu jāpadara elastīgākas konsultāciju likmju robežas. </w:t>
            </w:r>
            <w:r w:rsidR="00AE7D01">
              <w:rPr>
                <w:rStyle w:val="spelle"/>
                <w:rFonts w:eastAsia="Calibri"/>
              </w:rPr>
              <w:t xml:space="preserve">Turklāt </w:t>
            </w:r>
            <w:r w:rsidR="009F7E48">
              <w:t>biedrība</w:t>
            </w:r>
            <w:r w:rsidR="009F7E48" w:rsidRPr="00B63A41">
              <w:t xml:space="preserve"> „Latvijas atvērto tehnoloģiju asociācija” (turpmāk – LATA)</w:t>
            </w:r>
            <w:r w:rsidR="009F7E48">
              <w:t xml:space="preserve"> </w:t>
            </w:r>
            <w:r w:rsidRPr="00AE7D01">
              <w:t>un LIKTA ir norādījušas, ka cilvēkstun</w:t>
            </w:r>
            <w:r w:rsidR="00AE7D01">
              <w:t>du likmes noteikšana</w:t>
            </w:r>
            <w:r w:rsidRPr="00AE7D01">
              <w:t xml:space="preserve"> ir pretrunā ar brīvā tirgus principiem. </w:t>
            </w:r>
          </w:p>
          <w:p w:rsidR="007C0F4A" w:rsidRDefault="007C0F4A" w:rsidP="007C0F4A">
            <w:pPr>
              <w:pStyle w:val="Footer"/>
              <w:jc w:val="both"/>
            </w:pPr>
          </w:p>
          <w:p w:rsidR="00AE7D01" w:rsidRPr="00AE7D01" w:rsidRDefault="00AE7D01" w:rsidP="00AE7D01">
            <w:pPr>
              <w:jc w:val="both"/>
              <w:rPr>
                <w:rStyle w:val="spelle"/>
                <w:rFonts w:eastAsia="Calibri"/>
              </w:rPr>
            </w:pPr>
            <w:r>
              <w:t>-</w:t>
            </w:r>
            <w:r w:rsidRPr="00AE7D01">
              <w:rPr>
                <w:rStyle w:val="spelle"/>
                <w:rFonts w:eastAsia="Calibri"/>
              </w:rPr>
              <w:t xml:space="preserve"> </w:t>
            </w:r>
            <w:r w:rsidRPr="00AE7D01">
              <w:rPr>
                <w:rFonts w:eastAsia="Calibri"/>
              </w:rPr>
              <w:t>Noteikumu Nr. 766 57.</w:t>
            </w:r>
            <w:r w:rsidRPr="00AE7D01">
              <w:rPr>
                <w:rFonts w:eastAsia="Calibri"/>
                <w:vertAlign w:val="superscript"/>
              </w:rPr>
              <w:t>3</w:t>
            </w:r>
            <w:r w:rsidRPr="00AE7D01">
              <w:rPr>
                <w:rFonts w:eastAsia="Calibri"/>
              </w:rPr>
              <w:t xml:space="preserve"> punkts noteic, ka finansējuma saņēmējs samaksā informācijas sistēmas izstrādātājam noslēguma maksājumu, kas nevar būt mazāks par 30 procentiem no informācijas sistēmas izstrādes līgumcenas, tikai pēc tam, kad atbildīgā iestāde ir sniegusi pozitīvu atzinumu par šo noteikumu </w:t>
            </w:r>
            <w:hyperlink r:id="rId10" w:anchor="p9" w:history="1">
              <w:r w:rsidRPr="00AE7D01">
                <w:rPr>
                  <w:rStyle w:val="Hyperlink"/>
                  <w:rFonts w:eastAsia="Calibri"/>
                  <w:color w:val="auto"/>
                  <w:u w:val="none"/>
                </w:rPr>
                <w:t>9.12.apakšpunktā</w:t>
              </w:r>
            </w:hyperlink>
            <w:r w:rsidRPr="00AE7D01">
              <w:rPr>
                <w:rFonts w:eastAsia="Calibri"/>
              </w:rPr>
              <w:t xml:space="preserve"> minēto pārbaudi.</w:t>
            </w:r>
          </w:p>
          <w:p w:rsidR="00AE7D01" w:rsidRDefault="00AE7D01" w:rsidP="00AE7D01">
            <w:pPr>
              <w:ind w:firstLine="720"/>
              <w:jc w:val="both"/>
              <w:rPr>
                <w:rStyle w:val="spelle"/>
                <w:rFonts w:eastAsia="Calibri"/>
              </w:rPr>
            </w:pPr>
            <w:r w:rsidRPr="00E63586">
              <w:rPr>
                <w:rStyle w:val="spelle"/>
                <w:rFonts w:eastAsia="Calibri"/>
              </w:rPr>
              <w:t>LIKTA ir norādījusi uz problēmu, ka šīs tiesību normas paredz nenoteiktu laiku posmu, kurā informācijas sistēmas izstrādātājs, kurš pienācīgi izpildījis visas savas saistības, nevar saņemt maksājumus, jo Noteikumos Nr. 766 nav atrunāts termiņš, cik ilgā laikā šāda pārbaude jāveic.</w:t>
            </w:r>
          </w:p>
          <w:p w:rsidR="007C0F4A" w:rsidRDefault="00AE7D01" w:rsidP="009F7E48">
            <w:pPr>
              <w:ind w:firstLine="720"/>
              <w:jc w:val="both"/>
            </w:pPr>
            <w:r w:rsidRPr="00E63586">
              <w:t>Iepirkumu uzraudzības birojs 2012.gada 13.aprīļa lēmumā Nr.4-1.2/12-102/3, izskatot SIA „</w:t>
            </w:r>
            <w:proofErr w:type="spellStart"/>
            <w:r w:rsidRPr="00E63586">
              <w:t>In-volv</w:t>
            </w:r>
            <w:proofErr w:type="spellEnd"/>
            <w:r w:rsidRPr="00E63586">
              <w:t xml:space="preserve"> </w:t>
            </w:r>
            <w:proofErr w:type="spellStart"/>
            <w:r w:rsidRPr="00E63586">
              <w:t>Latvia</w:t>
            </w:r>
            <w:proofErr w:type="spellEnd"/>
            <w:r w:rsidRPr="00E63586">
              <w:t>” iesniegumu par Valsts reģionālās attīstības aģentūras rīkoto atklāto konkursu „E-pakalpojuma „Ieroču reģistrācija, atļauju, licenču un sertifikātu pārbaude” izstrāde un ieviešana” (</w:t>
            </w:r>
            <w:proofErr w:type="spellStart"/>
            <w:r w:rsidRPr="00E63586">
              <w:t>id</w:t>
            </w:r>
            <w:proofErr w:type="spellEnd"/>
            <w:r w:rsidRPr="00E63586">
              <w:t xml:space="preserve">. Nr. VRAA 2012/10/ERAF/AK) ir norādījis uz problēmu saistībā ar </w:t>
            </w:r>
            <w:r w:rsidRPr="00E63586">
              <w:rPr>
                <w:rStyle w:val="spelle"/>
                <w:rFonts w:eastAsia="Calibri"/>
              </w:rPr>
              <w:t xml:space="preserve">Noteikumu Nr. 576 </w:t>
            </w:r>
            <w:r w:rsidRPr="00E63586">
              <w:rPr>
                <w:rFonts w:eastAsia="Calibri"/>
              </w:rPr>
              <w:t>56.</w:t>
            </w:r>
            <w:r w:rsidRPr="00E63586">
              <w:rPr>
                <w:rFonts w:eastAsia="Calibri"/>
                <w:vertAlign w:val="superscript"/>
              </w:rPr>
              <w:t>6</w:t>
            </w:r>
            <w:r w:rsidRPr="00E63586">
              <w:rPr>
                <w:rFonts w:eastAsia="Calibri"/>
              </w:rPr>
              <w:t xml:space="preserve"> punktu</w:t>
            </w:r>
            <w:r w:rsidRPr="00E63586">
              <w:t>. Proti, šī redakcija rada tiesisko nenoteiktību piegādātājiem (līgumu izpildītājiem). Iepirkuma procedūras rezultātā noslēdzot iepirkuma līgumu ar pasūtītāju, piegādātājs apņemas sniegt līgumā paredzētos pakalpojumus noteiktā kvalitātē un atbilstoši noteiktajām prasībām. Attiecīgi, ja piegādātājs ir izpildījis līgumu atbilstoši noteikumiem, piegādātājam atbilstoši civiltiesību principiem un Civillikuma regulējumam būtu jāsaņem samaksa. Tomēr piegādātājs nevar uzņemties atbildību (attiecīgi ciest zaudējumus), ja pasūtītājs (konsultants) iepirkuma par informācijas sistēmas izstrādi tehniskajās specifikācijās ir noteicis atšķirīgas prasības (piemēram, zemākas prasības vai paredzējis izveidot sistēmu ar šaurāku funkcionalitāti) no projekta iesniegumā paredzētajām.</w:t>
            </w:r>
          </w:p>
          <w:p w:rsidR="009F7E48" w:rsidRDefault="009F7E48" w:rsidP="009F7E48">
            <w:pPr>
              <w:ind w:firstLine="720"/>
              <w:jc w:val="both"/>
            </w:pPr>
          </w:p>
          <w:p w:rsidR="009F7E48" w:rsidRPr="007B6815" w:rsidRDefault="009F7E48" w:rsidP="009F7E48">
            <w:pPr>
              <w:jc w:val="both"/>
              <w:rPr>
                <w:rFonts w:eastAsia="Calibri"/>
              </w:rPr>
            </w:pPr>
            <w:r>
              <w:t>-</w:t>
            </w:r>
            <w:r w:rsidRPr="007B6815">
              <w:rPr>
                <w:rFonts w:eastAsia="Calibri"/>
              </w:rPr>
              <w:t xml:space="preserve"> Noteikumu Nr. 766 61. punkts noteic, ka izstrādātājs nodod finansējuma saņēmējam tādas programmatūras pirmkodu un autortiesības, kas izstrādāta vai attīstīta projekta ietvaros. </w:t>
            </w:r>
          </w:p>
          <w:p w:rsidR="009F7E48" w:rsidRPr="007B6815" w:rsidRDefault="009F7E48" w:rsidP="009F7E48">
            <w:pPr>
              <w:ind w:firstLine="720"/>
              <w:jc w:val="both"/>
              <w:rPr>
                <w:rFonts w:eastAsia="Calibri"/>
              </w:rPr>
            </w:pPr>
            <w:r>
              <w:rPr>
                <w:rFonts w:eastAsia="Calibri"/>
              </w:rPr>
              <w:t>Šī norma</w:t>
            </w:r>
            <w:r w:rsidRPr="007B6815">
              <w:rPr>
                <w:rFonts w:eastAsia="Calibri"/>
              </w:rPr>
              <w:t xml:space="preserve"> esošajā redakcijā ir pretrunā ar Autortiesību likumu. Proti, Autortiesību likuma 2. panta piektā daļa noteic, ka autortiesībām ir personisku un mantisku tiesību raksturs. Šā likuma </w:t>
            </w:r>
            <w:r w:rsidRPr="007B6815">
              <w:rPr>
                <w:rFonts w:eastAsia="Calibri"/>
              </w:rPr>
              <w:lastRenderedPageBreak/>
              <w:t xml:space="preserve">14. pants nosaka, kādas autoram ir neatsavināmas personiskās tiesības, bet 15. pants nosaka, kādas darba autoram ir mantiskās tiesības. Savukārt Autortiesību likuma 16. panta otrā daļa noteic, ka citiem autora tiesību pārņēmējiem (arī juridiskajām personām) var pāriet tikai šā likuma </w:t>
            </w:r>
            <w:hyperlink r:id="rId11" w:anchor="p15" w:history="1">
              <w:r w:rsidRPr="00E6126D">
                <w:rPr>
                  <w:rStyle w:val="Hyperlink"/>
                  <w:rFonts w:eastAsia="Calibri"/>
                  <w:color w:val="auto"/>
                  <w:u w:val="none"/>
                </w:rPr>
                <w:t>15.</w:t>
              </w:r>
              <w:r>
                <w:rPr>
                  <w:rStyle w:val="Hyperlink"/>
                  <w:rFonts w:eastAsia="Calibri"/>
                  <w:color w:val="auto"/>
                  <w:u w:val="none"/>
                </w:rPr>
                <w:t> </w:t>
              </w:r>
              <w:r w:rsidRPr="00E6126D">
                <w:rPr>
                  <w:rStyle w:val="Hyperlink"/>
                  <w:rFonts w:eastAsia="Calibri"/>
                  <w:color w:val="auto"/>
                  <w:u w:val="none"/>
                </w:rPr>
                <w:t>panta</w:t>
              </w:r>
            </w:hyperlink>
            <w:r w:rsidRPr="007B6815">
              <w:rPr>
                <w:rFonts w:eastAsia="Calibri"/>
              </w:rPr>
              <w:t xml:space="preserve"> pirmajā, otrajā un trešajā daļā noteiktās tiesības. Līdz ar to </w:t>
            </w:r>
            <w:r>
              <w:rPr>
                <w:rFonts w:eastAsia="Calibri"/>
              </w:rPr>
              <w:t>jāprecizē iepriekšminētā punkta redakcija.</w:t>
            </w:r>
          </w:p>
          <w:p w:rsidR="009F7E48" w:rsidRPr="00E63586" w:rsidRDefault="009F7E48" w:rsidP="009F7E48">
            <w:pPr>
              <w:autoSpaceDE w:val="0"/>
              <w:autoSpaceDN w:val="0"/>
              <w:adjustRightInd w:val="0"/>
              <w:ind w:firstLine="720"/>
              <w:jc w:val="both"/>
              <w:rPr>
                <w:color w:val="000000"/>
              </w:rPr>
            </w:pPr>
            <w:r w:rsidRPr="00E63586">
              <w:rPr>
                <w:color w:val="000000"/>
              </w:rPr>
              <w:t xml:space="preserve">Vairākas atvērtā pirmkoda licences nosaka prasību </w:t>
            </w:r>
            <w:proofErr w:type="spellStart"/>
            <w:r w:rsidRPr="00E63586">
              <w:rPr>
                <w:color w:val="000000"/>
              </w:rPr>
              <w:t>derivatīvo</w:t>
            </w:r>
            <w:proofErr w:type="spellEnd"/>
            <w:r w:rsidRPr="00E63586">
              <w:rPr>
                <w:color w:val="000000"/>
              </w:rPr>
              <w:t xml:space="preserve"> produktu licencēt pēc tādas pašas licences, kā pamatnē izmantoto un attiecīgi neparedz iespēju nodot klientam autortiesības. Ievērojot minēto, Noteikumu Nr.766 61.punkts esošajā redakcijā ierobežo tādu produktu izmantošanu, kas tiek licencēti pēc vairākām populārām atvērtā pirmkoda licencēm, jo nosaka prasību nodot autora tiesības uz attīstīto produktu. </w:t>
            </w:r>
          </w:p>
          <w:p w:rsidR="009F7E48" w:rsidRPr="009F7E48" w:rsidRDefault="009F7E48" w:rsidP="009F7E48">
            <w:pPr>
              <w:jc w:val="both"/>
              <w:rPr>
                <w:color w:val="000000"/>
              </w:rPr>
            </w:pPr>
            <w:r w:rsidRPr="00E63586">
              <w:rPr>
                <w:color w:val="000000"/>
              </w:rPr>
              <w:t>Līdz ar to Noteikumu Nr.766 61. punktu ir nepieciešams precizēt arī attiecībā uz atvērto pirmkodu izmantošanu.</w:t>
            </w:r>
          </w:p>
        </w:tc>
      </w:tr>
      <w:tr w:rsidR="00262E2B" w:rsidRPr="00CE646D" w:rsidTr="00C91A09">
        <w:trPr>
          <w:trHeight w:val="1071"/>
        </w:trPr>
        <w:tc>
          <w:tcPr>
            <w:tcW w:w="550" w:type="dxa"/>
          </w:tcPr>
          <w:p w:rsidR="00262E2B" w:rsidRPr="00CE646D" w:rsidRDefault="00262E2B" w:rsidP="006C4607">
            <w:pPr>
              <w:pStyle w:val="naiskr"/>
              <w:spacing w:before="0" w:after="0"/>
            </w:pPr>
            <w:r w:rsidRPr="00CE646D">
              <w:lastRenderedPageBreak/>
              <w:t>3.</w:t>
            </w:r>
          </w:p>
        </w:tc>
        <w:tc>
          <w:tcPr>
            <w:tcW w:w="4133" w:type="dxa"/>
          </w:tcPr>
          <w:p w:rsidR="00262E2B" w:rsidRPr="00CE646D" w:rsidRDefault="00420870" w:rsidP="006C4607">
            <w:pPr>
              <w:pStyle w:val="naiskr"/>
              <w:spacing w:before="0" w:after="0"/>
            </w:pPr>
            <w:r w:rsidRPr="00CE646D">
              <w:t>S</w:t>
            </w:r>
            <w:r w:rsidR="000B69CF" w:rsidRPr="00CE646D">
              <w:t xml:space="preserve">aistītie </w:t>
            </w:r>
            <w:r w:rsidR="001A6AE4" w:rsidRPr="00CE646D">
              <w:t>politikas ietekmes novērtējumi</w:t>
            </w:r>
            <w:r w:rsidR="00CB0247" w:rsidRPr="00CE646D">
              <w:t xml:space="preserve"> un</w:t>
            </w:r>
            <w:r w:rsidR="001A6AE4" w:rsidRPr="00CE646D">
              <w:t xml:space="preserve"> </w:t>
            </w:r>
            <w:r w:rsidR="000B69CF" w:rsidRPr="00CE646D">
              <w:t>pētījumi</w:t>
            </w:r>
          </w:p>
        </w:tc>
        <w:tc>
          <w:tcPr>
            <w:tcW w:w="5042" w:type="dxa"/>
          </w:tcPr>
          <w:p w:rsidR="00D20FF4" w:rsidRPr="00CE646D" w:rsidRDefault="00EA0D3E" w:rsidP="006C4607">
            <w:pPr>
              <w:pStyle w:val="FootnoteText"/>
              <w:rPr>
                <w:sz w:val="24"/>
                <w:szCs w:val="24"/>
              </w:rPr>
            </w:pPr>
            <w:r w:rsidRPr="00CE646D">
              <w:rPr>
                <w:sz w:val="24"/>
                <w:szCs w:val="24"/>
              </w:rPr>
              <w:t>Nav attiecināms</w:t>
            </w:r>
            <w:r w:rsidR="006E5B95" w:rsidRPr="00CE646D">
              <w:rPr>
                <w:sz w:val="24"/>
                <w:szCs w:val="24"/>
              </w:rPr>
              <w:t>.</w:t>
            </w:r>
          </w:p>
        </w:tc>
      </w:tr>
      <w:tr w:rsidR="00262E2B" w:rsidRPr="00CE646D" w:rsidTr="00C91A09">
        <w:trPr>
          <w:trHeight w:val="384"/>
        </w:trPr>
        <w:tc>
          <w:tcPr>
            <w:tcW w:w="550" w:type="dxa"/>
          </w:tcPr>
          <w:p w:rsidR="00262E2B" w:rsidRPr="00CE646D" w:rsidRDefault="00262E2B" w:rsidP="006C4607">
            <w:pPr>
              <w:pStyle w:val="naiskr"/>
              <w:spacing w:before="0" w:after="0"/>
            </w:pPr>
            <w:r w:rsidRPr="00CE646D">
              <w:t>4.</w:t>
            </w:r>
          </w:p>
        </w:tc>
        <w:tc>
          <w:tcPr>
            <w:tcW w:w="4133" w:type="dxa"/>
          </w:tcPr>
          <w:p w:rsidR="00262E2B" w:rsidRPr="00CE646D" w:rsidRDefault="000C790C" w:rsidP="006C4607">
            <w:pPr>
              <w:pStyle w:val="naiskr"/>
              <w:spacing w:before="0" w:after="0"/>
            </w:pPr>
            <w:r w:rsidRPr="00CE646D">
              <w:t>Tiesiskā r</w:t>
            </w:r>
            <w:r w:rsidR="00400032" w:rsidRPr="00CE646D">
              <w:t xml:space="preserve">egulējuma </w:t>
            </w:r>
            <w:r w:rsidR="00262E2B" w:rsidRPr="00CE646D">
              <w:t>mērķis un būtība</w:t>
            </w:r>
          </w:p>
        </w:tc>
        <w:tc>
          <w:tcPr>
            <w:tcW w:w="5042" w:type="dxa"/>
          </w:tcPr>
          <w:p w:rsidR="00CE646D" w:rsidRDefault="00744474" w:rsidP="002110DE">
            <w:pPr>
              <w:pStyle w:val="naiskr"/>
              <w:spacing w:before="0" w:after="0"/>
              <w:jc w:val="both"/>
            </w:pPr>
            <w:r w:rsidRPr="00501303">
              <w:rPr>
                <w:bCs/>
              </w:rPr>
              <w:t>Ministru kabineta noteikumu projekts „</w:t>
            </w:r>
            <w:r w:rsidRPr="00501303">
              <w:t xml:space="preserve">Grozījumi Ministru kabineta 2010. gada 10. augusta noteikumos Nr.766 „Noteikumi par darbības programmas „Infrastruktūra un pakalpojumi” papildinājuma 3.2.2.1.1.apakšaktivitātes „Informācijas sistēmu un elektronisko pakalpojumu attīstība” projektu iesniegumu atlases otro </w:t>
            </w:r>
            <w:r w:rsidR="00A57675" w:rsidRPr="00D17F44">
              <w:t>un trešo</w:t>
            </w:r>
            <w:r w:rsidR="00A57675">
              <w:t xml:space="preserve"> </w:t>
            </w:r>
            <w:r w:rsidRPr="00501303">
              <w:t>kārtu”</w:t>
            </w:r>
            <w:r w:rsidRPr="00501303">
              <w:rPr>
                <w:bCs/>
              </w:rPr>
              <w:t>”</w:t>
            </w:r>
            <w:r w:rsidRPr="00CE646D">
              <w:rPr>
                <w:b/>
                <w:bCs/>
              </w:rPr>
              <w:t xml:space="preserve"> </w:t>
            </w:r>
            <w:r w:rsidR="00CB4858">
              <w:t>paredz</w:t>
            </w:r>
            <w:r>
              <w:t xml:space="preserve"> Noteikumos Nr. 766 veikt šādus grozījumus</w:t>
            </w:r>
            <w:r w:rsidR="00CB4858">
              <w:t>:</w:t>
            </w:r>
          </w:p>
          <w:p w:rsidR="009F7E48" w:rsidRDefault="009F7E48" w:rsidP="002110DE">
            <w:pPr>
              <w:pStyle w:val="naiskr"/>
              <w:spacing w:before="0" w:after="0"/>
              <w:jc w:val="both"/>
            </w:pPr>
          </w:p>
          <w:p w:rsidR="00BC5297" w:rsidRDefault="00CB4858" w:rsidP="00BC5297">
            <w:pPr>
              <w:jc w:val="both"/>
              <w:rPr>
                <w:rFonts w:eastAsia="Calibri"/>
              </w:rPr>
            </w:pPr>
            <w:r>
              <w:t>-</w:t>
            </w:r>
            <w:r w:rsidRPr="001F60AE">
              <w:rPr>
                <w:rFonts w:eastAsia="Calibri"/>
              </w:rPr>
              <w:t xml:space="preserve"> </w:t>
            </w:r>
            <w:r w:rsidR="00744474">
              <w:rPr>
                <w:rStyle w:val="spelle"/>
                <w:rFonts w:eastAsia="Calibri"/>
              </w:rPr>
              <w:t>9.12</w:t>
            </w:r>
            <w:r w:rsidR="00BC5297" w:rsidRPr="001F60AE">
              <w:rPr>
                <w:rStyle w:val="spelle"/>
                <w:rFonts w:eastAsia="Calibri"/>
              </w:rPr>
              <w:t xml:space="preserve">. apakšpunktā </w:t>
            </w:r>
            <w:r w:rsidR="00BC5297" w:rsidRPr="001F60AE">
              <w:rPr>
                <w:rStyle w:val="flexinput2"/>
                <w:rFonts w:eastAsia="Calibri"/>
              </w:rPr>
              <w:t>terminu „tehniskā satura novērtējuma”</w:t>
            </w:r>
            <w:r w:rsidR="00BC5297" w:rsidRPr="00F66A65">
              <w:rPr>
                <w:rStyle w:val="flexinput2"/>
                <w:rFonts w:eastAsia="Calibri"/>
              </w:rPr>
              <w:t xml:space="preserve"> aizstāt ar terminu „</w:t>
            </w:r>
            <w:r w:rsidR="000271AA" w:rsidRPr="00F66A65">
              <w:t xml:space="preserve">projekta rezultātu atbilstības projekta iesniegumam </w:t>
            </w:r>
            <w:r w:rsidR="000271AA" w:rsidRPr="00F66A65">
              <w:rPr>
                <w:rStyle w:val="flexinput2"/>
                <w:rFonts w:eastAsia="Calibri"/>
              </w:rPr>
              <w:t>novērtējumu</w:t>
            </w:r>
            <w:r w:rsidR="00BC5297" w:rsidRPr="00F66A65">
              <w:rPr>
                <w:rStyle w:val="flexinput2"/>
                <w:rFonts w:eastAsia="Calibri"/>
              </w:rPr>
              <w:t>”</w:t>
            </w:r>
            <w:r w:rsidR="00744474" w:rsidRPr="00F66A65">
              <w:rPr>
                <w:rStyle w:val="flexinput2"/>
                <w:rFonts w:eastAsia="Calibri"/>
              </w:rPr>
              <w:t>, kā arī</w:t>
            </w:r>
            <w:r w:rsidR="00BC5297" w:rsidRPr="00F66A65">
              <w:rPr>
                <w:rStyle w:val="flexinput2"/>
                <w:rFonts w:eastAsia="Calibri"/>
              </w:rPr>
              <w:t xml:space="preserve"> </w:t>
            </w:r>
            <w:r w:rsidR="00744474" w:rsidRPr="00F66A65">
              <w:rPr>
                <w:rFonts w:eastAsia="Calibri"/>
              </w:rPr>
              <w:t>paredzēt termiņu (</w:t>
            </w:r>
            <w:r w:rsidR="000271AA" w:rsidRPr="00F66A65">
              <w:rPr>
                <w:rFonts w:eastAsia="Calibri"/>
              </w:rPr>
              <w:t>10 darba dienas</w:t>
            </w:r>
            <w:r w:rsidR="00744474" w:rsidRPr="00F66A65">
              <w:rPr>
                <w:rFonts w:eastAsia="Calibri"/>
              </w:rPr>
              <w:t>)</w:t>
            </w:r>
            <w:r w:rsidR="00744474">
              <w:rPr>
                <w:rFonts w:eastAsia="Calibri"/>
              </w:rPr>
              <w:t xml:space="preserve"> šajā tiesību normā</w:t>
            </w:r>
            <w:r w:rsidR="00BC5297" w:rsidRPr="001F60AE">
              <w:rPr>
                <w:rFonts w:eastAsia="Calibri"/>
              </w:rPr>
              <w:t xml:space="preserve"> paredzēto darbību veikšanai</w:t>
            </w:r>
            <w:r w:rsidR="00BC5297">
              <w:rPr>
                <w:rFonts w:eastAsia="Calibri"/>
              </w:rPr>
              <w:t>.</w:t>
            </w:r>
          </w:p>
          <w:p w:rsidR="009F7E48" w:rsidRDefault="009F7E48" w:rsidP="00BC5297">
            <w:pPr>
              <w:jc w:val="both"/>
              <w:rPr>
                <w:rFonts w:eastAsia="Calibri"/>
              </w:rPr>
            </w:pPr>
          </w:p>
          <w:p w:rsidR="003C1E5F" w:rsidRDefault="003C1E5F" w:rsidP="000271AA">
            <w:pPr>
              <w:jc w:val="both"/>
              <w:rPr>
                <w:bCs/>
              </w:rPr>
            </w:pPr>
            <w:r>
              <w:rPr>
                <w:rFonts w:eastAsia="Calibri"/>
              </w:rPr>
              <w:t>- 18</w:t>
            </w:r>
            <w:r w:rsidRPr="001F60AE">
              <w:rPr>
                <w:rFonts w:eastAsia="Calibri"/>
              </w:rPr>
              <w:t>.</w:t>
            </w:r>
            <w:r w:rsidRPr="001F60AE">
              <w:rPr>
                <w:rFonts w:eastAsia="Calibri"/>
                <w:vertAlign w:val="superscript"/>
              </w:rPr>
              <w:t>1</w:t>
            </w:r>
            <w:r w:rsidRPr="001F60AE">
              <w:rPr>
                <w:rFonts w:eastAsia="Calibri"/>
              </w:rPr>
              <w:t xml:space="preserve"> punktā </w:t>
            </w:r>
            <w:r w:rsidRPr="001F60AE">
              <w:rPr>
                <w:rStyle w:val="spelle"/>
                <w:rFonts w:eastAsia="Calibri"/>
              </w:rPr>
              <w:t>paredzēt, ka</w:t>
            </w:r>
            <w:r w:rsidR="000271AA">
              <w:rPr>
                <w:rFonts w:eastAsia="Calibri"/>
              </w:rPr>
              <w:t xml:space="preserve">, </w:t>
            </w:r>
            <w:r w:rsidR="000271AA" w:rsidRPr="00F66A65">
              <w:rPr>
                <w:bCs/>
              </w:rPr>
              <w:t xml:space="preserve">piemērojot šo noteikumu 20.8. apakšpunktā minēto cilvēkstundas likmi, samaksa par informācijas sistēmas programmatūras izmaiņām nevar pārsniegt piecpadsmit procentus no projekta kopējām tiešajām attiecināmajām izmaksām, bet samaksa par pārējiem pakalpojumiem, nevar pārsniegt piecus procentus no projekta kopējām tiešajām attiecināmajām </w:t>
            </w:r>
            <w:r w:rsidR="000271AA" w:rsidRPr="00F66A65">
              <w:rPr>
                <w:bCs/>
              </w:rPr>
              <w:lastRenderedPageBreak/>
              <w:t>izmaksām.</w:t>
            </w:r>
            <w:r w:rsidR="00D643C8" w:rsidRPr="00F66A65">
              <w:rPr>
                <w:bCs/>
              </w:rPr>
              <w:t xml:space="preserve"> </w:t>
            </w:r>
            <w:r w:rsidR="00D643C8" w:rsidRPr="00F66A65">
              <w:t xml:space="preserve">Noteikumu Nr. 766 16. punktā ir ietverti pakalpojumi, uz kuriem var attiecināt projekta tiešās attiecināmās izmaksas. Līdz ar to par tiem pakalpojumiem, kas nebūs saistīti ar </w:t>
            </w:r>
            <w:r w:rsidR="00D643C8" w:rsidRPr="00F66A65">
              <w:rPr>
                <w:bCs/>
              </w:rPr>
              <w:t>informācijas sistēmas programmatūras izmaiņām, samaksa nevarēs pārsniegt piecus procentus no projekta tiešajām attiecināmajām izmaksām.</w:t>
            </w:r>
          </w:p>
          <w:p w:rsidR="003C1E5F" w:rsidRDefault="003C1E5F" w:rsidP="00BC5297">
            <w:pPr>
              <w:jc w:val="both"/>
              <w:rPr>
                <w:rFonts w:eastAsia="Calibri"/>
              </w:rPr>
            </w:pPr>
          </w:p>
          <w:p w:rsidR="00CB4858" w:rsidRDefault="00BC5297" w:rsidP="002110DE">
            <w:pPr>
              <w:pStyle w:val="naiskr"/>
              <w:spacing w:before="0" w:after="0"/>
              <w:jc w:val="both"/>
            </w:pPr>
            <w:r>
              <w:rPr>
                <w:rFonts w:eastAsia="Calibri"/>
              </w:rPr>
              <w:t>-</w:t>
            </w:r>
            <w:r w:rsidR="00CB4858">
              <w:rPr>
                <w:rFonts w:eastAsia="Calibri"/>
              </w:rPr>
              <w:t>p</w:t>
            </w:r>
            <w:r w:rsidR="00F62B2A">
              <w:rPr>
                <w:rFonts w:eastAsia="Calibri"/>
              </w:rPr>
              <w:t>recizēt 20.7</w:t>
            </w:r>
            <w:r w:rsidR="00CB4858" w:rsidRPr="001F60AE">
              <w:rPr>
                <w:rFonts w:eastAsia="Calibri"/>
              </w:rPr>
              <w:t xml:space="preserve">. apakšpunktu, nosakot, ka izmaksas uzskatāmas par attiecināmām izmaksām, ja tās </w:t>
            </w:r>
            <w:r w:rsidR="00CB4858" w:rsidRPr="001F60AE">
              <w:t>radušās līguma izpildē, kas noslēgts sarunu procedūras rezultātā, un pirms sarunu procedūras uzsākšanas ir saņemts atbildīgās iestādes saskaņojums sarunu procedūras piemērošanai.</w:t>
            </w:r>
            <w:proofErr w:type="gramStart"/>
            <w:r w:rsidR="003A499F">
              <w:t xml:space="preserve"> </w:t>
            </w:r>
            <w:r w:rsidR="003A499F" w:rsidRPr="002804C8">
              <w:rPr>
                <w:b/>
              </w:rPr>
              <w:t xml:space="preserve"> </w:t>
            </w:r>
            <w:proofErr w:type="gramEnd"/>
            <w:r w:rsidR="003A499F" w:rsidRPr="00F66A65">
              <w:t xml:space="preserve">Atbilstoši informatīvajam ziņojumam par </w:t>
            </w:r>
            <w:r w:rsidR="003A499F" w:rsidRPr="00F66A65">
              <w:rPr>
                <w:rStyle w:val="spelle"/>
              </w:rPr>
              <w:t xml:space="preserve">3.2.2.1.1. </w:t>
            </w:r>
            <w:proofErr w:type="spellStart"/>
            <w:r w:rsidR="003A499F" w:rsidRPr="00F66A65">
              <w:rPr>
                <w:rStyle w:val="spelle"/>
              </w:rPr>
              <w:t>apakšaktivitātes</w:t>
            </w:r>
            <w:proofErr w:type="spellEnd"/>
            <w:r w:rsidR="003A499F" w:rsidRPr="00F66A65">
              <w:rPr>
                <w:rStyle w:val="spelle"/>
              </w:rPr>
              <w:t xml:space="preserve"> „Informācijas sistēmu un elektronisko pakalpojumu attīstība” tiesiskā regulējuma pilnveidošanu</w:t>
            </w:r>
            <w:r w:rsidR="003A499F" w:rsidRPr="00F66A65">
              <w:t xml:space="preserve"> (pieņemts ar Ministru kabineta 2012. gada 9. oktobra protokola Nr. 56 </w:t>
            </w:r>
            <w:r w:rsidR="003A499F" w:rsidRPr="00F66A65">
              <w:rPr>
                <w:bCs/>
              </w:rPr>
              <w:t>32.§)</w:t>
            </w:r>
            <w:r w:rsidR="003A499F" w:rsidRPr="00F66A65">
              <w:t>, VARAM ir jāizstrādā metodika, to publicējot VARAM tīmekļa vietnē, kuras ietvaros tiks noteikti kritēriji, pēc kuriem tiks sniegts atbildīgās iestādes saskaņojums sarunu procedūras piemērošanai. Izstrādājot metodiku, VARAM ir apzinājusi, ka atsevišķos gadījumos Iepirkumu uzraudzības birojs dod atļauju sarunu procedūras, par kuru nav jāpublicē paziņojuma par līgumu, piemērošanai. Līdz ar to, lai neradītu administratīvo slogu pasūtītājam un nepārkāptu Valsts pārvaldes iekārtas likumā minētos principus, VARAM neiejauksies Iepirkumu uzraudzības biroja kompetencē. Turklāt šajā metodikā būs ietverti citi kritēriji, saskaņā ar kuriem VARAM sniegs atļauju sarunu procedūras piemērošanai.</w:t>
            </w:r>
          </w:p>
          <w:p w:rsidR="009F7E48" w:rsidRDefault="009F7E48" w:rsidP="00CB4858">
            <w:pPr>
              <w:jc w:val="both"/>
              <w:rPr>
                <w:bCs/>
              </w:rPr>
            </w:pPr>
          </w:p>
          <w:p w:rsidR="00BC5297" w:rsidRDefault="00BC5297" w:rsidP="003A499F">
            <w:pPr>
              <w:jc w:val="both"/>
              <w:rPr>
                <w:bCs/>
              </w:rPr>
            </w:pPr>
            <w:r>
              <w:rPr>
                <w:bCs/>
              </w:rPr>
              <w:t>-</w:t>
            </w:r>
            <w:r w:rsidRPr="001F60AE">
              <w:rPr>
                <w:rFonts w:eastAsia="Calibri"/>
              </w:rPr>
              <w:t xml:space="preserve"> </w:t>
            </w:r>
            <w:r w:rsidR="00F62B2A">
              <w:rPr>
                <w:rStyle w:val="spelle"/>
                <w:rFonts w:eastAsia="Calibri"/>
              </w:rPr>
              <w:t>20.8</w:t>
            </w:r>
            <w:r w:rsidRPr="001F60AE">
              <w:rPr>
                <w:rStyle w:val="spelle"/>
                <w:rFonts w:eastAsia="Calibri"/>
              </w:rPr>
              <w:t xml:space="preserve">. apakšpunktā </w:t>
            </w:r>
            <w:r w:rsidRPr="001F60AE">
              <w:rPr>
                <w:rFonts w:eastAsia="Calibri"/>
              </w:rPr>
              <w:t>paredzēt, ka</w:t>
            </w:r>
            <w:r w:rsidRPr="001F60AE">
              <w:rPr>
                <w:rStyle w:val="spelle"/>
                <w:rFonts w:eastAsia="Calibri"/>
              </w:rPr>
              <w:t xml:space="preserve"> </w:t>
            </w:r>
            <w:r w:rsidRPr="001F60AE">
              <w:rPr>
                <w:bCs/>
              </w:rPr>
              <w:t xml:space="preserve">izmaksas tiks uzskatītas par attiecināmām izmaksām, ja tās publiskajā iepirkumā nepārsniegs 60 latus par cilvēkstundu (ieskaitot pievienotās vērtības </w:t>
            </w:r>
            <w:r w:rsidR="00CF54B2">
              <w:rPr>
                <w:bCs/>
              </w:rPr>
              <w:t>nodokli). Turklāt tiks noteikts izņēmums</w:t>
            </w:r>
            <w:r w:rsidRPr="001F60AE">
              <w:rPr>
                <w:bCs/>
              </w:rPr>
              <w:t>, kad finansējuma saņēmējam, iesniedzot pamatojumu atbildīgajā iestādē, cilvēkstundu likmes varēs būt augstākas par 60 latiem, ja saņemts atbildīgās iestādes saskaņojums.</w:t>
            </w:r>
            <w:r w:rsidR="003A499F">
              <w:rPr>
                <w:bCs/>
              </w:rPr>
              <w:t xml:space="preserve"> </w:t>
            </w:r>
            <w:r w:rsidR="003A499F" w:rsidRPr="00F66A65">
              <w:t xml:space="preserve">Atbilstoši informatīvajam ziņojumam par </w:t>
            </w:r>
            <w:r w:rsidR="003A499F" w:rsidRPr="00F66A65">
              <w:rPr>
                <w:rStyle w:val="spelle"/>
              </w:rPr>
              <w:t xml:space="preserve">3.2.2.1.1. </w:t>
            </w:r>
            <w:proofErr w:type="spellStart"/>
            <w:r w:rsidR="003A499F" w:rsidRPr="00F66A65">
              <w:rPr>
                <w:rStyle w:val="spelle"/>
              </w:rPr>
              <w:t>apakšaktivitātes</w:t>
            </w:r>
            <w:proofErr w:type="spellEnd"/>
            <w:r w:rsidR="003A499F" w:rsidRPr="00F66A65">
              <w:rPr>
                <w:rStyle w:val="spelle"/>
              </w:rPr>
              <w:t xml:space="preserve"> „Informācijas sistēmu un elektronisko pakalpojumu attīstība” tiesiskā regulējuma pilnveidošanu</w:t>
            </w:r>
            <w:r w:rsidR="003A499F" w:rsidRPr="00F66A65">
              <w:t xml:space="preserve"> (pieņemts ar Ministru kabineta 2012. gada 9. oktobra protokola Nr. 56 </w:t>
            </w:r>
            <w:r w:rsidR="003A499F" w:rsidRPr="00F66A65">
              <w:rPr>
                <w:bCs/>
              </w:rPr>
              <w:t>32.§)</w:t>
            </w:r>
            <w:r w:rsidR="003A499F" w:rsidRPr="00F66A65">
              <w:t xml:space="preserve">, VARAM izstrādās </w:t>
            </w:r>
            <w:r w:rsidR="003A499F" w:rsidRPr="00F66A65">
              <w:lastRenderedPageBreak/>
              <w:t>metodiku, to publicējot VARAM tīmekļa vietnē, kuras ietvaros tiks noteikti kritēriji, pēc kuriem tiks sniegts atbildīgās iestādes saskaņojums izņēmuma gadījumu piemērošanai, kad cilvēkstundu likmes var būt augstākas par 60 latiem. Līdz ar to pēc šīs metodikas izstrādes tiks nodrošināta normas vienveidīga piemērošana.</w:t>
            </w:r>
          </w:p>
          <w:p w:rsidR="009F7E48" w:rsidRDefault="009F7E48" w:rsidP="00BC5297">
            <w:pPr>
              <w:jc w:val="both"/>
              <w:rPr>
                <w:bCs/>
              </w:rPr>
            </w:pPr>
          </w:p>
          <w:p w:rsidR="00E27D78" w:rsidRPr="00F66A65" w:rsidRDefault="00E27D78" w:rsidP="00E27D78">
            <w:pPr>
              <w:pStyle w:val="Header"/>
              <w:tabs>
                <w:tab w:val="clear" w:pos="4153"/>
                <w:tab w:val="center" w:pos="567"/>
              </w:tabs>
              <w:jc w:val="both"/>
            </w:pPr>
            <w:r w:rsidRPr="00F66A65">
              <w:rPr>
                <w:bCs/>
              </w:rPr>
              <w:t>-</w:t>
            </w:r>
            <w:r w:rsidRPr="00F66A65">
              <w:t>papildināt noteikumus ar 20.</w:t>
            </w:r>
            <w:r w:rsidRPr="00F66A65">
              <w:rPr>
                <w:vertAlign w:val="superscript"/>
              </w:rPr>
              <w:t>1</w:t>
            </w:r>
            <w:r w:rsidRPr="00F66A65">
              <w:t xml:space="preserve"> punktu, kas paredz Vides aizsardzības un reģionālās attīstības ministrijai izstrādāt metodiku sarunu procedūras izvērtēšanai un metodiku izņēmuma gadījumu izvērtēšanai, kad cilvēkstundu likmes var būt augstākas par 60 latiem, un publicēt tās ministrijas tīmekļa vietnē.</w:t>
            </w:r>
          </w:p>
          <w:p w:rsidR="00E27D78" w:rsidRDefault="00E27D78" w:rsidP="00BC5297">
            <w:pPr>
              <w:jc w:val="both"/>
              <w:rPr>
                <w:bCs/>
              </w:rPr>
            </w:pPr>
          </w:p>
          <w:p w:rsidR="00BC5297" w:rsidRDefault="00BC5297" w:rsidP="00BC5297">
            <w:pPr>
              <w:jc w:val="both"/>
            </w:pPr>
            <w:r>
              <w:rPr>
                <w:bCs/>
              </w:rPr>
              <w:t>-</w:t>
            </w:r>
            <w:r w:rsidRPr="001F60AE">
              <w:rPr>
                <w:rFonts w:eastAsia="Calibri"/>
              </w:rPr>
              <w:t xml:space="preserve"> 57.</w:t>
            </w:r>
            <w:r w:rsidRPr="001F60AE">
              <w:rPr>
                <w:rFonts w:eastAsia="Calibri"/>
                <w:vertAlign w:val="superscript"/>
              </w:rPr>
              <w:t>3</w:t>
            </w:r>
            <w:r w:rsidRPr="001F60AE">
              <w:rPr>
                <w:rFonts w:eastAsia="Calibri"/>
              </w:rPr>
              <w:t xml:space="preserve"> </w:t>
            </w:r>
            <w:r w:rsidRPr="001F60AE">
              <w:rPr>
                <w:rStyle w:val="spelle"/>
                <w:rFonts w:eastAsia="Calibri"/>
              </w:rPr>
              <w:t xml:space="preserve">punktā paredzēt, ka </w:t>
            </w:r>
            <w:r w:rsidRPr="001F60AE">
              <w:t xml:space="preserve">finansējuma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izstrādi. </w:t>
            </w:r>
          </w:p>
          <w:p w:rsidR="00BC5297" w:rsidRDefault="00BC5297" w:rsidP="00BC5297">
            <w:pPr>
              <w:jc w:val="both"/>
            </w:pPr>
          </w:p>
          <w:p w:rsidR="003C1E5F" w:rsidRDefault="003C1E5F" w:rsidP="003C1E5F">
            <w:pPr>
              <w:jc w:val="both"/>
              <w:rPr>
                <w:bCs/>
              </w:rPr>
            </w:pPr>
            <w:r>
              <w:t>-</w:t>
            </w:r>
            <w:r w:rsidRPr="00E63586">
              <w:rPr>
                <w:rFonts w:eastAsia="Calibri"/>
              </w:rPr>
              <w:t xml:space="preserve"> </w:t>
            </w:r>
            <w:r>
              <w:rPr>
                <w:rFonts w:eastAsia="Calibri"/>
              </w:rPr>
              <w:t>precizēt 61. punktu,</w:t>
            </w:r>
            <w:r w:rsidRPr="00E63586">
              <w:rPr>
                <w:rFonts w:eastAsia="Calibri"/>
              </w:rPr>
              <w:t xml:space="preserve"> </w:t>
            </w:r>
            <w:r>
              <w:rPr>
                <w:rFonts w:eastAsia="Calibri"/>
              </w:rPr>
              <w:t xml:space="preserve">nosakot, ka </w:t>
            </w:r>
            <w:r>
              <w:rPr>
                <w:bCs/>
              </w:rPr>
              <w:t>i</w:t>
            </w:r>
            <w:r w:rsidRPr="00E63586">
              <w:rPr>
                <w:bCs/>
              </w:rPr>
              <w:t>zstrādātājs nodod finansējuma saņēmējam projekta ietvaros izstrādātās vai pielāgotās programmatūras dokumentētu pirmkodu un autora mantiskās tiesības vai licencē šo programmatūru finansējuma saņēmējam, izmantojot kād</w:t>
            </w:r>
            <w:r>
              <w:rPr>
                <w:bCs/>
              </w:rPr>
              <w:t>u no atvērtā pirmkoda licencēm.</w:t>
            </w:r>
          </w:p>
          <w:p w:rsidR="003C1E5F" w:rsidRPr="001F60AE" w:rsidRDefault="003C1E5F" w:rsidP="00BC5297">
            <w:pPr>
              <w:jc w:val="both"/>
            </w:pPr>
          </w:p>
          <w:p w:rsidR="00CB4858" w:rsidRPr="009F7E48" w:rsidRDefault="00BC5297" w:rsidP="00570BDA">
            <w:pPr>
              <w:jc w:val="both"/>
              <w:rPr>
                <w:rFonts w:eastAsia="Calibri"/>
                <w:b/>
              </w:rPr>
            </w:pPr>
            <w:r>
              <w:rPr>
                <w:rStyle w:val="spelle"/>
                <w:rFonts w:eastAsia="Calibri"/>
              </w:rPr>
              <w:t>-</w:t>
            </w:r>
            <w:r w:rsidRPr="00E63586">
              <w:rPr>
                <w:rStyle w:val="spelle"/>
                <w:rFonts w:eastAsia="Calibri"/>
              </w:rPr>
              <w:t xml:space="preserve"> </w:t>
            </w:r>
            <w:r w:rsidR="007B0C28">
              <w:rPr>
                <w:rStyle w:val="spelle"/>
                <w:rFonts w:eastAsia="Calibri"/>
              </w:rPr>
              <w:t xml:space="preserve">precizēt 63. un </w:t>
            </w:r>
            <w:r w:rsidR="00F62B2A">
              <w:rPr>
                <w:rFonts w:eastAsia="Calibri"/>
              </w:rPr>
              <w:t>64.</w:t>
            </w:r>
            <w:r w:rsidRPr="00E63586">
              <w:rPr>
                <w:rFonts w:eastAsia="Calibri"/>
              </w:rPr>
              <w:t xml:space="preserve"> punkt</w:t>
            </w:r>
            <w:r w:rsidR="007B0C28">
              <w:rPr>
                <w:rFonts w:eastAsia="Calibri"/>
              </w:rPr>
              <w:t xml:space="preserve">u, </w:t>
            </w:r>
            <w:r w:rsidR="003A499F" w:rsidRPr="00F66A65">
              <w:rPr>
                <w:rFonts w:eastAsia="Calibri"/>
              </w:rPr>
              <w:t>precizējot tajā minēto tiesību normu piemērošanu.</w:t>
            </w:r>
            <w:r w:rsidR="00F52EB1" w:rsidRPr="00F66A65">
              <w:rPr>
                <w:rFonts w:eastAsia="Calibri"/>
              </w:rPr>
              <w:t xml:space="preserve"> </w:t>
            </w:r>
          </w:p>
        </w:tc>
      </w:tr>
      <w:tr w:rsidR="00262E2B" w:rsidRPr="00CE646D" w:rsidTr="00C91A09">
        <w:trPr>
          <w:trHeight w:val="476"/>
        </w:trPr>
        <w:tc>
          <w:tcPr>
            <w:tcW w:w="550" w:type="dxa"/>
          </w:tcPr>
          <w:p w:rsidR="00262E2B" w:rsidRPr="00CE646D" w:rsidRDefault="00262E2B" w:rsidP="006C4607">
            <w:pPr>
              <w:pStyle w:val="naiskr"/>
              <w:spacing w:before="0" w:after="0"/>
            </w:pPr>
            <w:r w:rsidRPr="00CE646D">
              <w:lastRenderedPageBreak/>
              <w:t>5.</w:t>
            </w:r>
          </w:p>
        </w:tc>
        <w:tc>
          <w:tcPr>
            <w:tcW w:w="4133" w:type="dxa"/>
          </w:tcPr>
          <w:p w:rsidR="00262E2B" w:rsidRPr="00CE646D" w:rsidRDefault="001A4066" w:rsidP="006C4607">
            <w:pPr>
              <w:pStyle w:val="naiskr"/>
              <w:spacing w:before="0" w:after="0"/>
            </w:pPr>
            <w:r w:rsidRPr="00CE646D">
              <w:t>Projekta i</w:t>
            </w:r>
            <w:r w:rsidR="00262E2B" w:rsidRPr="00CE646D">
              <w:t>zstrād</w:t>
            </w:r>
            <w:r w:rsidR="00420870" w:rsidRPr="00CE646D">
              <w:t xml:space="preserve">ē </w:t>
            </w:r>
            <w:r w:rsidR="00262E2B" w:rsidRPr="00CE646D">
              <w:t>iesaistītās institūcijas</w:t>
            </w:r>
          </w:p>
        </w:tc>
        <w:tc>
          <w:tcPr>
            <w:tcW w:w="5042" w:type="dxa"/>
          </w:tcPr>
          <w:p w:rsidR="00262E2B" w:rsidRPr="00CE646D" w:rsidRDefault="00EA0D3E" w:rsidP="007B0C28">
            <w:pPr>
              <w:pStyle w:val="naiskr"/>
              <w:spacing w:before="0" w:after="0"/>
              <w:jc w:val="both"/>
            </w:pPr>
            <w:r w:rsidRPr="00CE646D">
              <w:t xml:space="preserve">Vides aizsardzības un reģionālās attīstības ministrija </w:t>
            </w:r>
          </w:p>
        </w:tc>
      </w:tr>
      <w:tr w:rsidR="00262E2B" w:rsidRPr="00CE646D" w:rsidTr="00C91A09">
        <w:trPr>
          <w:trHeight w:val="1340"/>
        </w:trPr>
        <w:tc>
          <w:tcPr>
            <w:tcW w:w="550" w:type="dxa"/>
          </w:tcPr>
          <w:p w:rsidR="00262E2B" w:rsidRPr="00CE646D" w:rsidRDefault="00262E2B" w:rsidP="006C4607">
            <w:pPr>
              <w:pStyle w:val="naiskr"/>
              <w:spacing w:before="0" w:after="0"/>
            </w:pPr>
            <w:r w:rsidRPr="00CE646D">
              <w:t>6.</w:t>
            </w:r>
          </w:p>
        </w:tc>
        <w:tc>
          <w:tcPr>
            <w:tcW w:w="4133" w:type="dxa"/>
          </w:tcPr>
          <w:p w:rsidR="00262E2B" w:rsidRPr="00CE646D" w:rsidRDefault="00BB7C94" w:rsidP="006C4607">
            <w:pPr>
              <w:pStyle w:val="naiskr"/>
              <w:spacing w:before="0" w:after="0"/>
              <w:rPr>
                <w:i/>
                <w:highlight w:val="yellow"/>
              </w:rPr>
            </w:pPr>
            <w:r w:rsidRPr="00CE646D">
              <w:t xml:space="preserve">Iemesli, kādēļ netika nodrošināta </w:t>
            </w:r>
            <w:r w:rsidR="00262E2B" w:rsidRPr="00CE646D">
              <w:t xml:space="preserve">sabiedrības </w:t>
            </w:r>
            <w:r w:rsidRPr="00CE646D">
              <w:t>līdzdalība</w:t>
            </w:r>
          </w:p>
        </w:tc>
        <w:tc>
          <w:tcPr>
            <w:tcW w:w="5042" w:type="dxa"/>
          </w:tcPr>
          <w:p w:rsidR="00D20FF4" w:rsidRPr="00CE646D" w:rsidRDefault="00BC5297" w:rsidP="00C74F5B">
            <w:pPr>
              <w:pStyle w:val="FootnoteText"/>
              <w:jc w:val="both"/>
              <w:rPr>
                <w:sz w:val="24"/>
                <w:szCs w:val="24"/>
              </w:rPr>
            </w:pPr>
            <w:r>
              <w:rPr>
                <w:sz w:val="24"/>
                <w:szCs w:val="24"/>
              </w:rPr>
              <w:t>N</w:t>
            </w:r>
            <w:r w:rsidR="00BB400F" w:rsidRPr="00CE646D">
              <w:rPr>
                <w:sz w:val="24"/>
                <w:szCs w:val="24"/>
              </w:rPr>
              <w:t xml:space="preserve">oteikumu </w:t>
            </w:r>
            <w:r w:rsidR="00C74F5B">
              <w:rPr>
                <w:sz w:val="24"/>
                <w:szCs w:val="24"/>
              </w:rPr>
              <w:t xml:space="preserve">projekta izstrādes procesā </w:t>
            </w:r>
            <w:r>
              <w:rPr>
                <w:sz w:val="24"/>
                <w:szCs w:val="24"/>
              </w:rPr>
              <w:t>tika iesaistīti LIKTA un LATA pārstāvji,</w:t>
            </w:r>
            <w:r w:rsidR="002A4913" w:rsidRPr="00CE646D">
              <w:rPr>
                <w:sz w:val="24"/>
                <w:szCs w:val="24"/>
              </w:rPr>
              <w:t xml:space="preserve"> jo projekts skar </w:t>
            </w:r>
            <w:r w:rsidR="00C74F5B">
              <w:rPr>
                <w:sz w:val="24"/>
                <w:szCs w:val="24"/>
              </w:rPr>
              <w:t>IKT nozares intereses.</w:t>
            </w:r>
          </w:p>
        </w:tc>
      </w:tr>
      <w:tr w:rsidR="00262E2B" w:rsidRPr="00CE646D" w:rsidTr="00C91A09">
        <w:tc>
          <w:tcPr>
            <w:tcW w:w="550" w:type="dxa"/>
          </w:tcPr>
          <w:p w:rsidR="00262E2B" w:rsidRPr="00CE646D" w:rsidRDefault="00262E2B" w:rsidP="006C4607">
            <w:pPr>
              <w:pStyle w:val="naiskr"/>
              <w:spacing w:before="0" w:after="0"/>
            </w:pPr>
            <w:r w:rsidRPr="00CE646D">
              <w:t>7.</w:t>
            </w:r>
          </w:p>
        </w:tc>
        <w:tc>
          <w:tcPr>
            <w:tcW w:w="4133" w:type="dxa"/>
          </w:tcPr>
          <w:p w:rsidR="00262E2B" w:rsidRPr="00CE646D" w:rsidRDefault="00262E2B" w:rsidP="006C4607">
            <w:pPr>
              <w:pStyle w:val="naiskr"/>
              <w:spacing w:before="0" w:after="0"/>
            </w:pPr>
            <w:r w:rsidRPr="00CE646D">
              <w:t>Cita informācija</w:t>
            </w:r>
          </w:p>
        </w:tc>
        <w:tc>
          <w:tcPr>
            <w:tcW w:w="5042" w:type="dxa"/>
          </w:tcPr>
          <w:p w:rsidR="00262E2B" w:rsidRPr="00CE646D" w:rsidRDefault="00890D5A" w:rsidP="00F21EB3">
            <w:pPr>
              <w:pStyle w:val="naiskr"/>
              <w:spacing w:before="0" w:after="0"/>
              <w:jc w:val="both"/>
            </w:pPr>
            <w:r>
              <w:t>Nav attiecināms.</w:t>
            </w:r>
          </w:p>
        </w:tc>
      </w:tr>
    </w:tbl>
    <w:p w:rsidR="00924023" w:rsidRPr="00CE646D" w:rsidRDefault="00924023" w:rsidP="006C4607">
      <w:pPr>
        <w:pStyle w:val="naiskr"/>
        <w:tabs>
          <w:tab w:val="left" w:pos="2628"/>
        </w:tabs>
        <w:spacing w:before="0" w:after="0"/>
      </w:pPr>
    </w:p>
    <w:p w:rsidR="004F3752" w:rsidRPr="00CE646D" w:rsidRDefault="004F3752" w:rsidP="006C4607">
      <w:pPr>
        <w:pStyle w:val="naiskr"/>
        <w:tabs>
          <w:tab w:val="left" w:pos="2628"/>
        </w:tabs>
        <w:spacing w:before="0" w:after="0"/>
        <w:rPr>
          <w:i/>
        </w:rPr>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118"/>
        <w:gridCol w:w="6182"/>
      </w:tblGrid>
      <w:tr w:rsidR="00924023" w:rsidRPr="00CE646D" w:rsidTr="00A5353B">
        <w:trPr>
          <w:jc w:val="center"/>
        </w:trPr>
        <w:tc>
          <w:tcPr>
            <w:tcW w:w="9753" w:type="dxa"/>
            <w:gridSpan w:val="3"/>
          </w:tcPr>
          <w:p w:rsidR="00924023" w:rsidRPr="00CE646D" w:rsidRDefault="00924023" w:rsidP="00711F59">
            <w:pPr>
              <w:pStyle w:val="naisnod"/>
              <w:spacing w:before="0" w:after="0"/>
            </w:pPr>
            <w:r w:rsidRPr="00CE646D">
              <w:t>IV</w:t>
            </w:r>
            <w:r w:rsidR="000941C5" w:rsidRPr="00CE646D">
              <w:t>.</w:t>
            </w:r>
            <w:r w:rsidRPr="00CE646D">
              <w:t xml:space="preserve"> Tiesību akta projekta ietekme uz</w:t>
            </w:r>
            <w:r w:rsidR="005060A1" w:rsidRPr="00CE646D">
              <w:t xml:space="preserve"> </w:t>
            </w:r>
            <w:r w:rsidRPr="00CE646D">
              <w:t>spēkā esošo tiesību normu sistēmu</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t>1.</w:t>
            </w:r>
          </w:p>
        </w:tc>
        <w:tc>
          <w:tcPr>
            <w:tcW w:w="3118" w:type="dxa"/>
          </w:tcPr>
          <w:p w:rsidR="00924023" w:rsidRPr="00CE646D" w:rsidRDefault="00924023" w:rsidP="00711F59">
            <w:pPr>
              <w:pStyle w:val="naiskr"/>
              <w:tabs>
                <w:tab w:val="left" w:pos="2628"/>
              </w:tabs>
              <w:spacing w:before="0" w:after="0"/>
              <w:jc w:val="both"/>
              <w:rPr>
                <w:iCs/>
              </w:rPr>
            </w:pPr>
            <w:r w:rsidRPr="00CE646D">
              <w:t>Nepieciešamie saistītie tiesību akt</w:t>
            </w:r>
            <w:r w:rsidR="00DD1020" w:rsidRPr="00CE646D">
              <w:t>u</w:t>
            </w:r>
            <w:r w:rsidRPr="00CE646D">
              <w:t xml:space="preserve"> projekti</w:t>
            </w:r>
          </w:p>
        </w:tc>
        <w:tc>
          <w:tcPr>
            <w:tcW w:w="6182" w:type="dxa"/>
          </w:tcPr>
          <w:p w:rsidR="00B66CC5" w:rsidRDefault="001858B8" w:rsidP="007B0C28">
            <w:pPr>
              <w:pStyle w:val="naiskr"/>
              <w:spacing w:before="0" w:after="0"/>
              <w:jc w:val="both"/>
              <w:rPr>
                <w:bCs/>
              </w:rPr>
            </w:pPr>
            <w:r w:rsidRPr="007B0C28">
              <w:t>Ar noteikumu projektu vienlaicīgi tiek plānots virzīt grozījumus</w:t>
            </w:r>
            <w:r w:rsidR="007B0C28" w:rsidRPr="007B0C28">
              <w:t xml:space="preserve"> Ministru kabine</w:t>
            </w:r>
            <w:r w:rsidR="007B0C28">
              <w:t>ta 2008.gada 21.jūlija noteikumos</w:t>
            </w:r>
            <w:r w:rsidR="007B0C28" w:rsidRPr="007B0C28">
              <w:t xml:space="preserve"> Nr.576 „Noteikumi par darbības programmas „Infrastruktūra un pakalpojumi” papildinājuma 3.2.2.1.1.apakšaktivitāti </w:t>
            </w:r>
            <w:r w:rsidR="007B0C28" w:rsidRPr="007B0C28">
              <w:lastRenderedPageBreak/>
              <w:t>„Informācijas sistēmu un elektronisko pakalpojumu attīstība” projektu iesniegumu atlases pirmo kārtu”</w:t>
            </w:r>
            <w:r w:rsidR="001D665E" w:rsidRPr="007B0C28">
              <w:rPr>
                <w:bCs/>
              </w:rPr>
              <w:t>. Ir paredzēts veikt šādus grozījumus:</w:t>
            </w:r>
            <w:r w:rsidR="00C5646E" w:rsidRPr="007B0C28">
              <w:rPr>
                <w:bCs/>
              </w:rPr>
              <w:t xml:space="preserve"> </w:t>
            </w:r>
          </w:p>
          <w:p w:rsidR="00501303" w:rsidRDefault="00501303" w:rsidP="007B0C28">
            <w:pPr>
              <w:pStyle w:val="naiskr"/>
              <w:spacing w:before="0" w:after="0"/>
              <w:jc w:val="both"/>
              <w:rPr>
                <w:bCs/>
              </w:rPr>
            </w:pPr>
          </w:p>
          <w:p w:rsidR="003A499F" w:rsidRPr="00F66A65" w:rsidRDefault="003A499F" w:rsidP="003A499F">
            <w:pPr>
              <w:pStyle w:val="naiskr"/>
              <w:spacing w:before="0" w:after="0"/>
              <w:jc w:val="both"/>
              <w:rPr>
                <w:bCs/>
              </w:rPr>
            </w:pPr>
            <w:r w:rsidRPr="00F66A65">
              <w:rPr>
                <w:bCs/>
              </w:rPr>
              <w:t xml:space="preserve">-precizēt 7.2 apakšpunktu </w:t>
            </w:r>
            <w:r w:rsidRPr="00F66A65">
              <w:t xml:space="preserve">atbilstoši Ministru kabineta 2012.gada 6.novembra noteikumu Nr.745 „Centrālās finanšu un līgumu aģentūras nolikums” 1.punktam, kas nosaka, ka CFLA ir finanšu ministra pakļautībā esoša tiešās pārvaldes iestāde. </w:t>
            </w:r>
            <w:r w:rsidRPr="00F66A65">
              <w:rPr>
                <w:bCs/>
              </w:rPr>
              <w:t xml:space="preserve"> </w:t>
            </w:r>
          </w:p>
          <w:p w:rsidR="003A499F" w:rsidRPr="00F66A65" w:rsidRDefault="003A499F" w:rsidP="007B0C28">
            <w:pPr>
              <w:pStyle w:val="naiskr"/>
              <w:spacing w:before="0" w:after="0"/>
              <w:jc w:val="both"/>
              <w:rPr>
                <w:bCs/>
              </w:rPr>
            </w:pPr>
          </w:p>
          <w:p w:rsidR="00501303" w:rsidRPr="00F66A65" w:rsidRDefault="00501303" w:rsidP="00501303">
            <w:pPr>
              <w:jc w:val="both"/>
              <w:rPr>
                <w:rFonts w:eastAsia="Calibri"/>
              </w:rPr>
            </w:pPr>
            <w:r w:rsidRPr="00F66A65">
              <w:rPr>
                <w:rStyle w:val="spelle"/>
                <w:rFonts w:eastAsia="Calibri"/>
              </w:rPr>
              <w:t xml:space="preserve">-9.13. apakšpunktā </w:t>
            </w:r>
            <w:r w:rsidRPr="00F66A65">
              <w:rPr>
                <w:rStyle w:val="flexinput2"/>
                <w:rFonts w:eastAsia="Calibri"/>
              </w:rPr>
              <w:t xml:space="preserve">terminu „tehniskā satura novērtējuma” </w:t>
            </w:r>
            <w:r w:rsidR="00755A48" w:rsidRPr="00F66A65">
              <w:rPr>
                <w:rStyle w:val="flexinput2"/>
                <w:rFonts w:eastAsia="Calibri"/>
              </w:rPr>
              <w:t xml:space="preserve">aizstāt </w:t>
            </w:r>
            <w:r w:rsidRPr="00F66A65">
              <w:rPr>
                <w:rStyle w:val="flexinput2"/>
                <w:rFonts w:eastAsia="Calibri"/>
              </w:rPr>
              <w:t>ar terminu „</w:t>
            </w:r>
            <w:r w:rsidR="00755A48" w:rsidRPr="00F66A65">
              <w:t xml:space="preserve">projekta rezultātu atbilstības projekta iesniegumam </w:t>
            </w:r>
            <w:r w:rsidR="00755A48" w:rsidRPr="00F66A65">
              <w:rPr>
                <w:rStyle w:val="flexinput2"/>
                <w:rFonts w:eastAsia="Calibri"/>
              </w:rPr>
              <w:t>novērtējumu</w:t>
            </w:r>
            <w:r w:rsidRPr="00F66A65">
              <w:rPr>
                <w:rStyle w:val="flexinput2"/>
                <w:rFonts w:eastAsia="Calibri"/>
              </w:rPr>
              <w:t xml:space="preserve">”, kā arī </w:t>
            </w:r>
            <w:r w:rsidR="003A499F" w:rsidRPr="00F66A65">
              <w:rPr>
                <w:rFonts w:eastAsia="Calibri"/>
              </w:rPr>
              <w:t>paredzēt termiņu (10 darba dienas</w:t>
            </w:r>
            <w:r w:rsidR="00CF54B2" w:rsidRPr="00F66A65">
              <w:rPr>
                <w:rFonts w:eastAsia="Calibri"/>
              </w:rPr>
              <w:t>) šajā tiesību normā</w:t>
            </w:r>
            <w:r w:rsidRPr="00F66A65">
              <w:rPr>
                <w:rFonts w:eastAsia="Calibri"/>
              </w:rPr>
              <w:t xml:space="preserve"> paredzēto darbību veikšanai.</w:t>
            </w:r>
          </w:p>
          <w:p w:rsidR="00501303" w:rsidRPr="00F66A65" w:rsidRDefault="00501303" w:rsidP="00501303">
            <w:pPr>
              <w:jc w:val="both"/>
              <w:rPr>
                <w:rFonts w:eastAsia="Calibri"/>
              </w:rPr>
            </w:pPr>
          </w:p>
          <w:p w:rsidR="00501303" w:rsidRPr="00F66A65" w:rsidRDefault="00501303" w:rsidP="00501303">
            <w:pPr>
              <w:pStyle w:val="naiskr"/>
              <w:spacing w:before="0" w:after="0"/>
              <w:jc w:val="both"/>
            </w:pPr>
            <w:r w:rsidRPr="00F66A65">
              <w:rPr>
                <w:rFonts w:eastAsia="Calibri"/>
              </w:rPr>
              <w:t xml:space="preserve">-precizēt 19.5. apakšpunktu, nosakot, ka izmaksas uzskatāmas par attiecināmām izmaksām, ja tās </w:t>
            </w:r>
            <w:r w:rsidRPr="00F66A65">
              <w:t xml:space="preserve">radušās </w:t>
            </w:r>
            <w:r w:rsidR="00755A48" w:rsidRPr="00F66A65">
              <w:t xml:space="preserve">iepirkuma </w:t>
            </w:r>
            <w:r w:rsidRPr="00F66A65">
              <w:t>līguma izpildē, kas noslēgts sarunu procedūras rezultātā, un pirms sarunu procedūras uzsākšanas ir saņemts atbildīgās iestādes saskaņojums sarunu procedūras piemērošanai.</w:t>
            </w:r>
          </w:p>
          <w:p w:rsidR="00501303" w:rsidRPr="00F66A65" w:rsidRDefault="00501303" w:rsidP="00501303">
            <w:pPr>
              <w:jc w:val="both"/>
              <w:rPr>
                <w:bCs/>
              </w:rPr>
            </w:pPr>
          </w:p>
          <w:p w:rsidR="00501303" w:rsidRPr="00F66A65" w:rsidRDefault="00501303" w:rsidP="00501303">
            <w:pPr>
              <w:jc w:val="both"/>
              <w:rPr>
                <w:bCs/>
              </w:rPr>
            </w:pPr>
            <w:r w:rsidRPr="00F66A65">
              <w:rPr>
                <w:bCs/>
              </w:rPr>
              <w:t>-</w:t>
            </w:r>
            <w:r w:rsidRPr="00F66A65">
              <w:rPr>
                <w:rFonts w:eastAsia="Calibri"/>
              </w:rPr>
              <w:t xml:space="preserve"> </w:t>
            </w:r>
            <w:r w:rsidRPr="00F66A65">
              <w:rPr>
                <w:rStyle w:val="spelle"/>
                <w:rFonts w:eastAsia="Calibri"/>
              </w:rPr>
              <w:t xml:space="preserve">19.6. apakšpunktā </w:t>
            </w:r>
            <w:r w:rsidRPr="00F66A65">
              <w:rPr>
                <w:rFonts w:eastAsia="Calibri"/>
              </w:rPr>
              <w:t>paredzēt, ka</w:t>
            </w:r>
            <w:r w:rsidRPr="00F66A65">
              <w:rPr>
                <w:rStyle w:val="spelle"/>
                <w:rFonts w:eastAsia="Calibri"/>
              </w:rPr>
              <w:t xml:space="preserve"> </w:t>
            </w:r>
            <w:r w:rsidRPr="00F66A65">
              <w:rPr>
                <w:bCs/>
              </w:rPr>
              <w:t>izmaksas tiks uzskatītas par attiecināmām izmaksām, ja tās publiskajā iepirkumā nepārsniegs 60 latus par cilvēkstundu (ieskaitot pievienotās vērtības nodokli). Turklāt tiks paredzēti arī izņēmuma gadījumi, kad finansējuma saņēmējam, iesniedzot pamatojumu atbildīgajā iestādē, cilvēkstundu likmes varēs būt augstākas par 60 latiem, ja saņemts atbildīgās iestādes saskaņojums.</w:t>
            </w:r>
          </w:p>
          <w:p w:rsidR="00501303" w:rsidRPr="00F66A65" w:rsidRDefault="00501303" w:rsidP="00501303">
            <w:pPr>
              <w:jc w:val="both"/>
              <w:rPr>
                <w:bCs/>
              </w:rPr>
            </w:pPr>
          </w:p>
          <w:p w:rsidR="00E27D78" w:rsidRPr="00F66A65" w:rsidRDefault="00E27D78" w:rsidP="00E27D78">
            <w:pPr>
              <w:pStyle w:val="Header"/>
              <w:tabs>
                <w:tab w:val="clear" w:pos="4153"/>
                <w:tab w:val="center" w:pos="567"/>
              </w:tabs>
              <w:jc w:val="both"/>
            </w:pPr>
            <w:r w:rsidRPr="00F66A65">
              <w:rPr>
                <w:bCs/>
              </w:rPr>
              <w:t>-</w:t>
            </w:r>
            <w:r w:rsidRPr="00F66A65">
              <w:t>papildināt noteikumus ar 19.</w:t>
            </w:r>
            <w:r w:rsidRPr="00F66A65">
              <w:rPr>
                <w:vertAlign w:val="superscript"/>
              </w:rPr>
              <w:t>1</w:t>
            </w:r>
            <w:r w:rsidRPr="00F66A65">
              <w:t xml:space="preserve"> punktu, kas paredz Vides aizsardzības un reģionālās attīstības ministrijai izstrādāt metodiku sarunu procedūras izvērtēšanai un metodiku izņēmuma gadījumu izvērtēšanai, kad cilvēkstundu likmes var būt augstākas par 60 latiem, un publicēt tās ministrijas tīmekļa vietnē.</w:t>
            </w:r>
          </w:p>
          <w:p w:rsidR="00E27D78" w:rsidRPr="00F66A65" w:rsidRDefault="00E27D78" w:rsidP="00501303">
            <w:pPr>
              <w:jc w:val="both"/>
              <w:rPr>
                <w:bCs/>
              </w:rPr>
            </w:pPr>
          </w:p>
          <w:p w:rsidR="00501303" w:rsidRPr="00F66A65" w:rsidRDefault="00501303" w:rsidP="00501303">
            <w:pPr>
              <w:jc w:val="both"/>
              <w:rPr>
                <w:bCs/>
              </w:rPr>
            </w:pPr>
            <w:r w:rsidRPr="00F66A65">
              <w:rPr>
                <w:bCs/>
              </w:rPr>
              <w:t>-</w:t>
            </w:r>
            <w:r w:rsidRPr="00F66A65">
              <w:rPr>
                <w:rFonts w:eastAsia="Calibri"/>
              </w:rPr>
              <w:t xml:space="preserve"> 23.</w:t>
            </w:r>
            <w:r w:rsidRPr="00F66A65">
              <w:rPr>
                <w:rFonts w:eastAsia="Calibri"/>
                <w:vertAlign w:val="superscript"/>
              </w:rPr>
              <w:t>1</w:t>
            </w:r>
            <w:r w:rsidRPr="00F66A65">
              <w:rPr>
                <w:rFonts w:eastAsia="Calibri"/>
              </w:rPr>
              <w:t xml:space="preserve"> punktā </w:t>
            </w:r>
            <w:r w:rsidRPr="00F66A65">
              <w:rPr>
                <w:rStyle w:val="spelle"/>
                <w:rFonts w:eastAsia="Calibri"/>
              </w:rPr>
              <w:t>paredzēt, ka</w:t>
            </w:r>
            <w:r w:rsidR="00755A48" w:rsidRPr="00F66A65">
              <w:rPr>
                <w:rStyle w:val="spelle"/>
                <w:rFonts w:eastAsia="Calibri"/>
              </w:rPr>
              <w:t>,</w:t>
            </w:r>
            <w:r w:rsidRPr="00F66A65">
              <w:rPr>
                <w:rFonts w:eastAsia="Calibri"/>
              </w:rPr>
              <w:t xml:space="preserve"> </w:t>
            </w:r>
            <w:r w:rsidR="00755A48" w:rsidRPr="00F66A65">
              <w:rPr>
                <w:bCs/>
              </w:rPr>
              <w:t>p</w:t>
            </w:r>
            <w:r w:rsidR="000271AA" w:rsidRPr="00F66A65">
              <w:rPr>
                <w:bCs/>
              </w:rPr>
              <w:t>iemērojot šo noteikumu 19.6</w:t>
            </w:r>
            <w:r w:rsidR="00755A48" w:rsidRPr="00F66A65">
              <w:rPr>
                <w:bCs/>
              </w:rPr>
              <w:t>. apakšpunktā minēto cilvēkstundas likmi, samaksa par informācijas sistēmas programmatūras izmaiņām nevar pārsniegt piecpadsmit procentus no projekta kopējām tiešajām attiecināmajām izmaksām, bet samaksa par pārējiem pakalpojumiem, nevar pārsniegt piecus procentus no projekta kopējām tiešajām attiecināmajām izmaksām.</w:t>
            </w:r>
          </w:p>
          <w:p w:rsidR="00501303" w:rsidRPr="00F66A65" w:rsidRDefault="00501303" w:rsidP="00501303">
            <w:pPr>
              <w:jc w:val="both"/>
              <w:rPr>
                <w:bCs/>
              </w:rPr>
            </w:pPr>
          </w:p>
          <w:p w:rsidR="00501303" w:rsidRPr="00F66A65" w:rsidRDefault="00501303" w:rsidP="00501303">
            <w:pPr>
              <w:jc w:val="both"/>
            </w:pPr>
            <w:r w:rsidRPr="00F66A65">
              <w:rPr>
                <w:bCs/>
              </w:rPr>
              <w:t>-</w:t>
            </w:r>
            <w:r w:rsidRPr="00F66A65">
              <w:rPr>
                <w:rFonts w:eastAsia="Calibri"/>
              </w:rPr>
              <w:t xml:space="preserve"> </w:t>
            </w:r>
            <w:r w:rsidRPr="00F66A65">
              <w:rPr>
                <w:rStyle w:val="spelle"/>
                <w:rFonts w:eastAsia="Calibri"/>
              </w:rPr>
              <w:t xml:space="preserve">Noteikumu Nr. 576 </w:t>
            </w:r>
            <w:r w:rsidRPr="00F66A65">
              <w:rPr>
                <w:rFonts w:eastAsia="Calibri"/>
              </w:rPr>
              <w:t>56.</w:t>
            </w:r>
            <w:r w:rsidRPr="00F66A65">
              <w:rPr>
                <w:rFonts w:eastAsia="Calibri"/>
                <w:vertAlign w:val="superscript"/>
              </w:rPr>
              <w:t>6</w:t>
            </w:r>
            <w:r w:rsidRPr="00F66A65">
              <w:rPr>
                <w:rFonts w:eastAsia="Calibri"/>
              </w:rPr>
              <w:t xml:space="preserve"> punktā </w:t>
            </w:r>
            <w:r w:rsidRPr="00F66A65">
              <w:rPr>
                <w:rStyle w:val="spelle"/>
                <w:rFonts w:eastAsia="Calibri"/>
              </w:rPr>
              <w:t xml:space="preserve">paredzēt, ka </w:t>
            </w:r>
            <w:r w:rsidRPr="00F66A65">
              <w:t xml:space="preserve">finansējuma saņēmējs samaksā informācijas sistēmas izstrādātājam noslēguma maksājumu, kas nevar būt mazāks par 30 </w:t>
            </w:r>
            <w:r w:rsidRPr="00F66A65">
              <w:lastRenderedPageBreak/>
              <w:t xml:space="preserve">procentiem no informācijas sistēmas izstrādes līgumcenas, tikai pēc tam, kad ir parakstīts nodošanas – pieņemšanas akts par informācijas sistēmas izstrādi. </w:t>
            </w:r>
          </w:p>
          <w:p w:rsidR="00501303" w:rsidRPr="00F66A65" w:rsidRDefault="00501303" w:rsidP="00501303">
            <w:pPr>
              <w:jc w:val="both"/>
            </w:pPr>
          </w:p>
          <w:p w:rsidR="00501303" w:rsidRPr="00F66A65" w:rsidRDefault="00501303" w:rsidP="00501303">
            <w:pPr>
              <w:jc w:val="both"/>
              <w:rPr>
                <w:bCs/>
              </w:rPr>
            </w:pPr>
            <w:r w:rsidRPr="00F66A65">
              <w:rPr>
                <w:rFonts w:eastAsia="Calibri"/>
              </w:rPr>
              <w:t>- precizēt 56.</w:t>
            </w:r>
            <w:r w:rsidRPr="00F66A65">
              <w:rPr>
                <w:rFonts w:eastAsia="Calibri"/>
                <w:vertAlign w:val="superscript"/>
              </w:rPr>
              <w:t>8</w:t>
            </w:r>
            <w:r w:rsidRPr="00F66A65">
              <w:rPr>
                <w:rFonts w:eastAsia="Calibri"/>
              </w:rPr>
              <w:t xml:space="preserve"> punktu, nosakot, ka </w:t>
            </w:r>
            <w:r w:rsidRPr="00F66A65">
              <w:rPr>
                <w:bCs/>
              </w:rPr>
              <w:t>izstrādātājs nodod finansējuma saņēmējam projekta ietvaros izstrādātās vai pielāgotās programmatūras dokumentētu pirmkodu un autora mantiskās tiesības vai licencē šo programmatūru finansējuma saņēmējam, izmantojot kādu no atvērtā pirmkoda licencēm.</w:t>
            </w:r>
          </w:p>
          <w:p w:rsidR="00501303" w:rsidRPr="00F66A65" w:rsidRDefault="00501303" w:rsidP="00501303">
            <w:pPr>
              <w:jc w:val="both"/>
            </w:pPr>
          </w:p>
          <w:p w:rsidR="001D665E" w:rsidRPr="00F66A65" w:rsidRDefault="00501303" w:rsidP="00501303">
            <w:pPr>
              <w:pStyle w:val="naiskr"/>
              <w:spacing w:before="0" w:after="0"/>
              <w:jc w:val="both"/>
            </w:pPr>
            <w:r w:rsidRPr="00F66A65">
              <w:rPr>
                <w:rStyle w:val="spelle"/>
                <w:rFonts w:eastAsia="Calibri"/>
              </w:rPr>
              <w:t xml:space="preserve">- precizēt </w:t>
            </w:r>
            <w:r w:rsidRPr="00F66A65">
              <w:rPr>
                <w:rFonts w:eastAsia="Calibri"/>
              </w:rPr>
              <w:t>57.</w:t>
            </w:r>
            <w:r w:rsidRPr="00F66A65">
              <w:rPr>
                <w:rFonts w:eastAsia="Calibri"/>
                <w:vertAlign w:val="superscript"/>
              </w:rPr>
              <w:t xml:space="preserve">6 </w:t>
            </w:r>
            <w:r w:rsidRPr="00F66A65">
              <w:rPr>
                <w:rFonts w:eastAsia="Calibri"/>
              </w:rPr>
              <w:t>un 57.</w:t>
            </w:r>
            <w:r w:rsidRPr="00F66A65">
              <w:rPr>
                <w:rFonts w:eastAsia="Calibri"/>
                <w:vertAlign w:val="superscript"/>
              </w:rPr>
              <w:t>7</w:t>
            </w:r>
            <w:r w:rsidR="003C1E5F" w:rsidRPr="00F66A65">
              <w:rPr>
                <w:rFonts w:eastAsia="Calibri"/>
              </w:rPr>
              <w:t xml:space="preserve"> punktu</w:t>
            </w:r>
            <w:r w:rsidRPr="00F66A65">
              <w:rPr>
                <w:rFonts w:eastAsia="Calibri"/>
              </w:rPr>
              <w:t xml:space="preserve">, </w:t>
            </w:r>
            <w:r w:rsidR="00755A48" w:rsidRPr="00F66A65">
              <w:rPr>
                <w:rFonts w:eastAsia="Calibri"/>
              </w:rPr>
              <w:t>precizējot tajā minēto tiesību normu piemērošanu.</w:t>
            </w:r>
          </w:p>
          <w:p w:rsidR="00131392" w:rsidRPr="00F66A65" w:rsidRDefault="00131392" w:rsidP="002110DE">
            <w:pPr>
              <w:pStyle w:val="naiskr"/>
              <w:spacing w:before="0" w:after="0"/>
              <w:jc w:val="both"/>
            </w:pPr>
          </w:p>
          <w:p w:rsidR="0083685B" w:rsidRPr="00CE646D" w:rsidRDefault="0083685B" w:rsidP="00711F59">
            <w:pPr>
              <w:pStyle w:val="naiskr"/>
              <w:tabs>
                <w:tab w:val="left" w:pos="2628"/>
              </w:tabs>
              <w:spacing w:before="0" w:after="0"/>
              <w:jc w:val="both"/>
              <w:rPr>
                <w:iCs/>
              </w:rPr>
            </w:pPr>
            <w:r w:rsidRPr="00F66A65">
              <w:rPr>
                <w:iCs/>
              </w:rPr>
              <w:t xml:space="preserve">Atbildīgā ministrija - </w:t>
            </w:r>
            <w:r w:rsidRPr="00F66A65">
              <w:t>Vides aizsardzības un reģionālās attīstības ministrija</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lastRenderedPageBreak/>
              <w:t>2.</w:t>
            </w:r>
          </w:p>
        </w:tc>
        <w:tc>
          <w:tcPr>
            <w:tcW w:w="3118" w:type="dxa"/>
          </w:tcPr>
          <w:p w:rsidR="00924023" w:rsidRPr="00CE646D" w:rsidRDefault="00924023" w:rsidP="00711F59">
            <w:pPr>
              <w:pStyle w:val="naiskr"/>
              <w:tabs>
                <w:tab w:val="left" w:pos="2628"/>
              </w:tabs>
              <w:spacing w:before="0" w:after="0"/>
              <w:jc w:val="both"/>
              <w:rPr>
                <w:iCs/>
              </w:rPr>
            </w:pPr>
            <w:r w:rsidRPr="00CE646D">
              <w:t>Cita informācija</w:t>
            </w:r>
          </w:p>
        </w:tc>
        <w:tc>
          <w:tcPr>
            <w:tcW w:w="6182" w:type="dxa"/>
          </w:tcPr>
          <w:p w:rsidR="00924023" w:rsidRPr="00CE646D" w:rsidRDefault="0083685B" w:rsidP="00711F59">
            <w:pPr>
              <w:pStyle w:val="naiskr"/>
              <w:tabs>
                <w:tab w:val="left" w:pos="2628"/>
              </w:tabs>
              <w:spacing w:before="0" w:after="0"/>
              <w:jc w:val="both"/>
              <w:rPr>
                <w:iCs/>
              </w:rPr>
            </w:pPr>
            <w:r w:rsidRPr="00CE646D">
              <w:rPr>
                <w:iCs/>
              </w:rPr>
              <w:t>Nav.</w:t>
            </w:r>
          </w:p>
        </w:tc>
      </w:tr>
    </w:tbl>
    <w:p w:rsidR="00A5353B" w:rsidRPr="00CE646D" w:rsidRDefault="00A5353B" w:rsidP="002A4913">
      <w:pPr>
        <w:pStyle w:val="naisf"/>
        <w:spacing w:before="0" w:after="0"/>
        <w:ind w:firstLine="0"/>
        <w:jc w:val="left"/>
        <w:rPr>
          <w:b/>
        </w:rPr>
      </w:pPr>
    </w:p>
    <w:p w:rsidR="00A96E5B" w:rsidRPr="00CE646D" w:rsidRDefault="00A96E5B" w:rsidP="002A4913">
      <w:pPr>
        <w:pStyle w:val="naisf"/>
        <w:spacing w:before="0" w:after="0"/>
        <w:ind w:firstLine="0"/>
        <w:jc w:val="left"/>
        <w:rPr>
          <w:b/>
        </w:rPr>
      </w:pPr>
    </w:p>
    <w:p w:rsidR="002A4913" w:rsidRPr="00CE646D" w:rsidRDefault="00A5353B" w:rsidP="002A4913">
      <w:pPr>
        <w:pStyle w:val="naisf"/>
        <w:spacing w:before="0" w:after="0"/>
        <w:ind w:firstLine="0"/>
        <w:jc w:val="left"/>
      </w:pPr>
      <w:r w:rsidRPr="00CE646D">
        <w:t>Anotācijas II, III,</w:t>
      </w:r>
      <w:r w:rsidR="002A4913" w:rsidRPr="00CE646D">
        <w:t xml:space="preserve"> </w:t>
      </w:r>
      <w:r w:rsidRPr="00CE646D">
        <w:t>V,</w:t>
      </w:r>
      <w:r w:rsidR="002A4913" w:rsidRPr="00CE646D">
        <w:t xml:space="preserve"> VI </w:t>
      </w:r>
      <w:r w:rsidRPr="00CE646D">
        <w:t>un VII</w:t>
      </w:r>
      <w:r w:rsidR="002A4913" w:rsidRPr="00CE646D">
        <w:t xml:space="preserve"> sadaļa – </w:t>
      </w:r>
      <w:r w:rsidRPr="00CE646D">
        <w:t xml:space="preserve">noteikumu </w:t>
      </w:r>
      <w:r w:rsidR="002A4913" w:rsidRPr="00CE646D">
        <w:t>projekts šīs jomas neskar.</w:t>
      </w:r>
    </w:p>
    <w:p w:rsidR="00A5353B" w:rsidRPr="00CE646D" w:rsidRDefault="00A5353B" w:rsidP="00A5353B">
      <w:pPr>
        <w:jc w:val="both"/>
        <w:rPr>
          <w:rStyle w:val="flexinput2"/>
        </w:rPr>
      </w:pPr>
    </w:p>
    <w:p w:rsidR="00A5353B" w:rsidRPr="00CE646D" w:rsidRDefault="00A5353B" w:rsidP="00A5353B">
      <w:pPr>
        <w:jc w:val="both"/>
        <w:rPr>
          <w:rStyle w:val="flexinput2"/>
        </w:rPr>
      </w:pPr>
    </w:p>
    <w:p w:rsidR="00A5353B" w:rsidRPr="00CE646D" w:rsidRDefault="00A5353B" w:rsidP="00A5353B">
      <w:pPr>
        <w:jc w:val="both"/>
        <w:rPr>
          <w:rStyle w:val="flexinput2"/>
        </w:rPr>
      </w:pPr>
      <w:r w:rsidRPr="00CE646D">
        <w:rPr>
          <w:rStyle w:val="flexinput2"/>
        </w:rPr>
        <w:t xml:space="preserve">Vides aizsardzības un reģionālās </w:t>
      </w:r>
    </w:p>
    <w:p w:rsidR="00A5353B" w:rsidRPr="00CE646D" w:rsidRDefault="00A5353B" w:rsidP="00A5353B">
      <w:pPr>
        <w:jc w:val="both"/>
        <w:rPr>
          <w:rStyle w:val="flexinput2"/>
        </w:rPr>
      </w:pPr>
      <w:r w:rsidRPr="00CE646D">
        <w:rPr>
          <w:rStyle w:val="flexinput2"/>
        </w:rPr>
        <w:t xml:space="preserve">attīstības ministrs </w:t>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t>E. Sprūdžs</w:t>
      </w:r>
    </w:p>
    <w:p w:rsidR="00A5353B" w:rsidRDefault="00A5353B" w:rsidP="002A4913">
      <w:pPr>
        <w:jc w:val="both"/>
      </w:pPr>
    </w:p>
    <w:p w:rsidR="0095188E" w:rsidRPr="000C70C6" w:rsidRDefault="0095188E" w:rsidP="0095188E">
      <w:pPr>
        <w:jc w:val="both"/>
        <w:rPr>
          <w:rStyle w:val="flexinput2"/>
        </w:rPr>
      </w:pPr>
      <w:r w:rsidRPr="000C70C6">
        <w:rPr>
          <w:rStyle w:val="flexinput2"/>
        </w:rPr>
        <w:t>Vīza:</w:t>
      </w:r>
    </w:p>
    <w:p w:rsidR="0095188E" w:rsidRPr="000C70C6" w:rsidRDefault="0095188E" w:rsidP="0095188E">
      <w:pPr>
        <w:jc w:val="both"/>
        <w:rPr>
          <w:rStyle w:val="flexinput2"/>
        </w:rPr>
      </w:pPr>
      <w:r w:rsidRPr="000C70C6">
        <w:rPr>
          <w:rStyle w:val="flexinput2"/>
        </w:rPr>
        <w:t xml:space="preserve">Vides aizsardzības un reģionālās </w:t>
      </w:r>
    </w:p>
    <w:p w:rsidR="0095188E" w:rsidRPr="000C70C6" w:rsidRDefault="0095188E" w:rsidP="0095188E">
      <w:pPr>
        <w:jc w:val="both"/>
      </w:pPr>
      <w:r w:rsidRPr="000C70C6">
        <w:rPr>
          <w:rStyle w:val="flexinput2"/>
        </w:rPr>
        <w:t>attīstības ministrijas valsts sekretārs</w:t>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t>A. Antonovs</w:t>
      </w:r>
    </w:p>
    <w:p w:rsidR="0095188E" w:rsidRPr="00CE646D" w:rsidRDefault="0095188E" w:rsidP="002A4913">
      <w:pPr>
        <w:jc w:val="both"/>
      </w:pPr>
    </w:p>
    <w:p w:rsidR="009765C1" w:rsidRDefault="009765C1" w:rsidP="009765C1">
      <w:pPr>
        <w:jc w:val="both"/>
        <w:rPr>
          <w:sz w:val="20"/>
          <w:szCs w:val="20"/>
        </w:rPr>
      </w:pPr>
      <w:r>
        <w:rPr>
          <w:sz w:val="20"/>
          <w:szCs w:val="20"/>
        </w:rPr>
        <w:t>12.12.2012. 09:53</w:t>
      </w:r>
    </w:p>
    <w:p w:rsidR="009765C1" w:rsidRDefault="00D17F44" w:rsidP="009765C1">
      <w:pPr>
        <w:jc w:val="both"/>
        <w:rPr>
          <w:sz w:val="20"/>
          <w:szCs w:val="20"/>
        </w:rPr>
      </w:pPr>
      <w:r>
        <w:rPr>
          <w:sz w:val="20"/>
          <w:szCs w:val="20"/>
        </w:rPr>
        <w:t>1 957</w:t>
      </w:r>
    </w:p>
    <w:p w:rsidR="009765C1" w:rsidRDefault="009765C1" w:rsidP="009765C1">
      <w:pPr>
        <w:jc w:val="both"/>
        <w:rPr>
          <w:sz w:val="20"/>
          <w:szCs w:val="20"/>
        </w:rPr>
      </w:pPr>
      <w:r>
        <w:rPr>
          <w:sz w:val="20"/>
          <w:szCs w:val="20"/>
        </w:rPr>
        <w:t>M. Laurs</w:t>
      </w:r>
    </w:p>
    <w:p w:rsidR="009765C1" w:rsidRDefault="009765C1" w:rsidP="009765C1">
      <w:pPr>
        <w:pStyle w:val="naisf"/>
        <w:spacing w:before="0" w:after="0"/>
        <w:ind w:firstLine="0"/>
        <w:rPr>
          <w:sz w:val="20"/>
          <w:szCs w:val="20"/>
        </w:rPr>
      </w:pPr>
      <w:r>
        <w:rPr>
          <w:sz w:val="20"/>
          <w:szCs w:val="20"/>
        </w:rPr>
        <w:t xml:space="preserve">Vides aizsardzības un </w:t>
      </w:r>
    </w:p>
    <w:p w:rsidR="009765C1" w:rsidRDefault="009765C1" w:rsidP="009765C1">
      <w:pPr>
        <w:pStyle w:val="naisf"/>
        <w:spacing w:before="0" w:after="0"/>
        <w:ind w:firstLine="0"/>
        <w:rPr>
          <w:sz w:val="20"/>
          <w:szCs w:val="20"/>
        </w:rPr>
      </w:pPr>
      <w:r>
        <w:rPr>
          <w:sz w:val="20"/>
          <w:szCs w:val="20"/>
        </w:rPr>
        <w:t>reģionālās attīstības ministrijas</w:t>
      </w:r>
    </w:p>
    <w:p w:rsidR="009765C1" w:rsidRDefault="009765C1" w:rsidP="009765C1">
      <w:pPr>
        <w:jc w:val="both"/>
        <w:rPr>
          <w:sz w:val="20"/>
          <w:szCs w:val="20"/>
        </w:rPr>
      </w:pPr>
      <w:r>
        <w:rPr>
          <w:sz w:val="20"/>
          <w:szCs w:val="20"/>
        </w:rPr>
        <w:t>Juridiskā departamenta</w:t>
      </w:r>
    </w:p>
    <w:p w:rsidR="009765C1" w:rsidRDefault="009765C1" w:rsidP="009765C1">
      <w:pPr>
        <w:rPr>
          <w:rFonts w:eastAsiaTheme="minorEastAsia"/>
          <w:noProof/>
          <w:sz w:val="20"/>
          <w:szCs w:val="20"/>
        </w:rPr>
      </w:pPr>
      <w:r>
        <w:rPr>
          <w:rFonts w:eastAsiaTheme="minorEastAsia"/>
          <w:noProof/>
          <w:sz w:val="20"/>
          <w:szCs w:val="20"/>
        </w:rPr>
        <w:t xml:space="preserve">Eiropas Savienības fondu projektu </w:t>
      </w:r>
    </w:p>
    <w:p w:rsidR="009765C1" w:rsidRDefault="009765C1" w:rsidP="009765C1">
      <w:pPr>
        <w:jc w:val="both"/>
        <w:rPr>
          <w:sz w:val="20"/>
          <w:szCs w:val="20"/>
        </w:rPr>
      </w:pPr>
      <w:r>
        <w:rPr>
          <w:rFonts w:eastAsiaTheme="minorEastAsia"/>
          <w:noProof/>
          <w:sz w:val="20"/>
          <w:szCs w:val="20"/>
        </w:rPr>
        <w:t>tiesiskā nodrošinājuma nodaļas jurists</w:t>
      </w:r>
    </w:p>
    <w:p w:rsidR="009765C1" w:rsidRDefault="009765C1" w:rsidP="009765C1">
      <w:pPr>
        <w:jc w:val="both"/>
        <w:rPr>
          <w:sz w:val="20"/>
          <w:szCs w:val="20"/>
        </w:rPr>
      </w:pPr>
      <w:r>
        <w:rPr>
          <w:sz w:val="20"/>
          <w:szCs w:val="20"/>
        </w:rPr>
        <w:t xml:space="preserve">67026511, </w:t>
      </w:r>
      <w:hyperlink r:id="rId12" w:history="1">
        <w:r w:rsidRPr="009765C1">
          <w:rPr>
            <w:rStyle w:val="Hyperlink"/>
            <w:color w:val="auto"/>
            <w:sz w:val="20"/>
            <w:szCs w:val="20"/>
            <w:u w:val="none"/>
          </w:rPr>
          <w:t>Madars.Laurs@varam.gov.lv</w:t>
        </w:r>
      </w:hyperlink>
    </w:p>
    <w:p w:rsidR="00B52443" w:rsidRPr="009765C1" w:rsidRDefault="00B52443" w:rsidP="004F3752">
      <w:pPr>
        <w:jc w:val="both"/>
      </w:pPr>
    </w:p>
    <w:sectPr w:rsidR="00B52443" w:rsidRPr="009765C1" w:rsidSect="00C31E36">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A1" w:rsidRDefault="006829A1">
      <w:r>
        <w:separator/>
      </w:r>
    </w:p>
  </w:endnote>
  <w:endnote w:type="continuationSeparator" w:id="0">
    <w:p w:rsidR="006829A1" w:rsidRDefault="0068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5F" w:rsidRPr="003C1E5F" w:rsidRDefault="00F66A65" w:rsidP="003C1E5F">
    <w:pPr>
      <w:pStyle w:val="naislab"/>
      <w:spacing w:before="0" w:after="0"/>
      <w:jc w:val="both"/>
      <w:outlineLvl w:val="0"/>
      <w:rPr>
        <w:sz w:val="20"/>
        <w:szCs w:val="20"/>
      </w:rPr>
    </w:pPr>
    <w:r>
      <w:rPr>
        <w:sz w:val="20"/>
        <w:szCs w:val="20"/>
      </w:rPr>
      <w:t>VARAMAnot_1212</w:t>
    </w:r>
    <w:r w:rsidR="003C1E5F" w:rsidRPr="003C1E5F">
      <w:rPr>
        <w:sz w:val="20"/>
        <w:szCs w:val="20"/>
      </w:rPr>
      <w:t>12_766;</w:t>
    </w:r>
    <w:r w:rsidR="003C1E5F" w:rsidRPr="003C1E5F">
      <w:rPr>
        <w:bCs/>
        <w:sz w:val="20"/>
        <w:szCs w:val="20"/>
      </w:rPr>
      <w:t xml:space="preserve"> Ministru kabineta noteikumu projekta „</w:t>
    </w:r>
    <w:r w:rsidR="003C1E5F" w:rsidRPr="003C1E5F">
      <w:rPr>
        <w:sz w:val="20"/>
        <w:szCs w:val="20"/>
      </w:rPr>
      <w:t xml:space="preserve">Grozījumi Ministru kabineta 2010. gada 10. augusta noteikumos Nr.766 „Noteikumi par darbības programmas „Infrastruktūra un pakalpojumi” papildinājuma 3.2.2.1.1.apakšaktivitātes „Informācijas sistēmu un elektronisko pakalpojumu attīstība” projektu iesniegumu atlases otro </w:t>
    </w:r>
    <w:r w:rsidR="003A499F">
      <w:rPr>
        <w:sz w:val="20"/>
        <w:szCs w:val="20"/>
      </w:rPr>
      <w:t xml:space="preserve">un trešo </w:t>
    </w:r>
    <w:r w:rsidR="003C1E5F" w:rsidRPr="003C1E5F">
      <w:rPr>
        <w:sz w:val="20"/>
        <w:szCs w:val="20"/>
      </w:rPr>
      <w:t>kārtu”</w:t>
    </w:r>
    <w:r w:rsidR="003C1E5F" w:rsidRPr="003C1E5F">
      <w:rPr>
        <w:bCs/>
        <w:sz w:val="20"/>
        <w:szCs w:val="20"/>
      </w:rPr>
      <w:t xml:space="preserve">” </w:t>
    </w:r>
    <w:r w:rsidR="003C1E5F" w:rsidRPr="003C1E5F">
      <w:rPr>
        <w:sz w:val="20"/>
        <w:szCs w:val="20"/>
      </w:rPr>
      <w:t xml:space="preserve">sākotnējās ietekmes novērtējuma </w:t>
    </w:r>
    <w:smartTag w:uri="schemas-tilde-lv/tildestengine" w:element="veidnes">
      <w:smartTagPr>
        <w:attr w:name="id" w:val="-1"/>
        <w:attr w:name="baseform" w:val="ziņojums"/>
        <w:attr w:name="text" w:val="ziņojums"/>
      </w:smartTagPr>
      <w:r w:rsidR="003C1E5F" w:rsidRPr="003C1E5F">
        <w:rPr>
          <w:sz w:val="20"/>
          <w:szCs w:val="20"/>
        </w:rPr>
        <w:t>ziņojums</w:t>
      </w:r>
    </w:smartTag>
    <w:r w:rsidR="003C1E5F" w:rsidRPr="003C1E5F">
      <w:rPr>
        <w:sz w:val="20"/>
        <w:szCs w:val="20"/>
      </w:rPr>
      <w:t xml:space="preserve"> (anotācija)</w:t>
    </w:r>
  </w:p>
  <w:p w:rsidR="003C1E5F" w:rsidRPr="00A5353B" w:rsidRDefault="003C1E5F" w:rsidP="003C1E5F">
    <w:pPr>
      <w:pStyle w:val="naislab"/>
      <w:spacing w:before="0" w:after="0"/>
      <w:jc w:val="both"/>
      <w:outlineLvl w:val="0"/>
      <w:rPr>
        <w:sz w:val="20"/>
        <w:szCs w:val="20"/>
      </w:rPr>
    </w:pPr>
  </w:p>
  <w:p w:rsidR="00EA0D3E" w:rsidRPr="00A5353B" w:rsidRDefault="00EA0D3E" w:rsidP="00A5353B">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B" w:rsidRPr="003C1E5F" w:rsidRDefault="001D5579" w:rsidP="00A96E5B">
    <w:pPr>
      <w:pStyle w:val="naislab"/>
      <w:spacing w:before="0" w:after="0"/>
      <w:jc w:val="both"/>
      <w:outlineLvl w:val="0"/>
      <w:rPr>
        <w:sz w:val="20"/>
        <w:szCs w:val="20"/>
      </w:rPr>
    </w:pPr>
    <w:r w:rsidRPr="003C1E5F">
      <w:rPr>
        <w:sz w:val="20"/>
        <w:szCs w:val="20"/>
      </w:rPr>
      <w:t>VARAMAn</w:t>
    </w:r>
    <w:r w:rsidR="00F66A65">
      <w:rPr>
        <w:sz w:val="20"/>
        <w:szCs w:val="20"/>
      </w:rPr>
      <w:t>ot_1212</w:t>
    </w:r>
    <w:r w:rsidR="003C1E5F" w:rsidRPr="003C1E5F">
      <w:rPr>
        <w:sz w:val="20"/>
        <w:szCs w:val="20"/>
      </w:rPr>
      <w:t>12_</w:t>
    </w:r>
    <w:r w:rsidR="00A96E5B" w:rsidRPr="003C1E5F">
      <w:rPr>
        <w:sz w:val="20"/>
        <w:szCs w:val="20"/>
      </w:rPr>
      <w:t>7</w:t>
    </w:r>
    <w:r w:rsidR="003C1E5F" w:rsidRPr="003C1E5F">
      <w:rPr>
        <w:sz w:val="20"/>
        <w:szCs w:val="20"/>
      </w:rPr>
      <w:t>6</w:t>
    </w:r>
    <w:r w:rsidR="00A96E5B" w:rsidRPr="003C1E5F">
      <w:rPr>
        <w:sz w:val="20"/>
        <w:szCs w:val="20"/>
      </w:rPr>
      <w:t>6</w:t>
    </w:r>
    <w:r w:rsidR="00A5353B" w:rsidRPr="003C1E5F">
      <w:rPr>
        <w:sz w:val="20"/>
        <w:szCs w:val="20"/>
      </w:rPr>
      <w:t>;</w:t>
    </w:r>
    <w:r w:rsidR="00A5353B" w:rsidRPr="003C1E5F">
      <w:rPr>
        <w:bCs/>
        <w:sz w:val="20"/>
        <w:szCs w:val="20"/>
      </w:rPr>
      <w:t xml:space="preserve"> </w:t>
    </w:r>
    <w:r w:rsidR="00A96E5B" w:rsidRPr="003C1E5F">
      <w:rPr>
        <w:bCs/>
        <w:sz w:val="20"/>
        <w:szCs w:val="20"/>
      </w:rPr>
      <w:t>Ministru kabineta noteikumu projekta „</w:t>
    </w:r>
    <w:r w:rsidR="003C1E5F" w:rsidRPr="003C1E5F">
      <w:rPr>
        <w:sz w:val="20"/>
        <w:szCs w:val="20"/>
      </w:rPr>
      <w:t xml:space="preserve">Grozījumi Ministru kabineta 2010. gada 10. augusta noteikumos Nr.766 „Noteikumi par darbības programmas „Infrastruktūra un pakalpojumi” papildinājuma 3.2.2.1.1.apakšaktivitātes „Informācijas sistēmu un elektronisko pakalpojumu attīstība” projektu iesniegumu atlases otro </w:t>
    </w:r>
    <w:r w:rsidR="003A499F">
      <w:rPr>
        <w:sz w:val="20"/>
        <w:szCs w:val="20"/>
      </w:rPr>
      <w:t xml:space="preserve">un trešo </w:t>
    </w:r>
    <w:r w:rsidR="003C1E5F" w:rsidRPr="003C1E5F">
      <w:rPr>
        <w:sz w:val="20"/>
        <w:szCs w:val="20"/>
      </w:rPr>
      <w:t>kārtu</w:t>
    </w:r>
    <w:r w:rsidR="00A96E5B" w:rsidRPr="003C1E5F">
      <w:rPr>
        <w:sz w:val="20"/>
        <w:szCs w:val="20"/>
      </w:rPr>
      <w:t>”</w:t>
    </w:r>
    <w:r w:rsidR="00A96E5B" w:rsidRPr="003C1E5F">
      <w:rPr>
        <w:bCs/>
        <w:sz w:val="20"/>
        <w:szCs w:val="20"/>
      </w:rPr>
      <w:t xml:space="preserve">” </w:t>
    </w:r>
    <w:r w:rsidR="00A96E5B" w:rsidRPr="003C1E5F">
      <w:rPr>
        <w:sz w:val="20"/>
        <w:szCs w:val="20"/>
      </w:rPr>
      <w:t xml:space="preserve">sākotnējās ietekmes novērtējuma </w:t>
    </w:r>
    <w:smartTag w:uri="schemas-tilde-lv/tildestengine" w:element="veidnes">
      <w:smartTagPr>
        <w:attr w:name="id" w:val="-1"/>
        <w:attr w:name="baseform" w:val="ziņojums"/>
        <w:attr w:name="text" w:val="ziņojums"/>
      </w:smartTagPr>
      <w:r w:rsidR="00A96E5B" w:rsidRPr="003C1E5F">
        <w:rPr>
          <w:sz w:val="20"/>
          <w:szCs w:val="20"/>
        </w:rPr>
        <w:t>ziņojums</w:t>
      </w:r>
    </w:smartTag>
    <w:r w:rsidR="00A96E5B" w:rsidRPr="003C1E5F">
      <w:rPr>
        <w:sz w:val="20"/>
        <w:szCs w:val="20"/>
      </w:rPr>
      <w:t xml:space="preserve"> (anotācija)</w:t>
    </w:r>
  </w:p>
  <w:p w:rsidR="00A5353B" w:rsidRPr="00A5353B" w:rsidRDefault="00A5353B" w:rsidP="00A5353B">
    <w:pPr>
      <w:pStyle w:val="naislab"/>
      <w:spacing w:before="0" w:after="0"/>
      <w:jc w:val="both"/>
      <w:outlineLvl w:val="0"/>
      <w:rPr>
        <w:sz w:val="20"/>
        <w:szCs w:val="20"/>
      </w:rPr>
    </w:pPr>
  </w:p>
  <w:p w:rsidR="00EA0D3E" w:rsidRPr="00A5353B" w:rsidRDefault="00EA0D3E" w:rsidP="00A5353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A1" w:rsidRDefault="006829A1">
      <w:r>
        <w:separator/>
      </w:r>
    </w:p>
  </w:footnote>
  <w:footnote w:type="continuationSeparator" w:id="0">
    <w:p w:rsidR="006829A1" w:rsidRDefault="0068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955DE6"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end"/>
    </w:r>
  </w:p>
  <w:p w:rsidR="00EA0D3E" w:rsidRDefault="00EA0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955DE6"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separate"/>
    </w:r>
    <w:r w:rsidR="00D17F44">
      <w:rPr>
        <w:rStyle w:val="PageNumber"/>
        <w:noProof/>
      </w:rPr>
      <w:t>2</w:t>
    </w:r>
    <w:r>
      <w:rPr>
        <w:rStyle w:val="PageNumber"/>
      </w:rPr>
      <w:fldChar w:fldCharType="end"/>
    </w:r>
  </w:p>
  <w:p w:rsidR="00EA0D3E" w:rsidRDefault="00EA0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12E"/>
    <w:multiLevelType w:val="hybridMultilevel"/>
    <w:tmpl w:val="EE12C2D6"/>
    <w:lvl w:ilvl="0" w:tplc="234213DA">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D71723F"/>
    <w:multiLevelType w:val="hybridMultilevel"/>
    <w:tmpl w:val="A622CEB4"/>
    <w:lvl w:ilvl="0" w:tplc="F108849A">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D7350E5"/>
    <w:multiLevelType w:val="hybridMultilevel"/>
    <w:tmpl w:val="B28C2DA4"/>
    <w:lvl w:ilvl="0" w:tplc="233C30F6">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5"/>
  </w:num>
  <w:num w:numId="4">
    <w:abstractNumId w:val="3"/>
  </w:num>
  <w:num w:numId="5">
    <w:abstractNumId w:val="1"/>
  </w:num>
  <w:num w:numId="6">
    <w:abstractNumId w:val="11"/>
  </w:num>
  <w:num w:numId="7">
    <w:abstractNumId w:val="16"/>
  </w:num>
  <w:num w:numId="8">
    <w:abstractNumId w:val="8"/>
  </w:num>
  <w:num w:numId="9">
    <w:abstractNumId w:val="4"/>
  </w:num>
  <w:num w:numId="10">
    <w:abstractNumId w:val="9"/>
  </w:num>
  <w:num w:numId="11">
    <w:abstractNumId w:val="10"/>
  </w:num>
  <w:num w:numId="12">
    <w:abstractNumId w:val="12"/>
  </w:num>
  <w:num w:numId="13">
    <w:abstractNumId w:val="14"/>
  </w:num>
  <w:num w:numId="14">
    <w:abstractNumId w:val="2"/>
  </w:num>
  <w:num w:numId="15">
    <w:abstractNumId w:val="0"/>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20FE1"/>
    <w:rsid w:val="00022E13"/>
    <w:rsid w:val="000271AA"/>
    <w:rsid w:val="00032388"/>
    <w:rsid w:val="00035CE2"/>
    <w:rsid w:val="0004366B"/>
    <w:rsid w:val="0005553B"/>
    <w:rsid w:val="000604D2"/>
    <w:rsid w:val="0009005E"/>
    <w:rsid w:val="00090E1A"/>
    <w:rsid w:val="000941C5"/>
    <w:rsid w:val="000A500D"/>
    <w:rsid w:val="000A60D8"/>
    <w:rsid w:val="000A6451"/>
    <w:rsid w:val="000B064E"/>
    <w:rsid w:val="000B69CF"/>
    <w:rsid w:val="000C790C"/>
    <w:rsid w:val="000D629A"/>
    <w:rsid w:val="000F061D"/>
    <w:rsid w:val="000F4794"/>
    <w:rsid w:val="000F7CA0"/>
    <w:rsid w:val="00106085"/>
    <w:rsid w:val="00124F12"/>
    <w:rsid w:val="00131392"/>
    <w:rsid w:val="001425D1"/>
    <w:rsid w:val="00144E3A"/>
    <w:rsid w:val="0015060C"/>
    <w:rsid w:val="001509C3"/>
    <w:rsid w:val="0016018A"/>
    <w:rsid w:val="00161F0E"/>
    <w:rsid w:val="00167888"/>
    <w:rsid w:val="00170E2A"/>
    <w:rsid w:val="00176BF6"/>
    <w:rsid w:val="00177394"/>
    <w:rsid w:val="00182C18"/>
    <w:rsid w:val="00183CC2"/>
    <w:rsid w:val="001858B8"/>
    <w:rsid w:val="001900E4"/>
    <w:rsid w:val="00190F88"/>
    <w:rsid w:val="001A4066"/>
    <w:rsid w:val="001A6AE4"/>
    <w:rsid w:val="001B01FD"/>
    <w:rsid w:val="001B4A71"/>
    <w:rsid w:val="001B53B6"/>
    <w:rsid w:val="001D1F9E"/>
    <w:rsid w:val="001D5579"/>
    <w:rsid w:val="001D5B54"/>
    <w:rsid w:val="001D6579"/>
    <w:rsid w:val="001D665E"/>
    <w:rsid w:val="001E1DBF"/>
    <w:rsid w:val="001E4639"/>
    <w:rsid w:val="001E4A7D"/>
    <w:rsid w:val="001E624F"/>
    <w:rsid w:val="001F4209"/>
    <w:rsid w:val="001F43A8"/>
    <w:rsid w:val="001F5CD6"/>
    <w:rsid w:val="00200235"/>
    <w:rsid w:val="002110DE"/>
    <w:rsid w:val="0021263D"/>
    <w:rsid w:val="00213F0C"/>
    <w:rsid w:val="00214094"/>
    <w:rsid w:val="0021592D"/>
    <w:rsid w:val="00222D76"/>
    <w:rsid w:val="00223B7A"/>
    <w:rsid w:val="00223EB1"/>
    <w:rsid w:val="00231344"/>
    <w:rsid w:val="0023436E"/>
    <w:rsid w:val="002347C0"/>
    <w:rsid w:val="00241A6C"/>
    <w:rsid w:val="00242D2B"/>
    <w:rsid w:val="00253C49"/>
    <w:rsid w:val="00262E2B"/>
    <w:rsid w:val="00265540"/>
    <w:rsid w:val="00270429"/>
    <w:rsid w:val="002723E9"/>
    <w:rsid w:val="002763E5"/>
    <w:rsid w:val="00277929"/>
    <w:rsid w:val="00283B82"/>
    <w:rsid w:val="002846E9"/>
    <w:rsid w:val="00284C34"/>
    <w:rsid w:val="0029066C"/>
    <w:rsid w:val="002A4913"/>
    <w:rsid w:val="002B46E2"/>
    <w:rsid w:val="002B50DB"/>
    <w:rsid w:val="002C12AB"/>
    <w:rsid w:val="002C7CAC"/>
    <w:rsid w:val="002D3306"/>
    <w:rsid w:val="002D418C"/>
    <w:rsid w:val="002D4477"/>
    <w:rsid w:val="002D48AA"/>
    <w:rsid w:val="002D7BAA"/>
    <w:rsid w:val="002D7F54"/>
    <w:rsid w:val="002E3D78"/>
    <w:rsid w:val="002E3FF4"/>
    <w:rsid w:val="002E67E6"/>
    <w:rsid w:val="002F78C8"/>
    <w:rsid w:val="00301CF3"/>
    <w:rsid w:val="00315D81"/>
    <w:rsid w:val="0032715C"/>
    <w:rsid w:val="00327343"/>
    <w:rsid w:val="00337CA5"/>
    <w:rsid w:val="00362478"/>
    <w:rsid w:val="00367244"/>
    <w:rsid w:val="00375B25"/>
    <w:rsid w:val="0038132C"/>
    <w:rsid w:val="00392394"/>
    <w:rsid w:val="00396542"/>
    <w:rsid w:val="0039685B"/>
    <w:rsid w:val="003A24B9"/>
    <w:rsid w:val="003A31A6"/>
    <w:rsid w:val="003A499F"/>
    <w:rsid w:val="003A7F0C"/>
    <w:rsid w:val="003A7F79"/>
    <w:rsid w:val="003B08B1"/>
    <w:rsid w:val="003B6404"/>
    <w:rsid w:val="003C1E5F"/>
    <w:rsid w:val="003C449B"/>
    <w:rsid w:val="003D21FF"/>
    <w:rsid w:val="003D5E8C"/>
    <w:rsid w:val="003E6829"/>
    <w:rsid w:val="003E7C81"/>
    <w:rsid w:val="003F0112"/>
    <w:rsid w:val="003F071A"/>
    <w:rsid w:val="003F160B"/>
    <w:rsid w:val="003F17EA"/>
    <w:rsid w:val="003F7212"/>
    <w:rsid w:val="00400032"/>
    <w:rsid w:val="00400B5B"/>
    <w:rsid w:val="00401EC5"/>
    <w:rsid w:val="00405A00"/>
    <w:rsid w:val="00420870"/>
    <w:rsid w:val="00422A02"/>
    <w:rsid w:val="00432D0C"/>
    <w:rsid w:val="0043720B"/>
    <w:rsid w:val="0043791B"/>
    <w:rsid w:val="00441483"/>
    <w:rsid w:val="00441BCB"/>
    <w:rsid w:val="0045176A"/>
    <w:rsid w:val="0045516B"/>
    <w:rsid w:val="00456332"/>
    <w:rsid w:val="00457C8E"/>
    <w:rsid w:val="00461826"/>
    <w:rsid w:val="00466AFD"/>
    <w:rsid w:val="004800F9"/>
    <w:rsid w:val="0049134A"/>
    <w:rsid w:val="00491FB7"/>
    <w:rsid w:val="00493E6C"/>
    <w:rsid w:val="00495D0E"/>
    <w:rsid w:val="004A54B7"/>
    <w:rsid w:val="004A58CB"/>
    <w:rsid w:val="004A67F0"/>
    <w:rsid w:val="004B1795"/>
    <w:rsid w:val="004B56DD"/>
    <w:rsid w:val="004C020F"/>
    <w:rsid w:val="004C1AFD"/>
    <w:rsid w:val="004C558B"/>
    <w:rsid w:val="004E4166"/>
    <w:rsid w:val="004F1F88"/>
    <w:rsid w:val="004F3752"/>
    <w:rsid w:val="004F5B0C"/>
    <w:rsid w:val="004F5F1B"/>
    <w:rsid w:val="00501303"/>
    <w:rsid w:val="00502374"/>
    <w:rsid w:val="005060A1"/>
    <w:rsid w:val="00516072"/>
    <w:rsid w:val="005165B7"/>
    <w:rsid w:val="005332EC"/>
    <w:rsid w:val="00534418"/>
    <w:rsid w:val="005353AB"/>
    <w:rsid w:val="00536B7E"/>
    <w:rsid w:val="00540EAA"/>
    <w:rsid w:val="00543702"/>
    <w:rsid w:val="005560BC"/>
    <w:rsid w:val="005573BE"/>
    <w:rsid w:val="0056750F"/>
    <w:rsid w:val="00570BDA"/>
    <w:rsid w:val="00572700"/>
    <w:rsid w:val="00580468"/>
    <w:rsid w:val="00582231"/>
    <w:rsid w:val="0058603B"/>
    <w:rsid w:val="00590B4A"/>
    <w:rsid w:val="0059431B"/>
    <w:rsid w:val="005A39CC"/>
    <w:rsid w:val="005B4730"/>
    <w:rsid w:val="005D6168"/>
    <w:rsid w:val="005D7F40"/>
    <w:rsid w:val="005E05D7"/>
    <w:rsid w:val="005E28C8"/>
    <w:rsid w:val="005E41E7"/>
    <w:rsid w:val="005E450F"/>
    <w:rsid w:val="0062298A"/>
    <w:rsid w:val="00626514"/>
    <w:rsid w:val="00626589"/>
    <w:rsid w:val="00631ED7"/>
    <w:rsid w:val="006339A0"/>
    <w:rsid w:val="006344F7"/>
    <w:rsid w:val="006413A8"/>
    <w:rsid w:val="00642E56"/>
    <w:rsid w:val="00651E00"/>
    <w:rsid w:val="006550A8"/>
    <w:rsid w:val="00662DBB"/>
    <w:rsid w:val="00674572"/>
    <w:rsid w:val="006829A1"/>
    <w:rsid w:val="00687763"/>
    <w:rsid w:val="006904DE"/>
    <w:rsid w:val="00692B0D"/>
    <w:rsid w:val="00693B05"/>
    <w:rsid w:val="00693E0E"/>
    <w:rsid w:val="006A1AE3"/>
    <w:rsid w:val="006B2667"/>
    <w:rsid w:val="006C30E1"/>
    <w:rsid w:val="006C4607"/>
    <w:rsid w:val="006D2332"/>
    <w:rsid w:val="006D48F1"/>
    <w:rsid w:val="006E4447"/>
    <w:rsid w:val="006E5B95"/>
    <w:rsid w:val="006F45BE"/>
    <w:rsid w:val="007004FC"/>
    <w:rsid w:val="00706670"/>
    <w:rsid w:val="00711F59"/>
    <w:rsid w:val="0072417C"/>
    <w:rsid w:val="00734450"/>
    <w:rsid w:val="00744474"/>
    <w:rsid w:val="00745F67"/>
    <w:rsid w:val="0075039E"/>
    <w:rsid w:val="00752D9D"/>
    <w:rsid w:val="00754784"/>
    <w:rsid w:val="00755A48"/>
    <w:rsid w:val="00757C6E"/>
    <w:rsid w:val="00762BDA"/>
    <w:rsid w:val="007805FD"/>
    <w:rsid w:val="00784422"/>
    <w:rsid w:val="0078588B"/>
    <w:rsid w:val="00791040"/>
    <w:rsid w:val="00797039"/>
    <w:rsid w:val="007A258D"/>
    <w:rsid w:val="007B0C28"/>
    <w:rsid w:val="007B3B54"/>
    <w:rsid w:val="007B3FA0"/>
    <w:rsid w:val="007C0F2C"/>
    <w:rsid w:val="007C0F4A"/>
    <w:rsid w:val="007C2BCC"/>
    <w:rsid w:val="007C4EF0"/>
    <w:rsid w:val="007D017F"/>
    <w:rsid w:val="007D099D"/>
    <w:rsid w:val="007E2664"/>
    <w:rsid w:val="007E3ABF"/>
    <w:rsid w:val="007E5BFA"/>
    <w:rsid w:val="007E6689"/>
    <w:rsid w:val="007E731C"/>
    <w:rsid w:val="007F0A03"/>
    <w:rsid w:val="007F6216"/>
    <w:rsid w:val="00810040"/>
    <w:rsid w:val="0082023A"/>
    <w:rsid w:val="00821A7A"/>
    <w:rsid w:val="008253F8"/>
    <w:rsid w:val="008325E4"/>
    <w:rsid w:val="00832A2B"/>
    <w:rsid w:val="0083685B"/>
    <w:rsid w:val="00845811"/>
    <w:rsid w:val="00846994"/>
    <w:rsid w:val="00850451"/>
    <w:rsid w:val="00852042"/>
    <w:rsid w:val="008534C9"/>
    <w:rsid w:val="008543CF"/>
    <w:rsid w:val="0085599D"/>
    <w:rsid w:val="00862079"/>
    <w:rsid w:val="0087510C"/>
    <w:rsid w:val="00884339"/>
    <w:rsid w:val="00890D5A"/>
    <w:rsid w:val="008968D2"/>
    <w:rsid w:val="0089738E"/>
    <w:rsid w:val="008A1F21"/>
    <w:rsid w:val="008A47E7"/>
    <w:rsid w:val="008B5FDB"/>
    <w:rsid w:val="008C50F4"/>
    <w:rsid w:val="008C5649"/>
    <w:rsid w:val="008E2D90"/>
    <w:rsid w:val="008E44A2"/>
    <w:rsid w:val="008E697D"/>
    <w:rsid w:val="00903263"/>
    <w:rsid w:val="00906A21"/>
    <w:rsid w:val="009079C3"/>
    <w:rsid w:val="00910462"/>
    <w:rsid w:val="00910AC7"/>
    <w:rsid w:val="00915AB1"/>
    <w:rsid w:val="00917532"/>
    <w:rsid w:val="009235BA"/>
    <w:rsid w:val="00924023"/>
    <w:rsid w:val="00924CE2"/>
    <w:rsid w:val="00925B9F"/>
    <w:rsid w:val="00931AED"/>
    <w:rsid w:val="009476A3"/>
    <w:rsid w:val="0095188E"/>
    <w:rsid w:val="0095334F"/>
    <w:rsid w:val="00955DE6"/>
    <w:rsid w:val="00965897"/>
    <w:rsid w:val="0096765C"/>
    <w:rsid w:val="009727E4"/>
    <w:rsid w:val="009765C1"/>
    <w:rsid w:val="00984C59"/>
    <w:rsid w:val="009934C5"/>
    <w:rsid w:val="00994C0F"/>
    <w:rsid w:val="009B22D7"/>
    <w:rsid w:val="009B72ED"/>
    <w:rsid w:val="009C6DEB"/>
    <w:rsid w:val="009D6504"/>
    <w:rsid w:val="009E12D7"/>
    <w:rsid w:val="009E661A"/>
    <w:rsid w:val="009F0B5B"/>
    <w:rsid w:val="009F5ACE"/>
    <w:rsid w:val="009F7E48"/>
    <w:rsid w:val="00A0461C"/>
    <w:rsid w:val="00A06781"/>
    <w:rsid w:val="00A074C3"/>
    <w:rsid w:val="00A135C9"/>
    <w:rsid w:val="00A1509C"/>
    <w:rsid w:val="00A158CC"/>
    <w:rsid w:val="00A20B58"/>
    <w:rsid w:val="00A249B9"/>
    <w:rsid w:val="00A26803"/>
    <w:rsid w:val="00A34260"/>
    <w:rsid w:val="00A5353B"/>
    <w:rsid w:val="00A536C9"/>
    <w:rsid w:val="00A57675"/>
    <w:rsid w:val="00A70CFD"/>
    <w:rsid w:val="00A72A0B"/>
    <w:rsid w:val="00A81E42"/>
    <w:rsid w:val="00A85CF4"/>
    <w:rsid w:val="00A864FE"/>
    <w:rsid w:val="00A86F41"/>
    <w:rsid w:val="00A87D04"/>
    <w:rsid w:val="00A950C5"/>
    <w:rsid w:val="00A96E5B"/>
    <w:rsid w:val="00AA07C0"/>
    <w:rsid w:val="00AA0D6F"/>
    <w:rsid w:val="00AA1D25"/>
    <w:rsid w:val="00AB2B1A"/>
    <w:rsid w:val="00AB397F"/>
    <w:rsid w:val="00AB5832"/>
    <w:rsid w:val="00AC2618"/>
    <w:rsid w:val="00AC51F2"/>
    <w:rsid w:val="00AD3269"/>
    <w:rsid w:val="00AE0A3D"/>
    <w:rsid w:val="00AE3F33"/>
    <w:rsid w:val="00AE5066"/>
    <w:rsid w:val="00AE5E24"/>
    <w:rsid w:val="00AE61B7"/>
    <w:rsid w:val="00AE6CBA"/>
    <w:rsid w:val="00AE79AD"/>
    <w:rsid w:val="00AE7D01"/>
    <w:rsid w:val="00AF35E4"/>
    <w:rsid w:val="00AF5CDE"/>
    <w:rsid w:val="00B11A57"/>
    <w:rsid w:val="00B211C3"/>
    <w:rsid w:val="00B25406"/>
    <w:rsid w:val="00B25597"/>
    <w:rsid w:val="00B267B9"/>
    <w:rsid w:val="00B33E09"/>
    <w:rsid w:val="00B50585"/>
    <w:rsid w:val="00B50708"/>
    <w:rsid w:val="00B50C68"/>
    <w:rsid w:val="00B51293"/>
    <w:rsid w:val="00B52443"/>
    <w:rsid w:val="00B52B1E"/>
    <w:rsid w:val="00B553A7"/>
    <w:rsid w:val="00B55481"/>
    <w:rsid w:val="00B56C32"/>
    <w:rsid w:val="00B57ACF"/>
    <w:rsid w:val="00B64BB1"/>
    <w:rsid w:val="00B66CC5"/>
    <w:rsid w:val="00B67675"/>
    <w:rsid w:val="00B703D4"/>
    <w:rsid w:val="00B73166"/>
    <w:rsid w:val="00B82369"/>
    <w:rsid w:val="00B8426C"/>
    <w:rsid w:val="00B91B8D"/>
    <w:rsid w:val="00B94E90"/>
    <w:rsid w:val="00BA3966"/>
    <w:rsid w:val="00BB0A82"/>
    <w:rsid w:val="00BB400F"/>
    <w:rsid w:val="00BB570F"/>
    <w:rsid w:val="00BB74BE"/>
    <w:rsid w:val="00BB7C94"/>
    <w:rsid w:val="00BC0A9D"/>
    <w:rsid w:val="00BC5297"/>
    <w:rsid w:val="00BD33AC"/>
    <w:rsid w:val="00BD63A6"/>
    <w:rsid w:val="00BF40ED"/>
    <w:rsid w:val="00BF5BC2"/>
    <w:rsid w:val="00BF61B4"/>
    <w:rsid w:val="00C00E72"/>
    <w:rsid w:val="00C0232D"/>
    <w:rsid w:val="00C1133D"/>
    <w:rsid w:val="00C152AD"/>
    <w:rsid w:val="00C23881"/>
    <w:rsid w:val="00C27A08"/>
    <w:rsid w:val="00C31312"/>
    <w:rsid w:val="00C31E36"/>
    <w:rsid w:val="00C326C6"/>
    <w:rsid w:val="00C3414A"/>
    <w:rsid w:val="00C35295"/>
    <w:rsid w:val="00C355D5"/>
    <w:rsid w:val="00C36ADD"/>
    <w:rsid w:val="00C36E74"/>
    <w:rsid w:val="00C40595"/>
    <w:rsid w:val="00C41621"/>
    <w:rsid w:val="00C449FA"/>
    <w:rsid w:val="00C52834"/>
    <w:rsid w:val="00C5384F"/>
    <w:rsid w:val="00C5646E"/>
    <w:rsid w:val="00C56964"/>
    <w:rsid w:val="00C656D5"/>
    <w:rsid w:val="00C67103"/>
    <w:rsid w:val="00C71BB9"/>
    <w:rsid w:val="00C74F5B"/>
    <w:rsid w:val="00C81640"/>
    <w:rsid w:val="00C912C6"/>
    <w:rsid w:val="00C91A09"/>
    <w:rsid w:val="00C94C28"/>
    <w:rsid w:val="00CB020C"/>
    <w:rsid w:val="00CB0247"/>
    <w:rsid w:val="00CB3440"/>
    <w:rsid w:val="00CB4858"/>
    <w:rsid w:val="00CB5366"/>
    <w:rsid w:val="00CB777C"/>
    <w:rsid w:val="00CB7DD7"/>
    <w:rsid w:val="00CC1692"/>
    <w:rsid w:val="00CD138B"/>
    <w:rsid w:val="00CD3E31"/>
    <w:rsid w:val="00CD74A3"/>
    <w:rsid w:val="00CE0527"/>
    <w:rsid w:val="00CE5B23"/>
    <w:rsid w:val="00CE646D"/>
    <w:rsid w:val="00CF54B2"/>
    <w:rsid w:val="00CF70AD"/>
    <w:rsid w:val="00CF7729"/>
    <w:rsid w:val="00D00059"/>
    <w:rsid w:val="00D01131"/>
    <w:rsid w:val="00D10349"/>
    <w:rsid w:val="00D107FA"/>
    <w:rsid w:val="00D12275"/>
    <w:rsid w:val="00D12766"/>
    <w:rsid w:val="00D17F44"/>
    <w:rsid w:val="00D20FF4"/>
    <w:rsid w:val="00D24D2C"/>
    <w:rsid w:val="00D35881"/>
    <w:rsid w:val="00D51E34"/>
    <w:rsid w:val="00D52FDF"/>
    <w:rsid w:val="00D57F38"/>
    <w:rsid w:val="00D643C8"/>
    <w:rsid w:val="00D9753A"/>
    <w:rsid w:val="00DA7DA5"/>
    <w:rsid w:val="00DB073B"/>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250B1"/>
    <w:rsid w:val="00E27D78"/>
    <w:rsid w:val="00E323A2"/>
    <w:rsid w:val="00E33086"/>
    <w:rsid w:val="00E37F98"/>
    <w:rsid w:val="00E46559"/>
    <w:rsid w:val="00E6126D"/>
    <w:rsid w:val="00E6670C"/>
    <w:rsid w:val="00E73E87"/>
    <w:rsid w:val="00E776E8"/>
    <w:rsid w:val="00E80BBA"/>
    <w:rsid w:val="00E92C1F"/>
    <w:rsid w:val="00E95D4B"/>
    <w:rsid w:val="00EA0D3E"/>
    <w:rsid w:val="00EB199F"/>
    <w:rsid w:val="00EC23F7"/>
    <w:rsid w:val="00EC4BD8"/>
    <w:rsid w:val="00EC63EB"/>
    <w:rsid w:val="00ED412F"/>
    <w:rsid w:val="00EE69A5"/>
    <w:rsid w:val="00EF36B2"/>
    <w:rsid w:val="00F1246B"/>
    <w:rsid w:val="00F126A0"/>
    <w:rsid w:val="00F201EC"/>
    <w:rsid w:val="00F20647"/>
    <w:rsid w:val="00F208A9"/>
    <w:rsid w:val="00F20F02"/>
    <w:rsid w:val="00F21EB3"/>
    <w:rsid w:val="00F33720"/>
    <w:rsid w:val="00F41D75"/>
    <w:rsid w:val="00F42C2E"/>
    <w:rsid w:val="00F5139D"/>
    <w:rsid w:val="00F52EB1"/>
    <w:rsid w:val="00F61029"/>
    <w:rsid w:val="00F62B2A"/>
    <w:rsid w:val="00F63DAC"/>
    <w:rsid w:val="00F66A65"/>
    <w:rsid w:val="00F7454F"/>
    <w:rsid w:val="00F77988"/>
    <w:rsid w:val="00F77F48"/>
    <w:rsid w:val="00F95FE4"/>
    <w:rsid w:val="00FB30F1"/>
    <w:rsid w:val="00FB53E7"/>
    <w:rsid w:val="00FD2A8A"/>
    <w:rsid w:val="00FD37BC"/>
    <w:rsid w:val="00FE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flexinput2">
    <w:name w:val="flexinput2"/>
    <w:basedOn w:val="DefaultParagraphFont"/>
    <w:rsid w:val="00A5353B"/>
  </w:style>
  <w:style w:type="paragraph" w:styleId="BodyText">
    <w:name w:val="Body Text"/>
    <w:basedOn w:val="Normal"/>
    <w:link w:val="BodyTextChar"/>
    <w:rsid w:val="00A5353B"/>
    <w:pPr>
      <w:jc w:val="center"/>
    </w:pPr>
    <w:rPr>
      <w:b/>
      <w:bCs/>
      <w:sz w:val="28"/>
      <w:lang w:eastAsia="en-US"/>
    </w:rPr>
  </w:style>
  <w:style w:type="character" w:customStyle="1" w:styleId="BodyTextChar">
    <w:name w:val="Body Text Char"/>
    <w:basedOn w:val="DefaultParagraphFont"/>
    <w:link w:val="BodyText"/>
    <w:rsid w:val="00A5353B"/>
    <w:rPr>
      <w:b/>
      <w:bCs/>
      <w:sz w:val="28"/>
      <w:szCs w:val="24"/>
      <w:lang w:eastAsia="en-US"/>
    </w:rPr>
  </w:style>
  <w:style w:type="character" w:customStyle="1" w:styleId="spelle">
    <w:name w:val="spelle"/>
    <w:basedOn w:val="DefaultParagraphFont"/>
    <w:rsid w:val="00F20F02"/>
  </w:style>
  <w:style w:type="paragraph" w:styleId="ListParagraph">
    <w:name w:val="List Paragraph"/>
    <w:basedOn w:val="Normal"/>
    <w:uiPriority w:val="34"/>
    <w:qFormat/>
    <w:rsid w:val="00F20F02"/>
    <w:pPr>
      <w:ind w:left="720"/>
      <w:contextualSpacing/>
    </w:pPr>
  </w:style>
  <w:style w:type="character" w:customStyle="1" w:styleId="ms-rtecustom-rakstavirsraksts1">
    <w:name w:val="ms-rtecustom-rakstavirsraksts1"/>
    <w:rsid w:val="009F7E48"/>
    <w:rPr>
      <w:rFonts w:ascii="Tahoma" w:hAnsi="Tahoma" w:cs="Tahoma" w:hint="default"/>
      <w:b/>
      <w:bCs/>
      <w:color w:val="DA4D4D"/>
      <w:sz w:val="24"/>
      <w:szCs w:val="24"/>
    </w:rPr>
  </w:style>
  <w:style w:type="character" w:customStyle="1" w:styleId="HeaderChar">
    <w:name w:val="Header Char"/>
    <w:link w:val="Header"/>
    <w:rsid w:val="00E27D78"/>
    <w:rPr>
      <w:sz w:val="24"/>
      <w:szCs w:val="24"/>
    </w:rPr>
  </w:style>
</w:styles>
</file>

<file path=word/webSettings.xml><?xml version="1.0" encoding="utf-8"?>
<w:webSettings xmlns:r="http://schemas.openxmlformats.org/officeDocument/2006/relationships" xmlns:w="http://schemas.openxmlformats.org/wordprocessingml/2006/main">
  <w:divs>
    <w:div w:id="41562232">
      <w:bodyDiv w:val="1"/>
      <w:marLeft w:val="45"/>
      <w:marRight w:val="45"/>
      <w:marTop w:val="90"/>
      <w:marBottom w:val="90"/>
      <w:divBdr>
        <w:top w:val="none" w:sz="0" w:space="0" w:color="auto"/>
        <w:left w:val="none" w:sz="0" w:space="0" w:color="auto"/>
        <w:bottom w:val="none" w:sz="0" w:space="0" w:color="auto"/>
        <w:right w:val="none" w:sz="0" w:space="0" w:color="auto"/>
      </w:divBdr>
      <w:divsChild>
        <w:div w:id="999385973">
          <w:marLeft w:val="0"/>
          <w:marRight w:val="0"/>
          <w:marTop w:val="0"/>
          <w:marBottom w:val="567"/>
          <w:divBdr>
            <w:top w:val="none" w:sz="0" w:space="0" w:color="auto"/>
            <w:left w:val="none" w:sz="0" w:space="0" w:color="auto"/>
            <w:bottom w:val="none" w:sz="0" w:space="0" w:color="auto"/>
            <w:right w:val="none" w:sz="0" w:space="0" w:color="auto"/>
          </w:divBdr>
        </w:div>
      </w:divsChild>
    </w:div>
    <w:div w:id="453642861">
      <w:bodyDiv w:val="1"/>
      <w:marLeft w:val="0"/>
      <w:marRight w:val="0"/>
      <w:marTop w:val="0"/>
      <w:marBottom w:val="0"/>
      <w:divBdr>
        <w:top w:val="none" w:sz="0" w:space="0" w:color="auto"/>
        <w:left w:val="none" w:sz="0" w:space="0" w:color="auto"/>
        <w:bottom w:val="none" w:sz="0" w:space="0" w:color="auto"/>
        <w:right w:val="none" w:sz="0" w:space="0" w:color="auto"/>
      </w:divBdr>
    </w:div>
    <w:div w:id="454834870">
      <w:bodyDiv w:val="1"/>
      <w:marLeft w:val="0"/>
      <w:marRight w:val="0"/>
      <w:marTop w:val="0"/>
      <w:marBottom w:val="0"/>
      <w:divBdr>
        <w:top w:val="none" w:sz="0" w:space="0" w:color="auto"/>
        <w:left w:val="none" w:sz="0" w:space="0" w:color="auto"/>
        <w:bottom w:val="none" w:sz="0" w:space="0" w:color="auto"/>
        <w:right w:val="none" w:sz="0" w:space="0" w:color="auto"/>
      </w:divBdr>
    </w:div>
    <w:div w:id="930774339">
      <w:bodyDiv w:val="1"/>
      <w:marLeft w:val="45"/>
      <w:marRight w:val="45"/>
      <w:marTop w:val="90"/>
      <w:marBottom w:val="90"/>
      <w:divBdr>
        <w:top w:val="none" w:sz="0" w:space="0" w:color="auto"/>
        <w:left w:val="none" w:sz="0" w:space="0" w:color="auto"/>
        <w:bottom w:val="none" w:sz="0" w:space="0" w:color="auto"/>
        <w:right w:val="none" w:sz="0" w:space="0" w:color="auto"/>
      </w:divBdr>
      <w:divsChild>
        <w:div w:id="267080438">
          <w:marLeft w:val="0"/>
          <w:marRight w:val="0"/>
          <w:marTop w:val="0"/>
          <w:marBottom w:val="567"/>
          <w:divBdr>
            <w:top w:val="none" w:sz="0" w:space="0" w:color="auto"/>
            <w:left w:val="none" w:sz="0" w:space="0" w:color="auto"/>
            <w:bottom w:val="none" w:sz="0" w:space="0" w:color="auto"/>
            <w:right w:val="none" w:sz="0" w:space="0" w:color="auto"/>
          </w:divBdr>
        </w:div>
      </w:divsChild>
    </w:div>
    <w:div w:id="19963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18:20100101:LV: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ars.Laurs@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51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kumi.lv/doc.php?id=215664" TargetMode="External"/><Relationship Id="rId4" Type="http://schemas.openxmlformats.org/officeDocument/2006/relationships/settings" Target="settings.xml"/><Relationship Id="rId9" Type="http://schemas.openxmlformats.org/officeDocument/2006/relationships/hyperlink" Target="http://www.likumi.lv/doc.php?id=21566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ED48A-1015-4D54-8EF2-A7390473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10. augusta noteikumos Nr.766 „Noteikumi par darbības programmas „Infrastruktūra un pakalpojumi” papildinājuma 3.2.2.1.1.apakšaktivitātes „Informācijas sistēmu un elektronisko pa</vt:lpstr>
    </vt:vector>
  </TitlesOfParts>
  <Company>Valsts kanceleja, Politikas koordinācijas departaments</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10. augusta noteikumos Nr.766 „Noteikumi par darbības programmas „Infrastruktūra un pakalpojumi” papildinājuma 3.2.2.1.1.apakšaktivitātes „Informācijas sistēmu un elektronisko pakalpojumu attīstība” projektu iesniegumu atlases otro un trešo kārtu”” sākotnējās ietekmes novērtējuma ziņojums (anotācija)</dc:title>
  <dc:subject>anotācija</dc:subject>
  <dc:creator>Madars Laurs</dc:creator>
  <dc:description>Madars.Laurs@varam.gov.lv; tālr. 67770455</dc:description>
  <cp:lastModifiedBy>Madars L.</cp:lastModifiedBy>
  <cp:revision>7</cp:revision>
  <cp:lastPrinted>2010-01-04T11:31:00Z</cp:lastPrinted>
  <dcterms:created xsi:type="dcterms:W3CDTF">2012-12-12T14:25:00Z</dcterms:created>
  <dcterms:modified xsi:type="dcterms:W3CDTF">2012-12-13T10:33:00Z</dcterms:modified>
</cp:coreProperties>
</file>