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CE646D" w:rsidRDefault="00C91A09" w:rsidP="00AD3269">
      <w:pPr>
        <w:pStyle w:val="naislab"/>
        <w:spacing w:before="0" w:after="0"/>
        <w:jc w:val="center"/>
        <w:outlineLvl w:val="0"/>
        <w:rPr>
          <w:b/>
        </w:rPr>
      </w:pPr>
      <w:r w:rsidRPr="00CE646D">
        <w:rPr>
          <w:b/>
          <w:bCs/>
        </w:rPr>
        <w:t>Ministru kabineta noteikumu projekta „</w:t>
      </w:r>
      <w:r w:rsidR="001D6579" w:rsidRPr="00CE646D">
        <w:rPr>
          <w:b/>
        </w:rPr>
        <w:t>Grozījumi Ministru kabine</w:t>
      </w:r>
      <w:r w:rsidR="00F33720" w:rsidRPr="00CE646D">
        <w:rPr>
          <w:b/>
        </w:rPr>
        <w:t>ta 2008.gada 21.jūlija noteikumos</w:t>
      </w:r>
      <w:r w:rsidR="001D6579" w:rsidRPr="00CE646D">
        <w:rPr>
          <w:b/>
        </w:rPr>
        <w:t xml:space="preserve"> Nr.576 „Noteikumi par darbības programmas „Infrastruktūra un pakalpojumi” papildi</w:t>
      </w:r>
      <w:r w:rsidR="00F33720" w:rsidRPr="00CE646D">
        <w:rPr>
          <w:b/>
        </w:rPr>
        <w:t>nājuma 3.2.2.1.1.apakšaktivitātes</w:t>
      </w:r>
      <w:r w:rsidR="001D6579" w:rsidRPr="00CE646D">
        <w:rPr>
          <w:b/>
        </w:rPr>
        <w:t xml:space="preserve"> „Informācijas sistēmu un elektronisko pakalpojumu attīstība” projektu iesniegumu atlases pirmo kārtu”</w:t>
      </w:r>
      <w:r w:rsidRPr="00CE646D">
        <w:rPr>
          <w:b/>
          <w:bCs/>
        </w:rPr>
        <w:t>”</w:t>
      </w:r>
      <w:r w:rsidR="00D9753A" w:rsidRPr="00CE646D">
        <w:rPr>
          <w:b/>
          <w:bCs/>
        </w:rPr>
        <w:t xml:space="preserve"> </w:t>
      </w:r>
      <w:r w:rsidR="00852042" w:rsidRPr="00CE646D">
        <w:rPr>
          <w:b/>
        </w:rPr>
        <w:t>sākotnējā</w:t>
      </w:r>
      <w:r w:rsidR="002D3306" w:rsidRPr="00CE646D">
        <w:rPr>
          <w:b/>
        </w:rPr>
        <w:t>s</w:t>
      </w:r>
      <w:r w:rsidR="00852042" w:rsidRPr="00CE646D">
        <w:rPr>
          <w:b/>
        </w:rPr>
        <w:t xml:space="preserve"> ietekmes novērtējuma </w:t>
      </w:r>
      <w:smartTag w:uri="schemas-tilde-lv/tildestengine" w:element="veidnes">
        <w:smartTagPr>
          <w:attr w:name="id" w:val="-1"/>
          <w:attr w:name="baseform" w:val="ziņojums"/>
          <w:attr w:name="text" w:val="ziņojums"/>
        </w:smartTagPr>
        <w:r w:rsidR="00852042" w:rsidRPr="00CE646D">
          <w:rPr>
            <w:b/>
          </w:rPr>
          <w:t>ziņojums</w:t>
        </w:r>
      </w:smartTag>
      <w:r w:rsidR="00852042" w:rsidRPr="00CE646D">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133"/>
        <w:gridCol w:w="5042"/>
      </w:tblGrid>
      <w:tr w:rsidR="00852042" w:rsidRPr="00CE646D">
        <w:tc>
          <w:tcPr>
            <w:tcW w:w="9725" w:type="dxa"/>
            <w:gridSpan w:val="3"/>
            <w:vAlign w:val="center"/>
          </w:tcPr>
          <w:p w:rsidR="00852042" w:rsidRPr="00CE646D" w:rsidRDefault="00852042" w:rsidP="006C4607">
            <w:pPr>
              <w:pStyle w:val="naisnod"/>
              <w:spacing w:before="0" w:after="0"/>
            </w:pPr>
            <w:r w:rsidRPr="00CE646D">
              <w:t>I</w:t>
            </w:r>
            <w:r w:rsidR="000941C5" w:rsidRPr="00CE646D">
              <w:t>.</w:t>
            </w:r>
            <w:r w:rsidRPr="00CE646D">
              <w:t xml:space="preserve"> Tiesību akta </w:t>
            </w:r>
            <w:r w:rsidR="002E3FF4" w:rsidRPr="00CE646D">
              <w:t xml:space="preserve">projekta </w:t>
            </w:r>
            <w:r w:rsidRPr="00CE646D">
              <w:t>izstrādes nepieciešamība</w:t>
            </w:r>
          </w:p>
        </w:tc>
      </w:tr>
      <w:tr w:rsidR="00262E2B" w:rsidRPr="00CE646D" w:rsidTr="00C91A09">
        <w:trPr>
          <w:trHeight w:val="630"/>
        </w:trPr>
        <w:tc>
          <w:tcPr>
            <w:tcW w:w="550" w:type="dxa"/>
          </w:tcPr>
          <w:p w:rsidR="00262E2B" w:rsidRPr="00CE646D" w:rsidRDefault="00262E2B" w:rsidP="006C4607">
            <w:pPr>
              <w:pStyle w:val="naiskr"/>
              <w:spacing w:before="0" w:after="0"/>
            </w:pPr>
            <w:r w:rsidRPr="00CE646D">
              <w:t>1.</w:t>
            </w:r>
          </w:p>
        </w:tc>
        <w:tc>
          <w:tcPr>
            <w:tcW w:w="4133" w:type="dxa"/>
          </w:tcPr>
          <w:p w:rsidR="00262E2B" w:rsidRPr="00CE646D" w:rsidRDefault="002D7F54" w:rsidP="006C4607">
            <w:pPr>
              <w:pStyle w:val="naiskr"/>
              <w:spacing w:before="0" w:after="0"/>
              <w:ind w:hanging="10"/>
            </w:pPr>
            <w:r w:rsidRPr="00CE646D">
              <w:t>Pamatojums</w:t>
            </w:r>
          </w:p>
        </w:tc>
        <w:tc>
          <w:tcPr>
            <w:tcW w:w="5042" w:type="dxa"/>
          </w:tcPr>
          <w:p w:rsidR="00262E2B" w:rsidRDefault="002E3D78" w:rsidP="009F0B5B">
            <w:pPr>
              <w:jc w:val="both"/>
            </w:pPr>
            <w:r>
              <w:t xml:space="preserve">1. </w:t>
            </w:r>
            <w:r w:rsidR="00EA0D3E" w:rsidRPr="00CE646D">
              <w:t xml:space="preserve">2012.gada 14.jūnija </w:t>
            </w:r>
            <w:proofErr w:type="spellStart"/>
            <w:r w:rsidR="00EA0D3E" w:rsidRPr="00CE646D">
              <w:rPr>
                <w:i/>
              </w:rPr>
              <w:t>Eu</w:t>
            </w:r>
            <w:r w:rsidR="00C91A09" w:rsidRPr="00CE646D">
              <w:rPr>
                <w:i/>
              </w:rPr>
              <w:t>ro</w:t>
            </w:r>
            <w:proofErr w:type="spellEnd"/>
            <w:r w:rsidR="00C91A09" w:rsidRPr="00CE646D">
              <w:t xml:space="preserve"> projekta Vadības komitejas sēdes </w:t>
            </w:r>
            <w:proofErr w:type="spellStart"/>
            <w:r w:rsidR="00C91A09" w:rsidRPr="00CE646D">
              <w:t>protokolēmuma</w:t>
            </w:r>
            <w:proofErr w:type="spellEnd"/>
            <w:r w:rsidR="00C91A09" w:rsidRPr="00CE646D">
              <w:t xml:space="preserve"> Nr.1-2-02/4 4.2. apakšpunkts</w:t>
            </w:r>
            <w:r w:rsidR="009F0B5B" w:rsidRPr="00CE646D">
              <w:t>.</w:t>
            </w:r>
          </w:p>
          <w:p w:rsidR="002E3D78" w:rsidRPr="00CE646D" w:rsidRDefault="002E3D78" w:rsidP="009F0B5B">
            <w:pPr>
              <w:jc w:val="both"/>
            </w:pPr>
            <w:r>
              <w:t xml:space="preserve">2. 2012. gada 11. septembrī pieņemtā Ministru kabineta rīkojuma </w:t>
            </w:r>
            <w:r w:rsidRPr="00B45F04">
              <w:rPr>
                <w:szCs w:val="28"/>
              </w:rPr>
              <w:t xml:space="preserve">„Par finansējuma piešķiršanu ministrijām (centrālajām valsts iestādēm) </w:t>
            </w:r>
            <w:proofErr w:type="spellStart"/>
            <w:r w:rsidRPr="00B45F04">
              <w:rPr>
                <w:i/>
                <w:szCs w:val="28"/>
              </w:rPr>
              <w:t>euro</w:t>
            </w:r>
            <w:proofErr w:type="spellEnd"/>
            <w:r w:rsidRPr="00B45F04">
              <w:rPr>
                <w:szCs w:val="28"/>
              </w:rPr>
              <w:t xml:space="preserve"> ieviešanas izdevumu segšanai”</w:t>
            </w:r>
            <w:r>
              <w:rPr>
                <w:szCs w:val="28"/>
              </w:rPr>
              <w:t xml:space="preserve"> (prot. Nr. 51</w:t>
            </w:r>
            <w:bookmarkStart w:id="0" w:name="12"/>
            <w:r>
              <w:rPr>
                <w:szCs w:val="28"/>
              </w:rPr>
              <w:t xml:space="preserve"> </w:t>
            </w:r>
            <w:r w:rsidRPr="00B45F04">
              <w:rPr>
                <w:szCs w:val="28"/>
              </w:rPr>
              <w:t>12</w:t>
            </w:r>
            <w:bookmarkEnd w:id="0"/>
            <w:r w:rsidRPr="00B45F04">
              <w:rPr>
                <w:szCs w:val="28"/>
              </w:rPr>
              <w:t>.§)</w:t>
            </w:r>
            <w:r>
              <w:rPr>
                <w:szCs w:val="28"/>
              </w:rPr>
              <w:t xml:space="preserve"> 9. un 10. punkts.</w:t>
            </w:r>
          </w:p>
        </w:tc>
      </w:tr>
      <w:tr w:rsidR="00262E2B" w:rsidRPr="00CE646D" w:rsidTr="00C91A09">
        <w:trPr>
          <w:trHeight w:val="472"/>
        </w:trPr>
        <w:tc>
          <w:tcPr>
            <w:tcW w:w="550" w:type="dxa"/>
          </w:tcPr>
          <w:p w:rsidR="00262E2B" w:rsidRPr="00CE646D" w:rsidRDefault="00262E2B" w:rsidP="006C4607">
            <w:pPr>
              <w:pStyle w:val="naiskr"/>
              <w:spacing w:before="0" w:after="0"/>
            </w:pPr>
            <w:r w:rsidRPr="00CE646D">
              <w:t>2.</w:t>
            </w:r>
          </w:p>
        </w:tc>
        <w:tc>
          <w:tcPr>
            <w:tcW w:w="4133" w:type="dxa"/>
          </w:tcPr>
          <w:p w:rsidR="00262E2B" w:rsidRPr="00CE646D" w:rsidRDefault="00262E2B" w:rsidP="006C4607">
            <w:pPr>
              <w:pStyle w:val="naiskr"/>
              <w:tabs>
                <w:tab w:val="left" w:pos="170"/>
              </w:tabs>
              <w:spacing w:before="0" w:after="0"/>
            </w:pPr>
            <w:r w:rsidRPr="00CE646D">
              <w:t>Pašreizējā situācija</w:t>
            </w:r>
            <w:r w:rsidR="001F5CD6" w:rsidRPr="00CE646D">
              <w:t xml:space="preserve"> un problēmas</w:t>
            </w:r>
          </w:p>
        </w:tc>
        <w:tc>
          <w:tcPr>
            <w:tcW w:w="5042" w:type="dxa"/>
          </w:tcPr>
          <w:p w:rsidR="00FD37BC" w:rsidRPr="00CE646D" w:rsidRDefault="00A0461C" w:rsidP="00A0461C">
            <w:pPr>
              <w:ind w:firstLine="720"/>
              <w:jc w:val="both"/>
            </w:pPr>
            <w:r w:rsidRPr="00CE646D">
              <w:t xml:space="preserve">1. </w:t>
            </w:r>
            <w:r w:rsidR="009F0B5B" w:rsidRPr="00CE646D">
              <w:t>Saska</w:t>
            </w:r>
            <w:r w:rsidR="00B50585" w:rsidRPr="00CE646D">
              <w:t>ņā ar Ministru prezidenta 2005. </w:t>
            </w:r>
            <w:r w:rsidR="009F0B5B" w:rsidRPr="00CE646D">
              <w:t>gada 18. jūlija rīkojumu Nr. 308 „</w:t>
            </w:r>
            <w:r w:rsidR="009F0B5B" w:rsidRPr="00CE646D">
              <w:rPr>
                <w:bCs/>
              </w:rPr>
              <w:t>Par vadības komitejas izveidošanu”</w:t>
            </w:r>
            <w:r w:rsidR="009F0B5B" w:rsidRPr="00CE646D">
              <w:t xml:space="preserve"> tika izveidota Vadības komi</w:t>
            </w:r>
            <w:r w:rsidRPr="00CE646D">
              <w:t xml:space="preserve">teja Eiropas vienotās valūtas </w:t>
            </w:r>
            <w:proofErr w:type="spellStart"/>
            <w:r w:rsidRPr="00CE646D">
              <w:rPr>
                <w:i/>
              </w:rPr>
              <w:t>eu</w:t>
            </w:r>
            <w:r w:rsidR="009F0B5B" w:rsidRPr="00CE646D">
              <w:rPr>
                <w:i/>
              </w:rPr>
              <w:t>ro</w:t>
            </w:r>
            <w:proofErr w:type="spellEnd"/>
            <w:r w:rsidR="009F0B5B" w:rsidRPr="00CE646D">
              <w:t xml:space="preserve"> ieviešanai Latvijā. Vadīb</w:t>
            </w:r>
            <w:r w:rsidRPr="00CE646D">
              <w:t xml:space="preserve">as komitejas uzdevums ir </w:t>
            </w:r>
            <w:proofErr w:type="spellStart"/>
            <w:r w:rsidRPr="00CE646D">
              <w:rPr>
                <w:i/>
              </w:rPr>
              <w:t>eu</w:t>
            </w:r>
            <w:r w:rsidR="009F0B5B" w:rsidRPr="00CE646D">
              <w:rPr>
                <w:i/>
              </w:rPr>
              <w:t>ro</w:t>
            </w:r>
            <w:proofErr w:type="spellEnd"/>
            <w:r w:rsidR="009F0B5B" w:rsidRPr="00CE646D">
              <w:t xml:space="preserve"> ieviešanas stratēģijas izvēle, plāna izstrādes kontrole, kā arī nepieciešamo pasākumu koordinēšana </w:t>
            </w:r>
            <w:r w:rsidR="00A135C9" w:rsidRPr="00CE646D">
              <w:t>un vadība.</w:t>
            </w:r>
            <w:proofErr w:type="gramStart"/>
            <w:r w:rsidR="00A135C9" w:rsidRPr="00CE646D">
              <w:t xml:space="preserve"> </w:t>
            </w:r>
            <w:r w:rsidR="00FD37BC" w:rsidRPr="00CE646D">
              <w:t xml:space="preserve">  </w:t>
            </w:r>
            <w:proofErr w:type="gramEnd"/>
          </w:p>
          <w:p w:rsidR="00A0461C" w:rsidRPr="00CE646D" w:rsidRDefault="00A135C9" w:rsidP="00A0461C">
            <w:pPr>
              <w:ind w:firstLine="720"/>
              <w:jc w:val="both"/>
            </w:pPr>
            <w:r w:rsidRPr="00CE646D">
              <w:t>2012.gada 14.jūnija</w:t>
            </w:r>
            <w:r w:rsidR="009F0B5B" w:rsidRPr="00CE646D">
              <w:t xml:space="preserve"> vadības komitejas sēdē tika nolemts</w:t>
            </w:r>
            <w:r w:rsidR="004E4166" w:rsidRPr="00CE646D">
              <w:t xml:space="preserve"> (</w:t>
            </w:r>
            <w:proofErr w:type="spellStart"/>
            <w:r w:rsidR="004E4166" w:rsidRPr="00CE646D">
              <w:t>protokolēmuma</w:t>
            </w:r>
            <w:proofErr w:type="spellEnd"/>
            <w:r w:rsidR="004E4166" w:rsidRPr="00CE646D">
              <w:t xml:space="preserve"> Nr.1-2-02/4 4.2. apakšpunkts)</w:t>
            </w:r>
            <w:r w:rsidR="00422A02" w:rsidRPr="00CE646D">
              <w:t xml:space="preserve">, ka ar </w:t>
            </w:r>
            <w:proofErr w:type="spellStart"/>
            <w:r w:rsidR="00422A02" w:rsidRPr="00CE646D">
              <w:rPr>
                <w:i/>
              </w:rPr>
              <w:t>eu</w:t>
            </w:r>
            <w:r w:rsidR="009F0B5B" w:rsidRPr="00CE646D">
              <w:rPr>
                <w:i/>
              </w:rPr>
              <w:t>ro</w:t>
            </w:r>
            <w:proofErr w:type="spellEnd"/>
            <w:r w:rsidR="009F0B5B" w:rsidRPr="00CE646D">
              <w:t xml:space="preserve"> ieviešanu saistīto informācijas sistēmu izmaiņām nepieciešamos līgumus </w:t>
            </w:r>
            <w:r w:rsidRPr="00CE646D">
              <w:t>ir jāuzsāk</w:t>
            </w:r>
            <w:r w:rsidR="009F0B5B" w:rsidRPr="00CE646D">
              <w:t xml:space="preserve"> sakārtot 2012. gadā, </w:t>
            </w:r>
            <w:r w:rsidRPr="00CE646D">
              <w:t>proti, jāizsludina</w:t>
            </w:r>
            <w:r w:rsidR="009F0B5B" w:rsidRPr="00CE646D">
              <w:t xml:space="preserve"> </w:t>
            </w:r>
            <w:r w:rsidR="004E4166" w:rsidRPr="00CE646D">
              <w:t>jauni publiskie iepirkumi, kuru</w:t>
            </w:r>
            <w:r w:rsidR="009F0B5B" w:rsidRPr="00CE646D">
              <w:t xml:space="preserve"> mērķi</w:t>
            </w:r>
            <w:r w:rsidR="004E4166" w:rsidRPr="00CE646D">
              <w:t>s</w:t>
            </w:r>
            <w:r w:rsidR="009F0B5B" w:rsidRPr="00CE646D">
              <w:t xml:space="preserve"> </w:t>
            </w:r>
            <w:r w:rsidR="00422A02" w:rsidRPr="00CE646D">
              <w:t>ir veikt izmaiņas</w:t>
            </w:r>
            <w:r w:rsidR="009F0B5B" w:rsidRPr="00CE646D">
              <w:t xml:space="preserve"> </w:t>
            </w:r>
            <w:r w:rsidR="004E4166" w:rsidRPr="00CE646D">
              <w:t xml:space="preserve">informācijas sistēmās </w:t>
            </w:r>
            <w:r w:rsidR="009F0B5B" w:rsidRPr="00CE646D">
              <w:t>2013. gada sākumā.</w:t>
            </w:r>
            <w:r w:rsidRPr="00CE646D">
              <w:t xml:space="preserve"> </w:t>
            </w:r>
          </w:p>
          <w:p w:rsidR="0004366B" w:rsidRDefault="00A0461C" w:rsidP="0004366B">
            <w:pPr>
              <w:ind w:firstLine="720"/>
              <w:jc w:val="both"/>
              <w:rPr>
                <w:bCs/>
              </w:rPr>
            </w:pPr>
            <w:r w:rsidRPr="00CE646D">
              <w:t xml:space="preserve">2. </w:t>
            </w:r>
            <w:r w:rsidRPr="00CE646D">
              <w:rPr>
                <w:bCs/>
              </w:rPr>
              <w:t>F</w:t>
            </w:r>
            <w:r w:rsidR="00FD37BC" w:rsidRPr="00CE646D">
              <w:rPr>
                <w:bCs/>
              </w:rPr>
              <w:t xml:space="preserve">inansējumu </w:t>
            </w:r>
            <w:r w:rsidR="00FD37BC" w:rsidRPr="00CE646D">
              <w:t xml:space="preserve">informācijas sistēmu pielāgošanai </w:t>
            </w:r>
            <w:proofErr w:type="spellStart"/>
            <w:r w:rsidR="00FD37BC" w:rsidRPr="00CE646D">
              <w:rPr>
                <w:i/>
              </w:rPr>
              <w:t>euro</w:t>
            </w:r>
            <w:proofErr w:type="spellEnd"/>
            <w:r w:rsidR="00FD37BC" w:rsidRPr="00CE646D">
              <w:t xml:space="preserve"> ieviešanai ir plānots </w:t>
            </w:r>
            <w:r w:rsidR="005D6168" w:rsidRPr="00CE646D">
              <w:t xml:space="preserve">piešķirt </w:t>
            </w:r>
            <w:r w:rsidR="00FD37BC" w:rsidRPr="00CE646D">
              <w:t xml:space="preserve">no </w:t>
            </w:r>
            <w:r w:rsidR="00FD37BC" w:rsidRPr="00CE646D">
              <w:rPr>
                <w:bCs/>
              </w:rPr>
              <w:t xml:space="preserve">3.2.2.1.1. </w:t>
            </w:r>
            <w:proofErr w:type="spellStart"/>
            <w:r w:rsidR="00FD37BC" w:rsidRPr="00CE646D">
              <w:rPr>
                <w:bCs/>
              </w:rPr>
              <w:t>apakšaktivitātes</w:t>
            </w:r>
            <w:proofErr w:type="spellEnd"/>
            <w:r w:rsidR="00FD37BC" w:rsidRPr="00CE646D">
              <w:rPr>
                <w:bCs/>
              </w:rPr>
              <w:t xml:space="preserve"> „Informācijas sistēmu un elektronisko pakalpojumu attīstība</w:t>
            </w:r>
            <w:r w:rsidRPr="00CE646D">
              <w:rPr>
                <w:bCs/>
              </w:rPr>
              <w:t>”</w:t>
            </w:r>
            <w:r w:rsidR="001E624F" w:rsidRPr="00CE646D">
              <w:rPr>
                <w:bCs/>
              </w:rPr>
              <w:t>.</w:t>
            </w:r>
            <w:r w:rsidR="00FD37BC" w:rsidRPr="00CE646D">
              <w:rPr>
                <w:bCs/>
              </w:rPr>
              <w:t xml:space="preserve"> </w:t>
            </w:r>
          </w:p>
          <w:p w:rsidR="0004366B" w:rsidRPr="0004366B" w:rsidRDefault="0004366B" w:rsidP="0004366B">
            <w:pPr>
              <w:ind w:firstLine="720"/>
              <w:jc w:val="both"/>
              <w:rPr>
                <w:bCs/>
              </w:rPr>
            </w:pPr>
            <w:r>
              <w:rPr>
                <w:bCs/>
              </w:rPr>
              <w:t xml:space="preserve">3. </w:t>
            </w:r>
            <w:r w:rsidRPr="0004366B">
              <w:t xml:space="preserve">2012. gada 11. septembrī pieņemtā Ministru kabineta rīkojuma „Par finansējuma piešķiršanu ministrijām (centrālajām valsts iestādēm) </w:t>
            </w:r>
            <w:proofErr w:type="spellStart"/>
            <w:r w:rsidRPr="0004366B">
              <w:rPr>
                <w:i/>
              </w:rPr>
              <w:t>euro</w:t>
            </w:r>
            <w:proofErr w:type="spellEnd"/>
            <w:r w:rsidRPr="0004366B">
              <w:t xml:space="preserve"> ieviešanas izdevumu segšanai” (prot. Nr. 51 12.§) 9. un 10. punkts Vides aizsardzības un reģionālās attīstības ministrijai noteic uzdevumu līdz 2012.gada 18.septembrim iesniegt Ministru kabinetā grozījumus Ministru kabineta 2008. gada 21. jūlija noteikumos Nr.576 „Noteikumi par darbības programmas „Infrastruktūra un pakalpojumi” papildinājuma 3.2.2.1.1.apakšaktivitāti „Informācijas sistēmu un elektronisko pakalpojumu attīstība” projektu iesniegumu atlases pirmo kārtu” </w:t>
            </w:r>
            <w:r>
              <w:t xml:space="preserve">(turpmāk – </w:t>
            </w:r>
            <w:r>
              <w:lastRenderedPageBreak/>
              <w:t xml:space="preserve">Noteikumi Nr. 576) </w:t>
            </w:r>
            <w:r w:rsidRPr="0004366B">
              <w:t xml:space="preserve">un </w:t>
            </w:r>
            <w:r w:rsidRPr="00757F71">
              <w:rPr>
                <w:bCs/>
              </w:rPr>
              <w:t xml:space="preserve">Ministru kabineta 2010.gada 10.augusta noteikumos Nr.766 „Noteikumi par darbības programmas „Infrastruktūra un pakalpojumi” papildinājuma 3.2.2.1.1. </w:t>
            </w:r>
            <w:proofErr w:type="spellStart"/>
            <w:r w:rsidRPr="00757F71">
              <w:rPr>
                <w:bCs/>
              </w:rPr>
              <w:t>apakšaktivitātes</w:t>
            </w:r>
            <w:proofErr w:type="spellEnd"/>
            <w:r w:rsidRPr="00757F71">
              <w:rPr>
                <w:bCs/>
              </w:rPr>
              <w:t xml:space="preserve"> „Informācijas sistēmu un elektronisko pakalpojumu attīstība” projekta iesniegumu atlases otru kārtu” </w:t>
            </w:r>
            <w:r>
              <w:rPr>
                <w:bCs/>
              </w:rPr>
              <w:t xml:space="preserve">(turpmāk – Noteikumi Nr. 766) </w:t>
            </w:r>
            <w:r w:rsidRPr="0004366B">
              <w:t xml:space="preserve">saistībā ar ministriju specifisko informācijas sistēmu pielāgošanu </w:t>
            </w:r>
            <w:proofErr w:type="spellStart"/>
            <w:r w:rsidRPr="0004366B">
              <w:rPr>
                <w:i/>
              </w:rPr>
              <w:t>euro</w:t>
            </w:r>
            <w:proofErr w:type="spellEnd"/>
            <w:r w:rsidRPr="0004366B">
              <w:rPr>
                <w:i/>
              </w:rPr>
              <w:t xml:space="preserve"> </w:t>
            </w:r>
            <w:r w:rsidRPr="0004366B">
              <w:t>ieviešanai.</w:t>
            </w:r>
          </w:p>
          <w:p w:rsidR="00EA0D3E" w:rsidRPr="00CE646D" w:rsidRDefault="00EA0D3E" w:rsidP="00A0461C">
            <w:pPr>
              <w:jc w:val="both"/>
              <w:rPr>
                <w:bCs/>
              </w:rPr>
            </w:pPr>
          </w:p>
          <w:p w:rsidR="00262E2B" w:rsidRPr="00CE646D" w:rsidRDefault="00EA0D3E" w:rsidP="001E624F">
            <w:pPr>
              <w:jc w:val="both"/>
              <w:rPr>
                <w:bCs/>
              </w:rPr>
            </w:pPr>
            <w:r w:rsidRPr="00CE646D">
              <w:rPr>
                <w:bCs/>
              </w:rPr>
              <w:t xml:space="preserve">Tomēr, lai sāktu informācijas sistēmu pielāgošanu </w:t>
            </w:r>
            <w:proofErr w:type="spellStart"/>
            <w:r w:rsidRPr="00CE646D">
              <w:rPr>
                <w:bCs/>
                <w:i/>
              </w:rPr>
              <w:t>euro</w:t>
            </w:r>
            <w:proofErr w:type="spellEnd"/>
            <w:r w:rsidRPr="00CE646D">
              <w:rPr>
                <w:bCs/>
              </w:rPr>
              <w:t xml:space="preserve"> ieviešanai un iekļautos Vadības komitejas noteiktajos termiņos, ir nepieciešams veikt </w:t>
            </w:r>
            <w:r w:rsidR="00422A02" w:rsidRPr="00CE646D">
              <w:rPr>
                <w:bCs/>
              </w:rPr>
              <w:t>steidzamu</w:t>
            </w:r>
            <w:r w:rsidR="0056750F" w:rsidRPr="00CE646D">
              <w:rPr>
                <w:bCs/>
              </w:rPr>
              <w:t>s</w:t>
            </w:r>
            <w:r w:rsidR="00422A02" w:rsidRPr="00CE646D">
              <w:rPr>
                <w:bCs/>
              </w:rPr>
              <w:t xml:space="preserve"> </w:t>
            </w:r>
            <w:r w:rsidRPr="00CE646D">
              <w:rPr>
                <w:bCs/>
              </w:rPr>
              <w:t>grozījumu</w:t>
            </w:r>
            <w:r w:rsidR="0056750F" w:rsidRPr="00CE646D">
              <w:rPr>
                <w:bCs/>
              </w:rPr>
              <w:t>s</w:t>
            </w:r>
            <w:r w:rsidRPr="00CE646D">
              <w:rPr>
                <w:bCs/>
              </w:rPr>
              <w:t xml:space="preserve"> </w:t>
            </w:r>
            <w:r w:rsidR="0004366B">
              <w:rPr>
                <w:bCs/>
              </w:rPr>
              <w:t>Noteikumos Nr. 576</w:t>
            </w:r>
            <w:r w:rsidR="00862079" w:rsidRPr="00CE646D">
              <w:rPr>
                <w:bCs/>
              </w:rPr>
              <w:t>.</w:t>
            </w:r>
            <w:r w:rsidR="0056750F" w:rsidRPr="00CE646D">
              <w:rPr>
                <w:bCs/>
              </w:rPr>
              <w:t xml:space="preserve"> </w:t>
            </w:r>
            <w:r w:rsidR="00862079" w:rsidRPr="00CE646D">
              <w:rPr>
                <w:bCs/>
              </w:rPr>
              <w:t xml:space="preserve">Proti, </w:t>
            </w:r>
            <w:r w:rsidR="001E624F" w:rsidRPr="00CE646D">
              <w:t xml:space="preserve">informējam, ka atbilstoši </w:t>
            </w:r>
            <w:r w:rsidR="001E624F" w:rsidRPr="00CE646D">
              <w:rPr>
                <w:bCs/>
              </w:rPr>
              <w:t>Noteikumu Nr. 576</w:t>
            </w:r>
            <w:r w:rsidR="001E624F" w:rsidRPr="00CE646D">
              <w:t xml:space="preserve"> 6. punkt</w:t>
            </w:r>
            <w:r w:rsidR="005E28C8" w:rsidRPr="00CE646D">
              <w:t xml:space="preserve">am 3.2.2.1.1. </w:t>
            </w:r>
            <w:proofErr w:type="spellStart"/>
            <w:r w:rsidR="005E28C8" w:rsidRPr="00CE646D">
              <w:t>apakšaktivitātes</w:t>
            </w:r>
            <w:proofErr w:type="spellEnd"/>
            <w:r w:rsidR="005E28C8" w:rsidRPr="00CE646D">
              <w:t xml:space="preserve"> „</w:t>
            </w:r>
            <w:r w:rsidR="001E624F" w:rsidRPr="00CE646D">
              <w:t>Informācijas sistēmu un ele</w:t>
            </w:r>
            <w:r w:rsidR="005E28C8" w:rsidRPr="00CE646D">
              <w:t>ktronisko pakalpojumu attīstība”</w:t>
            </w:r>
            <w:r w:rsidR="001E624F" w:rsidRPr="00CE646D">
              <w:t xml:space="preserve"> pirmās kārtas</w:t>
            </w:r>
            <w:r w:rsidR="001E624F" w:rsidRPr="00CE646D">
              <w:rPr>
                <w:bCs/>
              </w:rPr>
              <w:t xml:space="preserve"> projektiem tika sadalīts </w:t>
            </w:r>
            <w:r w:rsidR="001E624F" w:rsidRPr="00CE646D">
              <w:t xml:space="preserve">Eiropas Reģionālās attīstības fonda finansējums 60 552 109,74 latu apmērā. Tomēr dažos projektos ir radies ietaupījums, kuru ir plānots novirzīt </w:t>
            </w:r>
            <w:r w:rsidR="00AE3F33">
              <w:t>astoņu</w:t>
            </w:r>
            <w:r w:rsidR="00F21EB3" w:rsidRPr="00CE646D">
              <w:t xml:space="preserve"> </w:t>
            </w:r>
            <w:proofErr w:type="spellStart"/>
            <w:r w:rsidR="00F21EB3" w:rsidRPr="00CE646D">
              <w:rPr>
                <w:i/>
              </w:rPr>
              <w:t>euro</w:t>
            </w:r>
            <w:proofErr w:type="spellEnd"/>
            <w:r w:rsidR="00F21EB3" w:rsidRPr="00CE646D">
              <w:t xml:space="preserve"> </w:t>
            </w:r>
            <w:r w:rsidR="00F21EB3" w:rsidRPr="00CE646D">
              <w:rPr>
                <w:bCs/>
              </w:rPr>
              <w:t>projektu</w:t>
            </w:r>
            <w:r w:rsidR="001E624F" w:rsidRPr="00CE646D">
              <w:rPr>
                <w:bCs/>
              </w:rPr>
              <w:t xml:space="preserve"> </w:t>
            </w:r>
            <w:r w:rsidR="00F21EB3" w:rsidRPr="00CE646D">
              <w:t>par i</w:t>
            </w:r>
            <w:r w:rsidR="001E624F" w:rsidRPr="00CE646D">
              <w:t xml:space="preserve">nformācijas </w:t>
            </w:r>
            <w:r w:rsidR="00F21EB3" w:rsidRPr="00CE646D">
              <w:t>sistēmu pielāgošanu</w:t>
            </w:r>
            <w:r w:rsidR="001E624F" w:rsidRPr="00CE646D">
              <w:t xml:space="preserve"> </w:t>
            </w:r>
            <w:proofErr w:type="spellStart"/>
            <w:r w:rsidR="001E624F" w:rsidRPr="00CE646D">
              <w:rPr>
                <w:i/>
              </w:rPr>
              <w:t>euro</w:t>
            </w:r>
            <w:proofErr w:type="spellEnd"/>
            <w:r w:rsidR="00F21EB3" w:rsidRPr="00CE646D">
              <w:t xml:space="preserve"> ieviešanai</w:t>
            </w:r>
            <w:r w:rsidR="001E624F" w:rsidRPr="00CE646D">
              <w:t xml:space="preserve"> īstenošanai</w:t>
            </w:r>
            <w:r w:rsidR="004A67F0" w:rsidRPr="00CE646D">
              <w:t>.</w:t>
            </w:r>
            <w:r w:rsidR="001E624F" w:rsidRPr="00CE646D">
              <w:t xml:space="preserve"> Līdz ar to </w:t>
            </w:r>
            <w:r w:rsidR="00862079" w:rsidRPr="00CE646D">
              <w:rPr>
                <w:bCs/>
              </w:rPr>
              <w:t xml:space="preserve">ir jāprecizē Noteikumu Nr. 576 </w:t>
            </w:r>
            <w:r w:rsidR="00B50585" w:rsidRPr="00CE646D">
              <w:rPr>
                <w:bCs/>
              </w:rPr>
              <w:t xml:space="preserve">6. punktā un </w:t>
            </w:r>
            <w:r w:rsidR="00F21EB3" w:rsidRPr="00CE646D">
              <w:rPr>
                <w:bCs/>
              </w:rPr>
              <w:t>1. </w:t>
            </w:r>
            <w:r w:rsidR="00B25406" w:rsidRPr="00CE646D">
              <w:rPr>
                <w:bCs/>
              </w:rPr>
              <w:t>pielikumā norādītais finansējums</w:t>
            </w:r>
            <w:r w:rsidR="00BB400F" w:rsidRPr="00CE646D">
              <w:rPr>
                <w:bCs/>
              </w:rPr>
              <w:t>.</w:t>
            </w:r>
            <w:r w:rsidR="00862079" w:rsidRPr="00CE646D">
              <w:rPr>
                <w:bCs/>
              </w:rPr>
              <w:t xml:space="preserve"> </w:t>
            </w:r>
          </w:p>
          <w:p w:rsidR="006E5B95" w:rsidRPr="00CE646D" w:rsidRDefault="006E5B95" w:rsidP="001E624F">
            <w:pPr>
              <w:jc w:val="both"/>
              <w:rPr>
                <w:bCs/>
              </w:rPr>
            </w:pPr>
          </w:p>
          <w:p w:rsidR="006E5B95" w:rsidRPr="00CE646D" w:rsidRDefault="006E5B95" w:rsidP="001E624F">
            <w:pPr>
              <w:jc w:val="both"/>
            </w:pPr>
            <w:r w:rsidRPr="00CE646D">
              <w:t xml:space="preserve">Noteikumu Nr. 576 1. pielikuma 38. punktā ir nepareizi norādīta iestāde, kura ir atbildīgā par projekta „Nozares vienotās uzraudzības informācijas sistēmas izstrāde – 1.posms” īstenošanu. Līdz ar to Noteikumu Nr. 576 </w:t>
            </w:r>
            <w:r w:rsidR="00B25406" w:rsidRPr="00CE646D">
              <w:t>1. </w:t>
            </w:r>
            <w:r w:rsidRPr="00CE646D">
              <w:t xml:space="preserve">pielikuma 38. punktu ir nepieciešams precizēt. </w:t>
            </w:r>
          </w:p>
          <w:p w:rsidR="00CE646D" w:rsidRPr="00CE646D" w:rsidRDefault="00CE646D" w:rsidP="001E624F">
            <w:pPr>
              <w:jc w:val="both"/>
            </w:pPr>
          </w:p>
          <w:p w:rsidR="00CE646D" w:rsidRPr="008A47E7" w:rsidRDefault="00BA3966" w:rsidP="00BA3966">
            <w:pPr>
              <w:jc w:val="both"/>
            </w:pPr>
            <w:r>
              <w:t>Ministru kabinets 2012. gada 8. maijā pieņēma informatīvo ziņojumu</w:t>
            </w:r>
            <w:r w:rsidRPr="008A47E7">
              <w:t xml:space="preserve"> „Valsts budžeta </w:t>
            </w:r>
            <w:proofErr w:type="spellStart"/>
            <w:r w:rsidRPr="008A47E7">
              <w:t>virssaistību</w:t>
            </w:r>
            <w:proofErr w:type="spellEnd"/>
            <w:r w:rsidRPr="008A47E7">
              <w:t xml:space="preserve"> iespējas Eiropas Savienības struktūrfondu un Kohēzijas fonda 2007.-2013.gada plānošanas perioda aktivitātēs”” </w:t>
            </w:r>
            <w:r>
              <w:t>(</w:t>
            </w:r>
            <w:proofErr w:type="spellStart"/>
            <w:r w:rsidRPr="008A47E7">
              <w:t>protokollēmuma</w:t>
            </w:r>
            <w:proofErr w:type="spellEnd"/>
            <w:r w:rsidRPr="008A47E7">
              <w:t xml:space="preserve"> Nr.25 26.§</w:t>
            </w:r>
            <w:r>
              <w:t>).</w:t>
            </w:r>
            <w:r w:rsidRPr="00767C3E">
              <w:t xml:space="preserve"> </w:t>
            </w:r>
            <w:r>
              <w:t xml:space="preserve">Tam pievienotajā </w:t>
            </w:r>
            <w:proofErr w:type="spellStart"/>
            <w:r>
              <w:t>protokollēmumā</w:t>
            </w:r>
            <w:proofErr w:type="spellEnd"/>
            <w:r>
              <w:t xml:space="preserve"> (7. punkts) ir paredzēts papildus nosacījums </w:t>
            </w:r>
            <w:proofErr w:type="spellStart"/>
            <w:r>
              <w:t>virssaistību</w:t>
            </w:r>
            <w:proofErr w:type="spellEnd"/>
            <w:r>
              <w:t xml:space="preserve"> uzņemšanās gadījumā, kuru ir jānoteic Noteikumos Nr. 576</w:t>
            </w:r>
            <w:r>
              <w:rPr>
                <w:bCs/>
              </w:rPr>
              <w:t xml:space="preserve">, </w:t>
            </w:r>
            <w:r>
              <w:t>lai mazinātu riskus radīt papildus budžeta deficītu 2012-2015.gadam.</w:t>
            </w:r>
          </w:p>
        </w:tc>
      </w:tr>
      <w:tr w:rsidR="00262E2B" w:rsidRPr="00CE646D" w:rsidTr="00C91A09">
        <w:trPr>
          <w:trHeight w:val="1071"/>
        </w:trPr>
        <w:tc>
          <w:tcPr>
            <w:tcW w:w="550" w:type="dxa"/>
          </w:tcPr>
          <w:p w:rsidR="00262E2B" w:rsidRPr="00CE646D" w:rsidRDefault="00262E2B" w:rsidP="006C4607">
            <w:pPr>
              <w:pStyle w:val="naiskr"/>
              <w:spacing w:before="0" w:after="0"/>
            </w:pPr>
            <w:r w:rsidRPr="00CE646D">
              <w:lastRenderedPageBreak/>
              <w:t>3.</w:t>
            </w:r>
          </w:p>
        </w:tc>
        <w:tc>
          <w:tcPr>
            <w:tcW w:w="4133" w:type="dxa"/>
          </w:tcPr>
          <w:p w:rsidR="00262E2B" w:rsidRPr="00CE646D" w:rsidRDefault="00420870" w:rsidP="006C4607">
            <w:pPr>
              <w:pStyle w:val="naiskr"/>
              <w:spacing w:before="0" w:after="0"/>
            </w:pPr>
            <w:r w:rsidRPr="00CE646D">
              <w:t>S</w:t>
            </w:r>
            <w:r w:rsidR="000B69CF" w:rsidRPr="00CE646D">
              <w:t xml:space="preserve">aistītie </w:t>
            </w:r>
            <w:r w:rsidR="001A6AE4" w:rsidRPr="00CE646D">
              <w:t>politikas ietekmes novērtējumi</w:t>
            </w:r>
            <w:r w:rsidR="00CB0247" w:rsidRPr="00CE646D">
              <w:t xml:space="preserve"> un</w:t>
            </w:r>
            <w:r w:rsidR="001A6AE4" w:rsidRPr="00CE646D">
              <w:t xml:space="preserve"> </w:t>
            </w:r>
            <w:r w:rsidR="000B69CF" w:rsidRPr="00CE646D">
              <w:t>pētījumi</w:t>
            </w:r>
          </w:p>
        </w:tc>
        <w:tc>
          <w:tcPr>
            <w:tcW w:w="5042" w:type="dxa"/>
          </w:tcPr>
          <w:p w:rsidR="00D20FF4" w:rsidRPr="00CE646D" w:rsidRDefault="00EA0D3E" w:rsidP="006C4607">
            <w:pPr>
              <w:pStyle w:val="FootnoteText"/>
              <w:rPr>
                <w:sz w:val="24"/>
                <w:szCs w:val="24"/>
              </w:rPr>
            </w:pPr>
            <w:r w:rsidRPr="00CE646D">
              <w:rPr>
                <w:sz w:val="24"/>
                <w:szCs w:val="24"/>
              </w:rPr>
              <w:t>Nav attiecināms</w:t>
            </w:r>
            <w:r w:rsidR="006E5B95" w:rsidRPr="00CE646D">
              <w:rPr>
                <w:sz w:val="24"/>
                <w:szCs w:val="24"/>
              </w:rPr>
              <w:t>.</w:t>
            </w:r>
          </w:p>
        </w:tc>
      </w:tr>
      <w:tr w:rsidR="00262E2B" w:rsidRPr="00CE646D" w:rsidTr="00C91A09">
        <w:trPr>
          <w:trHeight w:val="384"/>
        </w:trPr>
        <w:tc>
          <w:tcPr>
            <w:tcW w:w="550" w:type="dxa"/>
          </w:tcPr>
          <w:p w:rsidR="00262E2B" w:rsidRPr="00CE646D" w:rsidRDefault="00262E2B" w:rsidP="006C4607">
            <w:pPr>
              <w:pStyle w:val="naiskr"/>
              <w:spacing w:before="0" w:after="0"/>
            </w:pPr>
            <w:r w:rsidRPr="00CE646D">
              <w:t>4.</w:t>
            </w:r>
          </w:p>
        </w:tc>
        <w:tc>
          <w:tcPr>
            <w:tcW w:w="4133" w:type="dxa"/>
          </w:tcPr>
          <w:p w:rsidR="00262E2B" w:rsidRPr="00CE646D" w:rsidRDefault="000C790C" w:rsidP="006C4607">
            <w:pPr>
              <w:pStyle w:val="naiskr"/>
              <w:spacing w:before="0" w:after="0"/>
            </w:pPr>
            <w:r w:rsidRPr="00CE646D">
              <w:t>Tiesiskā r</w:t>
            </w:r>
            <w:r w:rsidR="00400032" w:rsidRPr="00CE646D">
              <w:t xml:space="preserve">egulējuma </w:t>
            </w:r>
            <w:r w:rsidR="00262E2B" w:rsidRPr="00CE646D">
              <w:t>mērķis un būtība</w:t>
            </w:r>
          </w:p>
        </w:tc>
        <w:tc>
          <w:tcPr>
            <w:tcW w:w="5042" w:type="dxa"/>
          </w:tcPr>
          <w:p w:rsidR="00BF61B4" w:rsidRPr="00CE646D" w:rsidRDefault="00BB400F" w:rsidP="00F33720">
            <w:pPr>
              <w:pStyle w:val="naiskr"/>
              <w:spacing w:before="0" w:after="0"/>
              <w:jc w:val="both"/>
            </w:pPr>
            <w:r w:rsidRPr="00CE646D">
              <w:rPr>
                <w:bCs/>
              </w:rPr>
              <w:t>Ministru kabineta noteikumu projekts „</w:t>
            </w:r>
            <w:r w:rsidRPr="00CE646D">
              <w:t xml:space="preserve">Grozījumi Ministru kabineta 2008.gada 21.jūlija noteikumos </w:t>
            </w:r>
            <w:r w:rsidRPr="00CE646D">
              <w:lastRenderedPageBreak/>
              <w:t>Nr. 576 „Noteikumi par darbības programmas „Infrastruktūra un pakalpojumi” papildinājuma 3.2.2.1.1.apakšaktivitāti „Informācijas sistēmu un elektronisko pakalpojumu attīstība” projektu iesniegumu atlases pirmo kārtu”</w:t>
            </w:r>
            <w:r w:rsidRPr="00CE646D">
              <w:rPr>
                <w:bCs/>
              </w:rPr>
              <w:t xml:space="preserve">” </w:t>
            </w:r>
            <w:r w:rsidR="001858B8" w:rsidRPr="00CE646D">
              <w:rPr>
                <w:bCs/>
              </w:rPr>
              <w:t xml:space="preserve">(turpmāk – noteikumu projekts) </w:t>
            </w:r>
            <w:r w:rsidR="00EA0D3E" w:rsidRPr="00CE646D">
              <w:rPr>
                <w:bCs/>
              </w:rPr>
              <w:t>paredz izdarīt grozījumu</w:t>
            </w:r>
            <w:r w:rsidRPr="00CE646D">
              <w:rPr>
                <w:bCs/>
              </w:rPr>
              <w:t>s</w:t>
            </w:r>
            <w:r w:rsidR="005D6168" w:rsidRPr="00CE646D">
              <w:rPr>
                <w:bCs/>
              </w:rPr>
              <w:t xml:space="preserve"> N</w:t>
            </w:r>
            <w:r w:rsidR="00EA0D3E" w:rsidRPr="00CE646D">
              <w:rPr>
                <w:bCs/>
              </w:rPr>
              <w:t>ote</w:t>
            </w:r>
            <w:r w:rsidRPr="00CE646D">
              <w:rPr>
                <w:bCs/>
              </w:rPr>
              <w:t>ikumu Nr. 57</w:t>
            </w:r>
            <w:r w:rsidR="00EA0D3E" w:rsidRPr="00CE646D">
              <w:rPr>
                <w:bCs/>
              </w:rPr>
              <w:t xml:space="preserve">6 </w:t>
            </w:r>
            <w:r w:rsidR="006E5B95" w:rsidRPr="00CE646D">
              <w:rPr>
                <w:bCs/>
              </w:rPr>
              <w:t>6. punktā, precizējot 3</w:t>
            </w:r>
            <w:r w:rsidR="006E5B95" w:rsidRPr="00CE646D">
              <w:t>.2.2.1.1.</w:t>
            </w:r>
            <w:bookmarkStart w:id="1" w:name="OLE_LINK3"/>
            <w:bookmarkStart w:id="2" w:name="OLE_LINK4"/>
            <w:r w:rsidR="006E5B95" w:rsidRPr="00CE646D">
              <w:t>apakšaktivitātei „Informācijas sistēmu un elektronisko pakalpojumu attīstība”</w:t>
            </w:r>
            <w:bookmarkEnd w:id="1"/>
            <w:bookmarkEnd w:id="2"/>
            <w:r w:rsidR="006E5B95" w:rsidRPr="00CE646D">
              <w:rPr>
                <w:bCs/>
              </w:rPr>
              <w:t xml:space="preserve"> pirmajai kārtai </w:t>
            </w:r>
            <w:r w:rsidR="006E5B95" w:rsidRPr="00CE646D">
              <w:t>pieejamo Eiropas Reģionā</w:t>
            </w:r>
            <w:r w:rsidR="00B25406" w:rsidRPr="00CE646D">
              <w:t>lās attīstības fonda finansējumu</w:t>
            </w:r>
            <w:r w:rsidR="006E5B95" w:rsidRPr="00CE646D">
              <w:t xml:space="preserve">, </w:t>
            </w:r>
            <w:r w:rsidR="00EA0D3E" w:rsidRPr="00CE646D">
              <w:rPr>
                <w:bCs/>
              </w:rPr>
              <w:t>1. pielikumā,</w:t>
            </w:r>
            <w:r w:rsidRPr="00CE646D">
              <w:rPr>
                <w:bCs/>
              </w:rPr>
              <w:t xml:space="preserve"> precizējot atsevišķu projektu attiecināmo izmaksu apjomu</w:t>
            </w:r>
            <w:r w:rsidR="006E5B95" w:rsidRPr="00CE646D">
              <w:t>, kā arī 1. pielikuma 38. punktā, precizējot par projekta „Nozares vienotās uzraudzības informācijas sistēmas izstrāde – 1.posms” īstenošanu atbildīgo iestādi.</w:t>
            </w:r>
          </w:p>
          <w:p w:rsidR="00CE646D" w:rsidRPr="008A47E7" w:rsidRDefault="00CE646D" w:rsidP="002110DE">
            <w:pPr>
              <w:pStyle w:val="naiskr"/>
              <w:spacing w:before="0" w:after="0"/>
              <w:jc w:val="both"/>
            </w:pPr>
            <w:r w:rsidRPr="008A47E7">
              <w:t>Papildus Noteikum</w:t>
            </w:r>
            <w:r w:rsidR="0078588B" w:rsidRPr="008A47E7">
              <w:t>i Nr. 57</w:t>
            </w:r>
            <w:r w:rsidR="00890D5A" w:rsidRPr="008A47E7">
              <w:t>6 tiek papildināti ar 56</w:t>
            </w:r>
            <w:r w:rsidRPr="008A47E7">
              <w:t>.</w:t>
            </w:r>
            <w:r w:rsidR="00890D5A" w:rsidRPr="008A47E7">
              <w:rPr>
                <w:vertAlign w:val="superscript"/>
              </w:rPr>
              <w:t>10</w:t>
            </w:r>
            <w:r w:rsidRPr="008A47E7">
              <w:rPr>
                <w:vertAlign w:val="superscript"/>
              </w:rPr>
              <w:t xml:space="preserve"> </w:t>
            </w:r>
            <w:r w:rsidRPr="008A47E7">
              <w:t xml:space="preserve">punktu, kas noteic, </w:t>
            </w:r>
            <w:r w:rsidR="002110DE">
              <w:t>j</w:t>
            </w:r>
            <w:r w:rsidR="002110DE" w:rsidRPr="006C5256">
              <w:t xml:space="preserve">a </w:t>
            </w:r>
            <w:proofErr w:type="spellStart"/>
            <w:r w:rsidR="002110DE" w:rsidRPr="006C5256">
              <w:t>apakšaktivitātes</w:t>
            </w:r>
            <w:proofErr w:type="spellEnd"/>
            <w:r w:rsidR="002110DE" w:rsidRPr="006C5256">
              <w:t xml:space="preserve"> ietvaros īstenotajā projektā ir konstatēta neatbilstība vai vienošanās par projekta īstenošanu tiek izbeigta, at</w:t>
            </w:r>
            <w:r w:rsidR="002110DE">
              <w:t>brīvotais finansējums konstatētās neatbilstības</w:t>
            </w:r>
            <w:r w:rsidR="002110DE" w:rsidRPr="006C5256">
              <w:t xml:space="preserve"> </w:t>
            </w:r>
            <w:r w:rsidR="002110DE">
              <w:t>vai izbeigtās</w:t>
            </w:r>
            <w:r w:rsidR="002110DE" w:rsidRPr="006C5256">
              <w:t xml:space="preserve"> </w:t>
            </w:r>
            <w:r w:rsidR="002110DE">
              <w:t>vienošanā</w:t>
            </w:r>
            <w:r w:rsidR="002110DE" w:rsidRPr="006C5256">
              <w:t xml:space="preserve">s par projektu īstenošanu rezultātā neatbilstoši veikto izdevumu apmērā nevar tikt novirzīts papildu darbību veikšanai </w:t>
            </w:r>
            <w:r w:rsidR="002110DE">
              <w:t>esoša projekta ietvaros vai jauna projekta</w:t>
            </w:r>
            <w:r w:rsidR="002110DE" w:rsidRPr="006C5256">
              <w:t xml:space="preserve"> īstenošanai</w:t>
            </w:r>
            <w:r w:rsidRPr="008A47E7">
              <w:t>.</w:t>
            </w:r>
          </w:p>
        </w:tc>
      </w:tr>
      <w:tr w:rsidR="00262E2B" w:rsidRPr="00CE646D" w:rsidTr="00C91A09">
        <w:trPr>
          <w:trHeight w:val="476"/>
        </w:trPr>
        <w:tc>
          <w:tcPr>
            <w:tcW w:w="550" w:type="dxa"/>
          </w:tcPr>
          <w:p w:rsidR="00262E2B" w:rsidRPr="00CE646D" w:rsidRDefault="00262E2B" w:rsidP="006C4607">
            <w:pPr>
              <w:pStyle w:val="naiskr"/>
              <w:spacing w:before="0" w:after="0"/>
            </w:pPr>
            <w:r w:rsidRPr="00CE646D">
              <w:lastRenderedPageBreak/>
              <w:t>5.</w:t>
            </w:r>
          </w:p>
        </w:tc>
        <w:tc>
          <w:tcPr>
            <w:tcW w:w="4133" w:type="dxa"/>
          </w:tcPr>
          <w:p w:rsidR="00262E2B" w:rsidRPr="00CE646D" w:rsidRDefault="001A4066" w:rsidP="006C4607">
            <w:pPr>
              <w:pStyle w:val="naiskr"/>
              <w:spacing w:before="0" w:after="0"/>
            </w:pPr>
            <w:r w:rsidRPr="00CE646D">
              <w:t>Projekta i</w:t>
            </w:r>
            <w:r w:rsidR="00262E2B" w:rsidRPr="00CE646D">
              <w:t>zstrād</w:t>
            </w:r>
            <w:r w:rsidR="00420870" w:rsidRPr="00CE646D">
              <w:t xml:space="preserve">ē </w:t>
            </w:r>
            <w:r w:rsidR="00262E2B" w:rsidRPr="00CE646D">
              <w:t>iesaistītās institūcijas</w:t>
            </w:r>
          </w:p>
        </w:tc>
        <w:tc>
          <w:tcPr>
            <w:tcW w:w="5042" w:type="dxa"/>
          </w:tcPr>
          <w:p w:rsidR="00262E2B" w:rsidRPr="00CE646D" w:rsidRDefault="00EA0D3E" w:rsidP="001858B8">
            <w:pPr>
              <w:pStyle w:val="naiskr"/>
              <w:spacing w:before="0" w:after="0"/>
              <w:jc w:val="both"/>
            </w:pPr>
            <w:r w:rsidRPr="00CE646D">
              <w:t>Vides aizsardzības un reģionālās attīstības ministrija un Finanšu ministrija.</w:t>
            </w:r>
          </w:p>
        </w:tc>
      </w:tr>
      <w:tr w:rsidR="00262E2B" w:rsidRPr="00CE646D" w:rsidTr="00C91A09">
        <w:trPr>
          <w:trHeight w:val="1340"/>
        </w:trPr>
        <w:tc>
          <w:tcPr>
            <w:tcW w:w="550" w:type="dxa"/>
          </w:tcPr>
          <w:p w:rsidR="00262E2B" w:rsidRPr="00CE646D" w:rsidRDefault="00262E2B" w:rsidP="006C4607">
            <w:pPr>
              <w:pStyle w:val="naiskr"/>
              <w:spacing w:before="0" w:after="0"/>
            </w:pPr>
            <w:r w:rsidRPr="00CE646D">
              <w:t>6.</w:t>
            </w:r>
          </w:p>
        </w:tc>
        <w:tc>
          <w:tcPr>
            <w:tcW w:w="4133" w:type="dxa"/>
          </w:tcPr>
          <w:p w:rsidR="00262E2B" w:rsidRPr="00CE646D" w:rsidRDefault="00BB7C94" w:rsidP="006C4607">
            <w:pPr>
              <w:pStyle w:val="naiskr"/>
              <w:spacing w:before="0" w:after="0"/>
              <w:rPr>
                <w:i/>
                <w:highlight w:val="yellow"/>
              </w:rPr>
            </w:pPr>
            <w:r w:rsidRPr="00CE646D">
              <w:t xml:space="preserve">Iemesli, kādēļ netika nodrošināta </w:t>
            </w:r>
            <w:r w:rsidR="00262E2B" w:rsidRPr="00CE646D">
              <w:t xml:space="preserve">sabiedrības </w:t>
            </w:r>
            <w:r w:rsidRPr="00CE646D">
              <w:t>līdzdalība</w:t>
            </w:r>
          </w:p>
        </w:tc>
        <w:tc>
          <w:tcPr>
            <w:tcW w:w="5042" w:type="dxa"/>
          </w:tcPr>
          <w:p w:rsidR="00D20FF4" w:rsidRPr="00CE646D" w:rsidRDefault="002A4913" w:rsidP="002A4913">
            <w:pPr>
              <w:pStyle w:val="FootnoteText"/>
              <w:jc w:val="both"/>
              <w:rPr>
                <w:sz w:val="24"/>
                <w:szCs w:val="24"/>
              </w:rPr>
            </w:pPr>
            <w:r w:rsidRPr="00CE646D">
              <w:rPr>
                <w:sz w:val="24"/>
                <w:szCs w:val="24"/>
              </w:rPr>
              <w:t xml:space="preserve">Sabiedrības pārstāvji </w:t>
            </w:r>
            <w:r w:rsidR="00BB400F" w:rsidRPr="00CE646D">
              <w:rPr>
                <w:sz w:val="24"/>
                <w:szCs w:val="24"/>
              </w:rPr>
              <w:t xml:space="preserve">noteikumu </w:t>
            </w:r>
            <w:r w:rsidRPr="00CE646D">
              <w:rPr>
                <w:sz w:val="24"/>
                <w:szCs w:val="24"/>
              </w:rPr>
              <w:t>projekta izstrādes procesā netika iesaistīti, jo projekts ir tehniska rakstura un tiešā veidā neskar sabiedrības intereses.</w:t>
            </w:r>
          </w:p>
        </w:tc>
      </w:tr>
      <w:tr w:rsidR="00262E2B" w:rsidRPr="00CE646D" w:rsidTr="00C91A09">
        <w:tc>
          <w:tcPr>
            <w:tcW w:w="550" w:type="dxa"/>
          </w:tcPr>
          <w:p w:rsidR="00262E2B" w:rsidRPr="00CE646D" w:rsidRDefault="00262E2B" w:rsidP="006C4607">
            <w:pPr>
              <w:pStyle w:val="naiskr"/>
              <w:spacing w:before="0" w:after="0"/>
            </w:pPr>
            <w:r w:rsidRPr="00CE646D">
              <w:t>7.</w:t>
            </w:r>
          </w:p>
        </w:tc>
        <w:tc>
          <w:tcPr>
            <w:tcW w:w="4133" w:type="dxa"/>
          </w:tcPr>
          <w:p w:rsidR="00262E2B" w:rsidRPr="00CE646D" w:rsidRDefault="00262E2B" w:rsidP="006C4607">
            <w:pPr>
              <w:pStyle w:val="naiskr"/>
              <w:spacing w:before="0" w:after="0"/>
            </w:pPr>
            <w:r w:rsidRPr="00CE646D">
              <w:t>Cita informācija</w:t>
            </w:r>
          </w:p>
        </w:tc>
        <w:tc>
          <w:tcPr>
            <w:tcW w:w="5042" w:type="dxa"/>
          </w:tcPr>
          <w:p w:rsidR="00262E2B" w:rsidRPr="00CE646D" w:rsidRDefault="00890D5A" w:rsidP="00F21EB3">
            <w:pPr>
              <w:pStyle w:val="naiskr"/>
              <w:spacing w:before="0" w:after="0"/>
              <w:jc w:val="both"/>
            </w:pPr>
            <w:r>
              <w:t>Nav attiecināms.</w:t>
            </w:r>
          </w:p>
        </w:tc>
      </w:tr>
    </w:tbl>
    <w:p w:rsidR="00924023" w:rsidRPr="00CE646D" w:rsidRDefault="00924023" w:rsidP="006C4607">
      <w:pPr>
        <w:pStyle w:val="naiskr"/>
        <w:tabs>
          <w:tab w:val="left" w:pos="2628"/>
        </w:tabs>
        <w:spacing w:before="0" w:after="0"/>
      </w:pPr>
    </w:p>
    <w:p w:rsidR="004F3752" w:rsidRPr="00CE646D" w:rsidRDefault="004F3752" w:rsidP="006C4607">
      <w:pPr>
        <w:pStyle w:val="naiskr"/>
        <w:tabs>
          <w:tab w:val="left" w:pos="2628"/>
        </w:tabs>
        <w:spacing w:before="0" w:after="0"/>
        <w:rPr>
          <w:i/>
        </w:rPr>
      </w:pPr>
    </w:p>
    <w:tbl>
      <w:tblPr>
        <w:tblW w:w="975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3118"/>
        <w:gridCol w:w="6182"/>
      </w:tblGrid>
      <w:tr w:rsidR="00924023" w:rsidRPr="00CE646D" w:rsidTr="00A5353B">
        <w:trPr>
          <w:jc w:val="center"/>
        </w:trPr>
        <w:tc>
          <w:tcPr>
            <w:tcW w:w="9753" w:type="dxa"/>
            <w:gridSpan w:val="3"/>
          </w:tcPr>
          <w:p w:rsidR="00924023" w:rsidRPr="00CE646D" w:rsidRDefault="00924023" w:rsidP="00711F59">
            <w:pPr>
              <w:pStyle w:val="naisnod"/>
              <w:spacing w:before="0" w:after="0"/>
            </w:pPr>
            <w:r w:rsidRPr="00CE646D">
              <w:t>IV</w:t>
            </w:r>
            <w:r w:rsidR="000941C5" w:rsidRPr="00CE646D">
              <w:t>.</w:t>
            </w:r>
            <w:r w:rsidRPr="00CE646D">
              <w:t xml:space="preserve"> Tiesību akta projekta ietekme uz</w:t>
            </w:r>
            <w:r w:rsidR="005060A1" w:rsidRPr="00CE646D">
              <w:t xml:space="preserve"> </w:t>
            </w:r>
            <w:r w:rsidRPr="00CE646D">
              <w:t>spēkā esošo tiesību normu sistēmu</w:t>
            </w:r>
          </w:p>
        </w:tc>
      </w:tr>
      <w:tr w:rsidR="00924023" w:rsidRPr="00CE646D" w:rsidTr="00A5353B">
        <w:trPr>
          <w:jc w:val="center"/>
        </w:trPr>
        <w:tc>
          <w:tcPr>
            <w:tcW w:w="453" w:type="dxa"/>
          </w:tcPr>
          <w:p w:rsidR="00924023" w:rsidRPr="00CE646D" w:rsidRDefault="00924023" w:rsidP="00711F59">
            <w:pPr>
              <w:pStyle w:val="naiskr"/>
              <w:tabs>
                <w:tab w:val="left" w:pos="2628"/>
              </w:tabs>
              <w:spacing w:before="0" w:after="0"/>
              <w:jc w:val="both"/>
              <w:rPr>
                <w:iCs/>
              </w:rPr>
            </w:pPr>
            <w:r w:rsidRPr="00CE646D">
              <w:rPr>
                <w:iCs/>
              </w:rPr>
              <w:t>1.</w:t>
            </w:r>
          </w:p>
        </w:tc>
        <w:tc>
          <w:tcPr>
            <w:tcW w:w="3118" w:type="dxa"/>
          </w:tcPr>
          <w:p w:rsidR="00924023" w:rsidRPr="00CE646D" w:rsidRDefault="00924023" w:rsidP="00711F59">
            <w:pPr>
              <w:pStyle w:val="naiskr"/>
              <w:tabs>
                <w:tab w:val="left" w:pos="2628"/>
              </w:tabs>
              <w:spacing w:before="0" w:after="0"/>
              <w:jc w:val="both"/>
              <w:rPr>
                <w:iCs/>
              </w:rPr>
            </w:pPr>
            <w:r w:rsidRPr="00CE646D">
              <w:t>Nepieciešamie saistītie tiesību akt</w:t>
            </w:r>
            <w:r w:rsidR="00DD1020" w:rsidRPr="00CE646D">
              <w:t>u</w:t>
            </w:r>
            <w:r w:rsidRPr="00CE646D">
              <w:t xml:space="preserve"> projekti</w:t>
            </w:r>
          </w:p>
        </w:tc>
        <w:tc>
          <w:tcPr>
            <w:tcW w:w="6182" w:type="dxa"/>
          </w:tcPr>
          <w:p w:rsidR="00B66CC5" w:rsidRPr="00757F71" w:rsidRDefault="001858B8" w:rsidP="00B66CC5">
            <w:pPr>
              <w:pStyle w:val="naiskr"/>
              <w:spacing w:before="0" w:after="0"/>
              <w:jc w:val="both"/>
              <w:rPr>
                <w:bCs/>
              </w:rPr>
            </w:pPr>
            <w:r w:rsidRPr="00CE646D">
              <w:t>Ar noteikumu projektu vienlaicīgi tiek plānots virzīt grozījumus</w:t>
            </w:r>
            <w:r w:rsidR="00BB400F" w:rsidRPr="00CE646D">
              <w:rPr>
                <w:bCs/>
              </w:rPr>
              <w:t xml:space="preserve"> </w:t>
            </w:r>
            <w:r w:rsidR="0004366B">
              <w:rPr>
                <w:bCs/>
              </w:rPr>
              <w:t>Noteikumos Nr. 766</w:t>
            </w:r>
            <w:r w:rsidR="001D665E" w:rsidRPr="00CE646D">
              <w:rPr>
                <w:bCs/>
              </w:rPr>
              <w:t>. Ir paredzēts veikt šādus grozījumus:</w:t>
            </w:r>
            <w:r w:rsidR="00C5646E" w:rsidRPr="00CE646D">
              <w:rPr>
                <w:bCs/>
              </w:rPr>
              <w:t xml:space="preserve"> </w:t>
            </w:r>
          </w:p>
          <w:p w:rsidR="00B66CC5" w:rsidRPr="008A47E7" w:rsidRDefault="00B66CC5" w:rsidP="00B66CC5">
            <w:pPr>
              <w:pStyle w:val="naiskr"/>
              <w:numPr>
                <w:ilvl w:val="0"/>
                <w:numId w:val="14"/>
              </w:numPr>
              <w:spacing w:before="0" w:after="0"/>
              <w:ind w:left="0" w:firstLine="360"/>
              <w:jc w:val="both"/>
            </w:pPr>
            <w:r w:rsidRPr="008A47E7">
              <w:t xml:space="preserve">papildināt </w:t>
            </w:r>
            <w:r w:rsidRPr="008A47E7">
              <w:rPr>
                <w:bCs/>
              </w:rPr>
              <w:t>Noteikumus Nr. 766 ar norādēm par projektu iesniegumu trešās atlases kārtas regulējumu;</w:t>
            </w:r>
          </w:p>
          <w:p w:rsidR="00B66CC5" w:rsidRPr="00CC2C1F" w:rsidRDefault="00B66CC5" w:rsidP="00B66CC5">
            <w:pPr>
              <w:pStyle w:val="naiskr"/>
              <w:numPr>
                <w:ilvl w:val="0"/>
                <w:numId w:val="14"/>
              </w:numPr>
              <w:spacing w:before="0" w:after="0"/>
              <w:ind w:left="0" w:firstLine="360"/>
              <w:jc w:val="both"/>
            </w:pPr>
            <w:r w:rsidRPr="00757F71">
              <w:rPr>
                <w:bCs/>
              </w:rPr>
              <w:t>veikt</w:t>
            </w:r>
            <w:r>
              <w:rPr>
                <w:bCs/>
              </w:rPr>
              <w:t xml:space="preserve"> grozījumu Noteikumu Nr. 766 4. </w:t>
            </w:r>
            <w:r w:rsidRPr="00757F71">
              <w:rPr>
                <w:bCs/>
              </w:rPr>
              <w:t xml:space="preserve">punktā, precizējot </w:t>
            </w:r>
            <w:r w:rsidRPr="00757F71">
              <w:t xml:space="preserve">Eiropas Reģionālās attīstības fonda </w:t>
            </w:r>
            <w:r w:rsidRPr="00757F71">
              <w:rPr>
                <w:bCs/>
              </w:rPr>
              <w:t>fina</w:t>
            </w:r>
            <w:r>
              <w:rPr>
                <w:bCs/>
              </w:rPr>
              <w:t>nsējumu otrās kārtas projektiem;</w:t>
            </w:r>
            <w:r w:rsidRPr="00757F71">
              <w:rPr>
                <w:bCs/>
              </w:rPr>
              <w:t xml:space="preserve"> </w:t>
            </w:r>
          </w:p>
          <w:p w:rsidR="00B66CC5" w:rsidRPr="008A47E7" w:rsidRDefault="00B66CC5" w:rsidP="00B66CC5">
            <w:pPr>
              <w:pStyle w:val="naiskr"/>
              <w:numPr>
                <w:ilvl w:val="0"/>
                <w:numId w:val="14"/>
              </w:numPr>
              <w:spacing w:before="0" w:after="0"/>
              <w:ind w:left="0" w:firstLine="360"/>
              <w:jc w:val="both"/>
            </w:pPr>
            <w:r w:rsidRPr="008A47E7">
              <w:t>papildināt Noteikumus Nr. 766 ar 57.</w:t>
            </w:r>
            <w:r w:rsidRPr="008A47E7">
              <w:rPr>
                <w:vertAlign w:val="superscript"/>
              </w:rPr>
              <w:t xml:space="preserve">5 </w:t>
            </w:r>
            <w:r w:rsidRPr="008A47E7">
              <w:t>punktu, kas noteic,</w:t>
            </w:r>
            <w:r w:rsidR="002110DE" w:rsidRPr="006C5256">
              <w:t xml:space="preserve"> </w:t>
            </w:r>
            <w:r w:rsidR="002110DE">
              <w:t>j</w:t>
            </w:r>
            <w:r w:rsidR="002110DE" w:rsidRPr="006C5256">
              <w:t xml:space="preserve">a </w:t>
            </w:r>
            <w:proofErr w:type="spellStart"/>
            <w:r w:rsidR="002110DE" w:rsidRPr="006C5256">
              <w:t>apakšaktivitātes</w:t>
            </w:r>
            <w:proofErr w:type="spellEnd"/>
            <w:r w:rsidR="002110DE" w:rsidRPr="006C5256">
              <w:t xml:space="preserve"> ietvaros īstenotajā projektā ir konstatēta neatbilstība vai vienošanās par projekta īstenošanu tiek izbeigta, at</w:t>
            </w:r>
            <w:r w:rsidR="002110DE">
              <w:t>brīvotais finansējums konstatētās neatbilstības</w:t>
            </w:r>
            <w:r w:rsidR="002110DE" w:rsidRPr="006C5256">
              <w:t xml:space="preserve"> </w:t>
            </w:r>
            <w:r w:rsidR="002110DE">
              <w:t>vai izbeigtās</w:t>
            </w:r>
            <w:r w:rsidR="002110DE" w:rsidRPr="006C5256">
              <w:t xml:space="preserve"> </w:t>
            </w:r>
            <w:r w:rsidR="002110DE">
              <w:t>vienošanā</w:t>
            </w:r>
            <w:r w:rsidR="002110DE" w:rsidRPr="006C5256">
              <w:t xml:space="preserve">s par projektu īstenošanu rezultātā </w:t>
            </w:r>
            <w:r w:rsidR="002110DE" w:rsidRPr="006C5256">
              <w:lastRenderedPageBreak/>
              <w:t xml:space="preserve">neatbilstoši veikto izdevumu apmērā nevar tikt novirzīts papildu darbību veikšanai </w:t>
            </w:r>
            <w:r w:rsidR="002110DE">
              <w:t>esoša projekta ietvaros vai jauna projekta</w:t>
            </w:r>
            <w:r w:rsidR="002110DE" w:rsidRPr="006C5256">
              <w:t xml:space="preserve"> īstenošanai</w:t>
            </w:r>
            <w:r w:rsidRPr="008A47E7">
              <w:t>;</w:t>
            </w:r>
          </w:p>
          <w:p w:rsidR="00B66CC5" w:rsidRPr="008A47E7" w:rsidRDefault="00B66CC5" w:rsidP="00B66CC5">
            <w:pPr>
              <w:pStyle w:val="naiskr"/>
              <w:numPr>
                <w:ilvl w:val="0"/>
                <w:numId w:val="14"/>
              </w:numPr>
              <w:spacing w:before="0" w:after="0"/>
              <w:ind w:left="0" w:firstLine="360"/>
              <w:jc w:val="both"/>
            </w:pPr>
            <w:r w:rsidRPr="008A47E7">
              <w:t xml:space="preserve">papildināt </w:t>
            </w:r>
            <w:r w:rsidRPr="008A47E7">
              <w:rPr>
                <w:bCs/>
              </w:rPr>
              <w:t xml:space="preserve">Noteikumus Nr. 766 ar jaunu tiesību normu, kas noteic </w:t>
            </w:r>
            <w:r w:rsidR="008A47E7" w:rsidRPr="008A47E7">
              <w:rPr>
                <w:bCs/>
              </w:rPr>
              <w:t xml:space="preserve">trešās atlases kārtas finansējumu un </w:t>
            </w:r>
            <w:r w:rsidRPr="008A47E7">
              <w:rPr>
                <w:bCs/>
              </w:rPr>
              <w:t xml:space="preserve">3.2.2.1.1. </w:t>
            </w:r>
            <w:proofErr w:type="spellStart"/>
            <w:r w:rsidRPr="008A47E7">
              <w:rPr>
                <w:bCs/>
              </w:rPr>
              <w:t>apakšaktivitātei</w:t>
            </w:r>
            <w:proofErr w:type="spellEnd"/>
            <w:r w:rsidRPr="008A47E7">
              <w:rPr>
                <w:bCs/>
              </w:rPr>
              <w:t xml:space="preserve"> „Informācijas sistēmu un elektronisko pakalpojumu attīstība”</w:t>
            </w:r>
            <w:r w:rsidRPr="008A47E7">
              <w:t xml:space="preserve"> pieejamo saistību apjoms, kas pārsniedz kopējo </w:t>
            </w:r>
            <w:proofErr w:type="spellStart"/>
            <w:r w:rsidRPr="008A47E7">
              <w:t>apakšaktivitātei</w:t>
            </w:r>
            <w:proofErr w:type="spellEnd"/>
            <w:r w:rsidRPr="008A47E7">
              <w:t xml:space="preserve"> piešķirto ERAF finansējumu;</w:t>
            </w:r>
          </w:p>
          <w:p w:rsidR="00B66CC5" w:rsidRPr="00757F71" w:rsidRDefault="00B66CC5" w:rsidP="00B66CC5">
            <w:pPr>
              <w:pStyle w:val="naiskr"/>
              <w:numPr>
                <w:ilvl w:val="0"/>
                <w:numId w:val="14"/>
              </w:numPr>
              <w:spacing w:before="0" w:after="0"/>
              <w:ind w:left="0" w:firstLine="360"/>
              <w:jc w:val="both"/>
            </w:pPr>
            <w:r w:rsidRPr="00757F71">
              <w:t>papildināt Noteikumu</w:t>
            </w:r>
            <w:r>
              <w:t>s</w:t>
            </w:r>
            <w:r w:rsidRPr="00757F71">
              <w:t xml:space="preserve"> Nr. 766</w:t>
            </w:r>
            <w:r w:rsidR="00B52443">
              <w:t xml:space="preserve"> ar III</w:t>
            </w:r>
            <w:r w:rsidR="00B52443" w:rsidRPr="00B52443">
              <w:rPr>
                <w:vertAlign w:val="superscript"/>
              </w:rPr>
              <w:t>1</w:t>
            </w:r>
            <w:r w:rsidR="00B52443">
              <w:t>. nodaļu</w:t>
            </w:r>
            <w:r w:rsidR="00B52443">
              <w:rPr>
                <w:bCs/>
              </w:rPr>
              <w:t>, kas noteiks</w:t>
            </w:r>
            <w:r w:rsidRPr="00757F71">
              <w:t xml:space="preserve"> atvieglotu informācijas sistēm</w:t>
            </w:r>
            <w:r>
              <w:t>as darbības koncepcijas apraksta</w:t>
            </w:r>
            <w:r w:rsidRPr="00757F71">
              <w:t xml:space="preserve"> saskaņošanas kārtību</w:t>
            </w:r>
            <w:r w:rsidRPr="00757F71">
              <w:rPr>
                <w:bCs/>
              </w:rPr>
              <w:t xml:space="preserve"> attiecībā uz nozaru ministriju </w:t>
            </w:r>
            <w:r w:rsidRPr="00757F71">
              <w:t xml:space="preserve">informācijas sistēmu pielāgošana </w:t>
            </w:r>
            <w:proofErr w:type="spellStart"/>
            <w:r w:rsidRPr="00757F71">
              <w:rPr>
                <w:i/>
              </w:rPr>
              <w:t>euro</w:t>
            </w:r>
            <w:proofErr w:type="spellEnd"/>
            <w:r w:rsidRPr="00757F71">
              <w:t xml:space="preserve"> ieviešanai</w:t>
            </w:r>
            <w:r>
              <w:t xml:space="preserve">, </w:t>
            </w:r>
            <w:r w:rsidRPr="008A47E7">
              <w:t>tās saturu un projekta iesnieguma iesniegšanas kārtību, kā arī</w:t>
            </w:r>
            <w:r w:rsidRPr="00CC2C1F">
              <w:rPr>
                <w:b/>
              </w:rPr>
              <w:t xml:space="preserve"> </w:t>
            </w:r>
            <w:r w:rsidRPr="00757F71">
              <w:t xml:space="preserve">atļauj sarunu procedūru izmantošanu attiecībā </w:t>
            </w:r>
            <w:r w:rsidRPr="00757F71">
              <w:rPr>
                <w:bCs/>
              </w:rPr>
              <w:t xml:space="preserve">uz </w:t>
            </w:r>
            <w:r w:rsidR="00AE3F33">
              <w:rPr>
                <w:bCs/>
              </w:rPr>
              <w:t>astoņiem</w:t>
            </w:r>
            <w:r w:rsidRPr="00757F71">
              <w:rPr>
                <w:bCs/>
              </w:rPr>
              <w:t xml:space="preserve"> jaunajiem projektiem par nozaru ministriju </w:t>
            </w:r>
            <w:r w:rsidRPr="00757F71">
              <w:t xml:space="preserve">informācijas sistēmu pielāgošana </w:t>
            </w:r>
            <w:proofErr w:type="spellStart"/>
            <w:r w:rsidRPr="00757F71">
              <w:rPr>
                <w:i/>
              </w:rPr>
              <w:t>euro</w:t>
            </w:r>
            <w:proofErr w:type="spellEnd"/>
            <w:r>
              <w:t xml:space="preserve"> ieviešanai;</w:t>
            </w:r>
          </w:p>
          <w:p w:rsidR="00131392" w:rsidRDefault="00B66CC5" w:rsidP="00711F59">
            <w:pPr>
              <w:pStyle w:val="naiskr"/>
              <w:numPr>
                <w:ilvl w:val="0"/>
                <w:numId w:val="14"/>
              </w:numPr>
              <w:spacing w:before="0" w:after="0"/>
              <w:ind w:left="0" w:firstLine="360"/>
              <w:jc w:val="both"/>
            </w:pPr>
            <w:r w:rsidRPr="00757F71">
              <w:t>Aizstāt 1. pielikuma 13. punktā vārdus „Vienotas valsts iestāžu finanšu un vadības grāmatvedības sistēmas izveide un tās sasaiste ar vienoto valsts cilvēkresursu vadības sistēmu” ar vārdiem „</w:t>
            </w:r>
            <w:r w:rsidRPr="00757F71">
              <w:rPr>
                <w:bCs/>
              </w:rPr>
              <w:t>Vienotas valsts iestāžu finanšu un vadības grāmatvedības sistēmas un finanšu analīzes rīka izveide, nodrošinot finanšu un cilvēkresursu vadību” un skaitli „2 434 280,00” ar skaitli „1 997 280, 00”</w:t>
            </w:r>
            <w:r>
              <w:rPr>
                <w:bCs/>
              </w:rPr>
              <w:t>;</w:t>
            </w:r>
            <w:r w:rsidRPr="00757F71">
              <w:rPr>
                <w:bCs/>
              </w:rPr>
              <w:t xml:space="preserve">  </w:t>
            </w:r>
            <w:r w:rsidRPr="00757F71">
              <w:t xml:space="preserve">  </w:t>
            </w:r>
          </w:p>
          <w:p w:rsidR="001D665E" w:rsidRDefault="00131392" w:rsidP="00711F59">
            <w:pPr>
              <w:pStyle w:val="naiskr"/>
              <w:numPr>
                <w:ilvl w:val="0"/>
                <w:numId w:val="14"/>
              </w:numPr>
              <w:spacing w:before="0" w:after="0"/>
              <w:ind w:left="0" w:firstLine="360"/>
              <w:jc w:val="both"/>
            </w:pPr>
            <w:r w:rsidRPr="00131392">
              <w:rPr>
                <w:bCs/>
              </w:rPr>
              <w:t>No</w:t>
            </w:r>
            <w:r w:rsidR="00B52443">
              <w:rPr>
                <w:bCs/>
              </w:rPr>
              <w:t>teikumus Nr. 766 papildināt ar 1</w:t>
            </w:r>
            <w:r w:rsidR="00B52443">
              <w:rPr>
                <w:bCs/>
                <w:vertAlign w:val="superscript"/>
              </w:rPr>
              <w:t>1</w:t>
            </w:r>
            <w:r w:rsidRPr="00131392">
              <w:rPr>
                <w:bCs/>
              </w:rPr>
              <w:t xml:space="preserve">. pielikumu, norādot astoņas jaunās projekta tēmas </w:t>
            </w:r>
            <w:r w:rsidRPr="00757F71">
              <w:t xml:space="preserve">par </w:t>
            </w:r>
            <w:r w:rsidRPr="00131392">
              <w:rPr>
                <w:bCs/>
              </w:rPr>
              <w:t xml:space="preserve">nozaru ministriju </w:t>
            </w:r>
            <w:r w:rsidRPr="00757F71">
              <w:t xml:space="preserve">informācijas sistēmu pielāgošana </w:t>
            </w:r>
            <w:proofErr w:type="spellStart"/>
            <w:r w:rsidRPr="00131392">
              <w:rPr>
                <w:i/>
              </w:rPr>
              <w:t>euro</w:t>
            </w:r>
            <w:proofErr w:type="spellEnd"/>
            <w:r w:rsidRPr="00757F71">
              <w:t xml:space="preserve"> ieviešanai, par šo projektu īstenošanu atbildīgajām institūcijām un projekta kopējām attiecināmām izmaksām.</w:t>
            </w:r>
          </w:p>
          <w:p w:rsidR="00131392" w:rsidRPr="00131392" w:rsidRDefault="00131392" w:rsidP="002110DE">
            <w:pPr>
              <w:pStyle w:val="naiskr"/>
              <w:spacing w:before="0" w:after="0"/>
              <w:jc w:val="both"/>
            </w:pPr>
          </w:p>
          <w:p w:rsidR="0083685B" w:rsidRPr="00CE646D" w:rsidRDefault="0083685B" w:rsidP="00711F59">
            <w:pPr>
              <w:pStyle w:val="naiskr"/>
              <w:tabs>
                <w:tab w:val="left" w:pos="2628"/>
              </w:tabs>
              <w:spacing w:before="0" w:after="0"/>
              <w:jc w:val="both"/>
              <w:rPr>
                <w:iCs/>
              </w:rPr>
            </w:pPr>
            <w:r w:rsidRPr="00CE646D">
              <w:rPr>
                <w:iCs/>
              </w:rPr>
              <w:t xml:space="preserve">Atbildīgā ministrija - </w:t>
            </w:r>
            <w:r w:rsidRPr="00CE646D">
              <w:t>Vides aizsardzības un reģionālās attīstības ministrija</w:t>
            </w:r>
          </w:p>
        </w:tc>
      </w:tr>
      <w:tr w:rsidR="00924023" w:rsidRPr="00CE646D" w:rsidTr="00A5353B">
        <w:trPr>
          <w:jc w:val="center"/>
        </w:trPr>
        <w:tc>
          <w:tcPr>
            <w:tcW w:w="453" w:type="dxa"/>
          </w:tcPr>
          <w:p w:rsidR="00924023" w:rsidRPr="00CE646D" w:rsidRDefault="00924023" w:rsidP="00711F59">
            <w:pPr>
              <w:pStyle w:val="naiskr"/>
              <w:tabs>
                <w:tab w:val="left" w:pos="2628"/>
              </w:tabs>
              <w:spacing w:before="0" w:after="0"/>
              <w:jc w:val="both"/>
              <w:rPr>
                <w:iCs/>
              </w:rPr>
            </w:pPr>
            <w:r w:rsidRPr="00CE646D">
              <w:rPr>
                <w:iCs/>
              </w:rPr>
              <w:lastRenderedPageBreak/>
              <w:t>2.</w:t>
            </w:r>
          </w:p>
        </w:tc>
        <w:tc>
          <w:tcPr>
            <w:tcW w:w="3118" w:type="dxa"/>
          </w:tcPr>
          <w:p w:rsidR="00924023" w:rsidRPr="00CE646D" w:rsidRDefault="00924023" w:rsidP="00711F59">
            <w:pPr>
              <w:pStyle w:val="naiskr"/>
              <w:tabs>
                <w:tab w:val="left" w:pos="2628"/>
              </w:tabs>
              <w:spacing w:before="0" w:after="0"/>
              <w:jc w:val="both"/>
              <w:rPr>
                <w:iCs/>
              </w:rPr>
            </w:pPr>
            <w:r w:rsidRPr="00CE646D">
              <w:t>Cita informācija</w:t>
            </w:r>
          </w:p>
        </w:tc>
        <w:tc>
          <w:tcPr>
            <w:tcW w:w="6182" w:type="dxa"/>
          </w:tcPr>
          <w:p w:rsidR="00924023" w:rsidRPr="00CE646D" w:rsidRDefault="0083685B" w:rsidP="00711F59">
            <w:pPr>
              <w:pStyle w:val="naiskr"/>
              <w:tabs>
                <w:tab w:val="left" w:pos="2628"/>
              </w:tabs>
              <w:spacing w:before="0" w:after="0"/>
              <w:jc w:val="both"/>
              <w:rPr>
                <w:iCs/>
              </w:rPr>
            </w:pPr>
            <w:r w:rsidRPr="00CE646D">
              <w:rPr>
                <w:iCs/>
              </w:rPr>
              <w:t>Nav.</w:t>
            </w:r>
          </w:p>
        </w:tc>
      </w:tr>
    </w:tbl>
    <w:p w:rsidR="00A5353B" w:rsidRPr="00CE646D" w:rsidRDefault="00A5353B" w:rsidP="002A4913">
      <w:pPr>
        <w:pStyle w:val="naisf"/>
        <w:spacing w:before="0" w:after="0"/>
        <w:ind w:firstLine="0"/>
        <w:jc w:val="left"/>
        <w:rPr>
          <w:b/>
        </w:rPr>
      </w:pPr>
    </w:p>
    <w:p w:rsidR="00A96E5B" w:rsidRPr="00CE646D" w:rsidRDefault="00A96E5B" w:rsidP="002A4913">
      <w:pPr>
        <w:pStyle w:val="naisf"/>
        <w:spacing w:before="0" w:after="0"/>
        <w:ind w:firstLine="0"/>
        <w:jc w:val="left"/>
        <w:rPr>
          <w:b/>
        </w:rPr>
      </w:pPr>
    </w:p>
    <w:p w:rsidR="002A4913" w:rsidRPr="00CE646D" w:rsidRDefault="00A5353B" w:rsidP="002A4913">
      <w:pPr>
        <w:pStyle w:val="naisf"/>
        <w:spacing w:before="0" w:after="0"/>
        <w:ind w:firstLine="0"/>
        <w:jc w:val="left"/>
      </w:pPr>
      <w:r w:rsidRPr="00CE646D">
        <w:t>Anotācijas II, III,</w:t>
      </w:r>
      <w:r w:rsidR="002A4913" w:rsidRPr="00CE646D">
        <w:t xml:space="preserve"> </w:t>
      </w:r>
      <w:r w:rsidRPr="00CE646D">
        <w:t>V,</w:t>
      </w:r>
      <w:r w:rsidR="002A4913" w:rsidRPr="00CE646D">
        <w:t xml:space="preserve"> VI </w:t>
      </w:r>
      <w:r w:rsidRPr="00CE646D">
        <w:t>un VII</w:t>
      </w:r>
      <w:r w:rsidR="002A4913" w:rsidRPr="00CE646D">
        <w:t xml:space="preserve"> sadaļa – </w:t>
      </w:r>
      <w:r w:rsidRPr="00CE646D">
        <w:t xml:space="preserve">noteikumu </w:t>
      </w:r>
      <w:r w:rsidR="002A4913" w:rsidRPr="00CE646D">
        <w:t>projekts šīs jomas neskar.</w:t>
      </w:r>
    </w:p>
    <w:p w:rsidR="00A5353B" w:rsidRPr="00CE646D" w:rsidRDefault="00A5353B" w:rsidP="00A5353B">
      <w:pPr>
        <w:jc w:val="both"/>
        <w:rPr>
          <w:rStyle w:val="flexinput2"/>
        </w:rPr>
      </w:pPr>
    </w:p>
    <w:p w:rsidR="00A5353B" w:rsidRPr="00CE646D" w:rsidRDefault="00A5353B" w:rsidP="00A5353B">
      <w:pPr>
        <w:jc w:val="both"/>
        <w:rPr>
          <w:rStyle w:val="flexinput2"/>
        </w:rPr>
      </w:pPr>
    </w:p>
    <w:p w:rsidR="00A5353B" w:rsidRPr="00CE646D" w:rsidRDefault="00A5353B" w:rsidP="00A5353B">
      <w:pPr>
        <w:jc w:val="both"/>
        <w:rPr>
          <w:rStyle w:val="flexinput2"/>
        </w:rPr>
      </w:pPr>
      <w:r w:rsidRPr="00CE646D">
        <w:rPr>
          <w:rStyle w:val="flexinput2"/>
        </w:rPr>
        <w:t xml:space="preserve">Vides aizsardzības un reģionālās </w:t>
      </w:r>
    </w:p>
    <w:p w:rsidR="00A5353B" w:rsidRPr="00CE646D" w:rsidRDefault="00A5353B" w:rsidP="00A5353B">
      <w:pPr>
        <w:jc w:val="both"/>
        <w:rPr>
          <w:rStyle w:val="flexinput2"/>
        </w:rPr>
      </w:pPr>
      <w:r w:rsidRPr="00CE646D">
        <w:rPr>
          <w:rStyle w:val="flexinput2"/>
        </w:rPr>
        <w:t xml:space="preserve">attīstības ministrs </w:t>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r>
      <w:r w:rsidRPr="00CE646D">
        <w:rPr>
          <w:rStyle w:val="flexinput2"/>
        </w:rPr>
        <w:tab/>
        <w:t>E. Sprūdžs</w:t>
      </w:r>
    </w:p>
    <w:p w:rsidR="00A5353B" w:rsidRPr="00CE646D" w:rsidRDefault="00A5353B" w:rsidP="002A4913">
      <w:pPr>
        <w:jc w:val="both"/>
      </w:pPr>
    </w:p>
    <w:p w:rsidR="00B52443" w:rsidRDefault="00B52443" w:rsidP="004F3752">
      <w:pPr>
        <w:jc w:val="both"/>
        <w:rPr>
          <w:lang w:val="fi-FI"/>
        </w:rPr>
      </w:pPr>
    </w:p>
    <w:p w:rsidR="00A5353B" w:rsidRPr="00CE646D" w:rsidRDefault="008A47E7" w:rsidP="004F3752">
      <w:pPr>
        <w:jc w:val="both"/>
        <w:rPr>
          <w:sz w:val="20"/>
          <w:szCs w:val="20"/>
          <w:lang w:val="fi-FI"/>
        </w:rPr>
      </w:pPr>
      <w:r>
        <w:rPr>
          <w:sz w:val="20"/>
          <w:szCs w:val="20"/>
          <w:lang w:val="fi-FI"/>
        </w:rPr>
        <w:t>13</w:t>
      </w:r>
      <w:r w:rsidR="00CE646D">
        <w:rPr>
          <w:sz w:val="20"/>
          <w:szCs w:val="20"/>
          <w:lang w:val="fi-FI"/>
        </w:rPr>
        <w:t>.09</w:t>
      </w:r>
      <w:r>
        <w:rPr>
          <w:sz w:val="20"/>
          <w:szCs w:val="20"/>
          <w:lang w:val="fi-FI"/>
        </w:rPr>
        <w:t>.2012. 10</w:t>
      </w:r>
      <w:r w:rsidR="00A5353B" w:rsidRPr="00CE646D">
        <w:rPr>
          <w:sz w:val="20"/>
          <w:szCs w:val="20"/>
          <w:lang w:val="fi-FI"/>
        </w:rPr>
        <w:t>:30</w:t>
      </w:r>
    </w:p>
    <w:p w:rsidR="00A5353B" w:rsidRPr="00CE646D" w:rsidRDefault="00BA3966" w:rsidP="004F3752">
      <w:pPr>
        <w:jc w:val="both"/>
        <w:rPr>
          <w:sz w:val="20"/>
          <w:szCs w:val="20"/>
          <w:lang w:val="fi-FI"/>
        </w:rPr>
      </w:pPr>
      <w:r>
        <w:rPr>
          <w:sz w:val="20"/>
          <w:szCs w:val="20"/>
          <w:lang w:val="fi-FI"/>
        </w:rPr>
        <w:t>1 036</w:t>
      </w:r>
    </w:p>
    <w:p w:rsidR="00A5353B" w:rsidRPr="00CE646D" w:rsidRDefault="00A5353B" w:rsidP="004F3752">
      <w:pPr>
        <w:pStyle w:val="BodyText"/>
        <w:jc w:val="both"/>
        <w:rPr>
          <w:b w:val="0"/>
          <w:sz w:val="20"/>
          <w:szCs w:val="20"/>
        </w:rPr>
      </w:pPr>
      <w:r w:rsidRPr="00CE646D">
        <w:rPr>
          <w:b w:val="0"/>
          <w:sz w:val="20"/>
          <w:szCs w:val="20"/>
        </w:rPr>
        <w:t>M. Laurs</w:t>
      </w:r>
    </w:p>
    <w:p w:rsidR="00A5353B" w:rsidRPr="00CE646D" w:rsidRDefault="00A5353B" w:rsidP="004F3752">
      <w:pPr>
        <w:pStyle w:val="naisf"/>
        <w:spacing w:before="0" w:after="0"/>
        <w:ind w:firstLine="0"/>
        <w:rPr>
          <w:sz w:val="20"/>
          <w:szCs w:val="20"/>
        </w:rPr>
      </w:pPr>
      <w:r w:rsidRPr="00CE646D">
        <w:rPr>
          <w:sz w:val="20"/>
          <w:szCs w:val="20"/>
        </w:rPr>
        <w:t xml:space="preserve">Vides aizsardzības un </w:t>
      </w:r>
    </w:p>
    <w:p w:rsidR="00A5353B" w:rsidRPr="00CE646D" w:rsidRDefault="00A5353B" w:rsidP="004F3752">
      <w:pPr>
        <w:pStyle w:val="naisf"/>
        <w:spacing w:before="0" w:after="0"/>
        <w:ind w:firstLine="0"/>
        <w:rPr>
          <w:sz w:val="20"/>
          <w:szCs w:val="20"/>
        </w:rPr>
      </w:pPr>
      <w:r w:rsidRPr="00CE646D">
        <w:rPr>
          <w:sz w:val="20"/>
          <w:szCs w:val="20"/>
        </w:rPr>
        <w:t>reģionālās attīstības ministrijas</w:t>
      </w:r>
    </w:p>
    <w:p w:rsidR="00A5353B" w:rsidRPr="00CE646D" w:rsidRDefault="00A5353B" w:rsidP="004F3752">
      <w:pPr>
        <w:jc w:val="both"/>
        <w:rPr>
          <w:sz w:val="20"/>
          <w:szCs w:val="20"/>
        </w:rPr>
      </w:pPr>
      <w:r w:rsidRPr="00CE646D">
        <w:rPr>
          <w:sz w:val="20"/>
          <w:szCs w:val="20"/>
        </w:rPr>
        <w:t>Elektroniskās pārvaldes departamenta</w:t>
      </w:r>
    </w:p>
    <w:p w:rsidR="00A5353B" w:rsidRPr="00CE646D" w:rsidRDefault="00A5353B" w:rsidP="004F3752">
      <w:pPr>
        <w:jc w:val="both"/>
        <w:rPr>
          <w:noProof/>
          <w:sz w:val="20"/>
          <w:szCs w:val="20"/>
        </w:rPr>
      </w:pPr>
      <w:r w:rsidRPr="00CE646D">
        <w:rPr>
          <w:noProof/>
          <w:sz w:val="20"/>
          <w:szCs w:val="20"/>
        </w:rPr>
        <w:t>Elektroniskās pārvaldes attīstības instrumentu</w:t>
      </w:r>
    </w:p>
    <w:p w:rsidR="00A5353B" w:rsidRPr="00CE646D" w:rsidRDefault="00A5353B" w:rsidP="004F3752">
      <w:pPr>
        <w:jc w:val="both"/>
        <w:rPr>
          <w:noProof/>
          <w:sz w:val="20"/>
          <w:szCs w:val="20"/>
        </w:rPr>
      </w:pPr>
      <w:r w:rsidRPr="00CE646D">
        <w:rPr>
          <w:noProof/>
          <w:sz w:val="20"/>
          <w:szCs w:val="20"/>
        </w:rPr>
        <w:t>nodaļas juriskonsults</w:t>
      </w:r>
    </w:p>
    <w:p w:rsidR="00A5353B" w:rsidRPr="00CE646D" w:rsidRDefault="00A5353B" w:rsidP="002A4913">
      <w:pPr>
        <w:jc w:val="both"/>
        <w:rPr>
          <w:sz w:val="20"/>
          <w:szCs w:val="20"/>
        </w:rPr>
      </w:pPr>
      <w:r w:rsidRPr="00CE646D">
        <w:rPr>
          <w:sz w:val="20"/>
          <w:szCs w:val="20"/>
        </w:rPr>
        <w:t>67770455, Madars.Laurs@varam.gov.lv</w:t>
      </w:r>
    </w:p>
    <w:sectPr w:rsidR="00A5353B" w:rsidRPr="00CE646D" w:rsidSect="00C31E3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6C" w:rsidRDefault="00493E6C">
      <w:r>
        <w:separator/>
      </w:r>
    </w:p>
  </w:endnote>
  <w:endnote w:type="continuationSeparator" w:id="0">
    <w:p w:rsidR="00493E6C" w:rsidRDefault="00493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B" w:rsidRPr="00A96E5B" w:rsidRDefault="008A47E7" w:rsidP="00A96E5B">
    <w:pPr>
      <w:pStyle w:val="naislab"/>
      <w:spacing w:before="0" w:after="0"/>
      <w:jc w:val="both"/>
      <w:outlineLvl w:val="0"/>
      <w:rPr>
        <w:sz w:val="20"/>
        <w:szCs w:val="20"/>
      </w:rPr>
    </w:pPr>
    <w:r>
      <w:rPr>
        <w:sz w:val="20"/>
        <w:szCs w:val="20"/>
      </w:rPr>
      <w:t>VARAMAnot_13</w:t>
    </w:r>
    <w:r w:rsidR="00CE646D">
      <w:rPr>
        <w:sz w:val="20"/>
        <w:szCs w:val="20"/>
      </w:rPr>
      <w:t>09</w:t>
    </w:r>
    <w:r w:rsidR="00A96E5B" w:rsidRPr="00A96E5B">
      <w:rPr>
        <w:sz w:val="20"/>
        <w:szCs w:val="20"/>
      </w:rPr>
      <w:t>12_576;</w:t>
    </w:r>
    <w:r w:rsidR="00A96E5B" w:rsidRPr="00A96E5B">
      <w:rPr>
        <w:bCs/>
        <w:sz w:val="20"/>
        <w:szCs w:val="20"/>
      </w:rPr>
      <w:t xml:space="preserve"> </w:t>
    </w:r>
    <w:bookmarkStart w:id="3" w:name="OLE_LINK1"/>
    <w:bookmarkStart w:id="4" w:name="OLE_LINK2"/>
    <w:r w:rsidR="00A96E5B" w:rsidRPr="00A96E5B">
      <w:rPr>
        <w:bCs/>
        <w:sz w:val="20"/>
        <w:szCs w:val="20"/>
      </w:rPr>
      <w:t>Ministru kabineta noteikumu projekta „</w:t>
    </w:r>
    <w:r w:rsidR="00A96E5B" w:rsidRPr="00A96E5B">
      <w:rPr>
        <w:sz w:val="20"/>
        <w:szCs w:val="20"/>
      </w:rPr>
      <w:t>Grozījumi Ministru kabineta 2008.gada 21.jūlija noteikumu Nr.576 „Noteikumi par darbības programmas „Infrastruktūra un pakalpojumi” papildinājuma 3.2.2.1.1.apakšaktivitāti „Informācijas sistēmu un elektronisko pakalpojumu attīstība” projektu iesniegumu atlases pirmo kārtu”</w:t>
    </w:r>
    <w:r w:rsidR="00A96E5B" w:rsidRPr="00A96E5B">
      <w:rPr>
        <w:bCs/>
        <w:sz w:val="20"/>
        <w:szCs w:val="20"/>
      </w:rPr>
      <w:t xml:space="preserve">” </w:t>
    </w:r>
    <w:r w:rsidR="00A96E5B" w:rsidRPr="00A96E5B">
      <w:rPr>
        <w:sz w:val="20"/>
        <w:szCs w:val="20"/>
      </w:rPr>
      <w:t xml:space="preserve">sākotnējās ietekmes novērtējuma </w:t>
    </w:r>
    <w:smartTag w:uri="schemas-tilde-lv/tildestengine" w:element="veidnes">
      <w:smartTagPr>
        <w:attr w:name="id" w:val="-1"/>
        <w:attr w:name="baseform" w:val="ziņojums"/>
        <w:attr w:name="text" w:val="ziņojums"/>
      </w:smartTagPr>
      <w:r w:rsidR="00A96E5B" w:rsidRPr="00A96E5B">
        <w:rPr>
          <w:sz w:val="20"/>
          <w:szCs w:val="20"/>
        </w:rPr>
        <w:t>ziņojums</w:t>
      </w:r>
    </w:smartTag>
    <w:r w:rsidR="00A96E5B" w:rsidRPr="00A96E5B">
      <w:rPr>
        <w:sz w:val="20"/>
        <w:szCs w:val="20"/>
      </w:rPr>
      <w:t xml:space="preserve"> (anotācija)</w:t>
    </w:r>
    <w:bookmarkEnd w:id="3"/>
    <w:bookmarkEnd w:id="4"/>
  </w:p>
  <w:p w:rsidR="00EA0D3E" w:rsidRPr="00A5353B" w:rsidRDefault="00EA0D3E" w:rsidP="00A5353B">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B" w:rsidRPr="00A96E5B" w:rsidRDefault="001D5579" w:rsidP="00A96E5B">
    <w:pPr>
      <w:pStyle w:val="naislab"/>
      <w:spacing w:before="0" w:after="0"/>
      <w:jc w:val="both"/>
      <w:outlineLvl w:val="0"/>
      <w:rPr>
        <w:sz w:val="20"/>
        <w:szCs w:val="20"/>
      </w:rPr>
    </w:pPr>
    <w:r>
      <w:rPr>
        <w:sz w:val="20"/>
        <w:szCs w:val="20"/>
      </w:rPr>
      <w:t>VARAMAn</w:t>
    </w:r>
    <w:r w:rsidR="008A47E7">
      <w:rPr>
        <w:sz w:val="20"/>
        <w:szCs w:val="20"/>
      </w:rPr>
      <w:t>ot_13</w:t>
    </w:r>
    <w:r w:rsidR="00CE646D">
      <w:rPr>
        <w:sz w:val="20"/>
        <w:szCs w:val="20"/>
      </w:rPr>
      <w:t>09</w:t>
    </w:r>
    <w:r w:rsidR="00A96E5B" w:rsidRPr="00A96E5B">
      <w:rPr>
        <w:sz w:val="20"/>
        <w:szCs w:val="20"/>
      </w:rPr>
      <w:t>12_576</w:t>
    </w:r>
    <w:r w:rsidR="00A5353B" w:rsidRPr="00A96E5B">
      <w:rPr>
        <w:sz w:val="20"/>
        <w:szCs w:val="20"/>
      </w:rPr>
      <w:t>;</w:t>
    </w:r>
    <w:r w:rsidR="00A5353B" w:rsidRPr="00A96E5B">
      <w:rPr>
        <w:bCs/>
        <w:sz w:val="20"/>
        <w:szCs w:val="20"/>
      </w:rPr>
      <w:t xml:space="preserve"> </w:t>
    </w:r>
    <w:r w:rsidR="00A96E5B" w:rsidRPr="00A96E5B">
      <w:rPr>
        <w:bCs/>
        <w:sz w:val="20"/>
        <w:szCs w:val="20"/>
      </w:rPr>
      <w:t>Ministru kabineta noteikumu projekta „</w:t>
    </w:r>
    <w:r w:rsidR="00A96E5B" w:rsidRPr="00A96E5B">
      <w:rPr>
        <w:sz w:val="20"/>
        <w:szCs w:val="20"/>
      </w:rPr>
      <w:t>Grozījumi Ministru kabineta 2008.gada 21.jūlija noteikumu Nr.576 „Noteikumi par darbības programmas „Infrastruktūra un pakalpojumi” papildinājuma 3.2.2.1.1.apakšaktivitāti „Informācijas sistēmu un elektronisko pakalpojumu attīstība” projektu iesniegumu atlases pirmo kārtu”</w:t>
    </w:r>
    <w:r w:rsidR="00A96E5B" w:rsidRPr="00A96E5B">
      <w:rPr>
        <w:bCs/>
        <w:sz w:val="20"/>
        <w:szCs w:val="20"/>
      </w:rPr>
      <w:t xml:space="preserve">” </w:t>
    </w:r>
    <w:r w:rsidR="00A96E5B" w:rsidRPr="00A96E5B">
      <w:rPr>
        <w:sz w:val="20"/>
        <w:szCs w:val="20"/>
      </w:rPr>
      <w:t xml:space="preserve">sākotnējās ietekmes novērtējuma </w:t>
    </w:r>
    <w:smartTag w:uri="schemas-tilde-lv/tildestengine" w:element="veidnes">
      <w:smartTagPr>
        <w:attr w:name="id" w:val="-1"/>
        <w:attr w:name="baseform" w:val="ziņojums"/>
        <w:attr w:name="text" w:val="ziņojums"/>
      </w:smartTagPr>
      <w:r w:rsidR="00A96E5B" w:rsidRPr="00A96E5B">
        <w:rPr>
          <w:sz w:val="20"/>
          <w:szCs w:val="20"/>
        </w:rPr>
        <w:t>ziņojums</w:t>
      </w:r>
    </w:smartTag>
    <w:r w:rsidR="00A96E5B" w:rsidRPr="00A96E5B">
      <w:rPr>
        <w:sz w:val="20"/>
        <w:szCs w:val="20"/>
      </w:rPr>
      <w:t xml:space="preserve"> (anotācija)</w:t>
    </w:r>
  </w:p>
  <w:p w:rsidR="00A5353B" w:rsidRPr="00A5353B" w:rsidRDefault="00A5353B" w:rsidP="00A5353B">
    <w:pPr>
      <w:pStyle w:val="naislab"/>
      <w:spacing w:before="0" w:after="0"/>
      <w:jc w:val="both"/>
      <w:outlineLvl w:val="0"/>
      <w:rPr>
        <w:sz w:val="20"/>
        <w:szCs w:val="20"/>
      </w:rPr>
    </w:pPr>
  </w:p>
  <w:p w:rsidR="00EA0D3E" w:rsidRPr="00A5353B" w:rsidRDefault="00EA0D3E" w:rsidP="00A5353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6C" w:rsidRDefault="00493E6C">
      <w:r>
        <w:separator/>
      </w:r>
    </w:p>
  </w:footnote>
  <w:footnote w:type="continuationSeparator" w:id="0">
    <w:p w:rsidR="00493E6C" w:rsidRDefault="0049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AC2618" w:rsidP="003C449B">
    <w:pPr>
      <w:pStyle w:val="Header"/>
      <w:framePr w:wrap="around" w:vAnchor="text" w:hAnchor="margin" w:xAlign="center" w:y="1"/>
      <w:rPr>
        <w:rStyle w:val="PageNumber"/>
      </w:rPr>
    </w:pPr>
    <w:r>
      <w:rPr>
        <w:rStyle w:val="PageNumber"/>
      </w:rPr>
      <w:fldChar w:fldCharType="begin"/>
    </w:r>
    <w:r w:rsidR="00EA0D3E">
      <w:rPr>
        <w:rStyle w:val="PageNumber"/>
      </w:rPr>
      <w:instrText xml:space="preserve">PAGE  </w:instrText>
    </w:r>
    <w:r>
      <w:rPr>
        <w:rStyle w:val="PageNumber"/>
      </w:rPr>
      <w:fldChar w:fldCharType="end"/>
    </w:r>
  </w:p>
  <w:p w:rsidR="00EA0D3E" w:rsidRDefault="00EA0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3E" w:rsidRDefault="00AC2618" w:rsidP="003C449B">
    <w:pPr>
      <w:pStyle w:val="Header"/>
      <w:framePr w:wrap="around" w:vAnchor="text" w:hAnchor="margin" w:xAlign="center" w:y="1"/>
      <w:rPr>
        <w:rStyle w:val="PageNumber"/>
      </w:rPr>
    </w:pPr>
    <w:r>
      <w:rPr>
        <w:rStyle w:val="PageNumber"/>
      </w:rPr>
      <w:fldChar w:fldCharType="begin"/>
    </w:r>
    <w:r w:rsidR="00EA0D3E">
      <w:rPr>
        <w:rStyle w:val="PageNumber"/>
      </w:rPr>
      <w:instrText xml:space="preserve">PAGE  </w:instrText>
    </w:r>
    <w:r>
      <w:rPr>
        <w:rStyle w:val="PageNumber"/>
      </w:rPr>
      <w:fldChar w:fldCharType="separate"/>
    </w:r>
    <w:r w:rsidR="00BA3966">
      <w:rPr>
        <w:rStyle w:val="PageNumber"/>
        <w:noProof/>
      </w:rPr>
      <w:t>2</w:t>
    </w:r>
    <w:r>
      <w:rPr>
        <w:rStyle w:val="PageNumber"/>
      </w:rPr>
      <w:fldChar w:fldCharType="end"/>
    </w:r>
  </w:p>
  <w:p w:rsidR="00EA0D3E" w:rsidRDefault="00EA0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4"/>
  </w:num>
  <w:num w:numId="4">
    <w:abstractNumId w:val="2"/>
  </w:num>
  <w:num w:numId="5">
    <w:abstractNumId w:val="0"/>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20FE1"/>
    <w:rsid w:val="00022E13"/>
    <w:rsid w:val="00032388"/>
    <w:rsid w:val="00035CE2"/>
    <w:rsid w:val="0004366B"/>
    <w:rsid w:val="0005553B"/>
    <w:rsid w:val="000604D2"/>
    <w:rsid w:val="0009005E"/>
    <w:rsid w:val="00090E1A"/>
    <w:rsid w:val="000941C5"/>
    <w:rsid w:val="000A500D"/>
    <w:rsid w:val="000A60D8"/>
    <w:rsid w:val="000A6451"/>
    <w:rsid w:val="000B064E"/>
    <w:rsid w:val="000B69CF"/>
    <w:rsid w:val="000C790C"/>
    <w:rsid w:val="000F061D"/>
    <w:rsid w:val="000F4794"/>
    <w:rsid w:val="00124F12"/>
    <w:rsid w:val="00131392"/>
    <w:rsid w:val="001425D1"/>
    <w:rsid w:val="00144E3A"/>
    <w:rsid w:val="0015060C"/>
    <w:rsid w:val="001509C3"/>
    <w:rsid w:val="0016018A"/>
    <w:rsid w:val="00161F0E"/>
    <w:rsid w:val="00170E2A"/>
    <w:rsid w:val="00176BF6"/>
    <w:rsid w:val="00177394"/>
    <w:rsid w:val="00182C18"/>
    <w:rsid w:val="00183CC2"/>
    <w:rsid w:val="001858B8"/>
    <w:rsid w:val="001900E4"/>
    <w:rsid w:val="00190F88"/>
    <w:rsid w:val="001A4066"/>
    <w:rsid w:val="001A6AE4"/>
    <w:rsid w:val="001B01FD"/>
    <w:rsid w:val="001B4A71"/>
    <w:rsid w:val="001B53B6"/>
    <w:rsid w:val="001D1F9E"/>
    <w:rsid w:val="001D5579"/>
    <w:rsid w:val="001D5B54"/>
    <w:rsid w:val="001D6579"/>
    <w:rsid w:val="001D665E"/>
    <w:rsid w:val="001E1DBF"/>
    <w:rsid w:val="001E4639"/>
    <w:rsid w:val="001E4A7D"/>
    <w:rsid w:val="001E624F"/>
    <w:rsid w:val="001F4209"/>
    <w:rsid w:val="001F43A8"/>
    <w:rsid w:val="001F5CD6"/>
    <w:rsid w:val="00200235"/>
    <w:rsid w:val="002110DE"/>
    <w:rsid w:val="0021263D"/>
    <w:rsid w:val="00213F0C"/>
    <w:rsid w:val="00214094"/>
    <w:rsid w:val="0021592D"/>
    <w:rsid w:val="00222D76"/>
    <w:rsid w:val="00223EB1"/>
    <w:rsid w:val="00231344"/>
    <w:rsid w:val="0023436E"/>
    <w:rsid w:val="002347C0"/>
    <w:rsid w:val="00241A6C"/>
    <w:rsid w:val="00242D2B"/>
    <w:rsid w:val="00262E2B"/>
    <w:rsid w:val="00270429"/>
    <w:rsid w:val="002723E9"/>
    <w:rsid w:val="00277929"/>
    <w:rsid w:val="00283B82"/>
    <w:rsid w:val="002846E9"/>
    <w:rsid w:val="00284C34"/>
    <w:rsid w:val="0029066C"/>
    <w:rsid w:val="002A4913"/>
    <w:rsid w:val="002B46E2"/>
    <w:rsid w:val="002B50DB"/>
    <w:rsid w:val="002C12AB"/>
    <w:rsid w:val="002C7CAC"/>
    <w:rsid w:val="002D3306"/>
    <w:rsid w:val="002D418C"/>
    <w:rsid w:val="002D48AA"/>
    <w:rsid w:val="002D7BAA"/>
    <w:rsid w:val="002D7F54"/>
    <w:rsid w:val="002E3D78"/>
    <w:rsid w:val="002E3FF4"/>
    <w:rsid w:val="002F78C8"/>
    <w:rsid w:val="00301CF3"/>
    <w:rsid w:val="0032715C"/>
    <w:rsid w:val="00337CA5"/>
    <w:rsid w:val="00362478"/>
    <w:rsid w:val="00367244"/>
    <w:rsid w:val="00375B25"/>
    <w:rsid w:val="0038132C"/>
    <w:rsid w:val="00392394"/>
    <w:rsid w:val="00396542"/>
    <w:rsid w:val="0039685B"/>
    <w:rsid w:val="003A31A6"/>
    <w:rsid w:val="003A7F0C"/>
    <w:rsid w:val="003A7F79"/>
    <w:rsid w:val="003B6404"/>
    <w:rsid w:val="003C449B"/>
    <w:rsid w:val="003D21FF"/>
    <w:rsid w:val="003E7C81"/>
    <w:rsid w:val="003F0112"/>
    <w:rsid w:val="003F071A"/>
    <w:rsid w:val="003F160B"/>
    <w:rsid w:val="00400032"/>
    <w:rsid w:val="00400B5B"/>
    <w:rsid w:val="00401EC5"/>
    <w:rsid w:val="00405A00"/>
    <w:rsid w:val="00420870"/>
    <w:rsid w:val="00422A02"/>
    <w:rsid w:val="00432D0C"/>
    <w:rsid w:val="0043791B"/>
    <w:rsid w:val="00441483"/>
    <w:rsid w:val="00441BCB"/>
    <w:rsid w:val="0045176A"/>
    <w:rsid w:val="00456332"/>
    <w:rsid w:val="00457C8E"/>
    <w:rsid w:val="00461826"/>
    <w:rsid w:val="00466AFD"/>
    <w:rsid w:val="004800F9"/>
    <w:rsid w:val="0049134A"/>
    <w:rsid w:val="00491FB7"/>
    <w:rsid w:val="00493E6C"/>
    <w:rsid w:val="004A58CB"/>
    <w:rsid w:val="004A67F0"/>
    <w:rsid w:val="004B1795"/>
    <w:rsid w:val="004B56DD"/>
    <w:rsid w:val="004C020F"/>
    <w:rsid w:val="004C1AFD"/>
    <w:rsid w:val="004C558B"/>
    <w:rsid w:val="004E4166"/>
    <w:rsid w:val="004F1F88"/>
    <w:rsid w:val="004F3752"/>
    <w:rsid w:val="004F5B0C"/>
    <w:rsid w:val="004F5F1B"/>
    <w:rsid w:val="00502374"/>
    <w:rsid w:val="005060A1"/>
    <w:rsid w:val="00516072"/>
    <w:rsid w:val="005165B7"/>
    <w:rsid w:val="005332EC"/>
    <w:rsid w:val="00534418"/>
    <w:rsid w:val="005353AB"/>
    <w:rsid w:val="00540EAA"/>
    <w:rsid w:val="00543702"/>
    <w:rsid w:val="005560BC"/>
    <w:rsid w:val="005573BE"/>
    <w:rsid w:val="0056750F"/>
    <w:rsid w:val="00572700"/>
    <w:rsid w:val="00580468"/>
    <w:rsid w:val="00582231"/>
    <w:rsid w:val="0058603B"/>
    <w:rsid w:val="00590B4A"/>
    <w:rsid w:val="0059431B"/>
    <w:rsid w:val="005A39CC"/>
    <w:rsid w:val="005B4730"/>
    <w:rsid w:val="005D6168"/>
    <w:rsid w:val="005D7F40"/>
    <w:rsid w:val="005E05D7"/>
    <w:rsid w:val="005E28C8"/>
    <w:rsid w:val="005E41E7"/>
    <w:rsid w:val="005E450F"/>
    <w:rsid w:val="0062298A"/>
    <w:rsid w:val="00626514"/>
    <w:rsid w:val="00626589"/>
    <w:rsid w:val="00631ED7"/>
    <w:rsid w:val="006339A0"/>
    <w:rsid w:val="006413A8"/>
    <w:rsid w:val="00642E56"/>
    <w:rsid w:val="00651E00"/>
    <w:rsid w:val="00674572"/>
    <w:rsid w:val="00687763"/>
    <w:rsid w:val="00692B0D"/>
    <w:rsid w:val="00693B05"/>
    <w:rsid w:val="00693E0E"/>
    <w:rsid w:val="006A1AE3"/>
    <w:rsid w:val="006C30E1"/>
    <w:rsid w:val="006C4607"/>
    <w:rsid w:val="006D48F1"/>
    <w:rsid w:val="006E5B95"/>
    <w:rsid w:val="006F45BE"/>
    <w:rsid w:val="007004FC"/>
    <w:rsid w:val="00706670"/>
    <w:rsid w:val="00711F59"/>
    <w:rsid w:val="0072417C"/>
    <w:rsid w:val="00734450"/>
    <w:rsid w:val="00745F67"/>
    <w:rsid w:val="0075039E"/>
    <w:rsid w:val="00752D9D"/>
    <w:rsid w:val="00754784"/>
    <w:rsid w:val="00757C6E"/>
    <w:rsid w:val="00762BDA"/>
    <w:rsid w:val="007805FD"/>
    <w:rsid w:val="00784422"/>
    <w:rsid w:val="0078588B"/>
    <w:rsid w:val="00791040"/>
    <w:rsid w:val="007A258D"/>
    <w:rsid w:val="007B3B54"/>
    <w:rsid w:val="007B3FA0"/>
    <w:rsid w:val="007C0F2C"/>
    <w:rsid w:val="007C2BCC"/>
    <w:rsid w:val="007C4EF0"/>
    <w:rsid w:val="007D017F"/>
    <w:rsid w:val="007D099D"/>
    <w:rsid w:val="007E2664"/>
    <w:rsid w:val="007E3ABF"/>
    <w:rsid w:val="007E5BFA"/>
    <w:rsid w:val="007E6689"/>
    <w:rsid w:val="007E731C"/>
    <w:rsid w:val="007F0A03"/>
    <w:rsid w:val="007F6216"/>
    <w:rsid w:val="00810040"/>
    <w:rsid w:val="0082023A"/>
    <w:rsid w:val="00821A7A"/>
    <w:rsid w:val="008253F8"/>
    <w:rsid w:val="008325E4"/>
    <w:rsid w:val="00832A2B"/>
    <w:rsid w:val="0083685B"/>
    <w:rsid w:val="00845811"/>
    <w:rsid w:val="00846994"/>
    <w:rsid w:val="00850451"/>
    <w:rsid w:val="00852042"/>
    <w:rsid w:val="008534C9"/>
    <w:rsid w:val="008543CF"/>
    <w:rsid w:val="0085599D"/>
    <w:rsid w:val="00862079"/>
    <w:rsid w:val="0087510C"/>
    <w:rsid w:val="00890D5A"/>
    <w:rsid w:val="008968D2"/>
    <w:rsid w:val="0089738E"/>
    <w:rsid w:val="008A47E7"/>
    <w:rsid w:val="008B5FDB"/>
    <w:rsid w:val="008C50F4"/>
    <w:rsid w:val="008C5649"/>
    <w:rsid w:val="008E2D90"/>
    <w:rsid w:val="008E44A2"/>
    <w:rsid w:val="008E697D"/>
    <w:rsid w:val="00903263"/>
    <w:rsid w:val="00906A21"/>
    <w:rsid w:val="009079C3"/>
    <w:rsid w:val="00910462"/>
    <w:rsid w:val="00915AB1"/>
    <w:rsid w:val="00917532"/>
    <w:rsid w:val="009235BA"/>
    <w:rsid w:val="00924023"/>
    <w:rsid w:val="00924CE2"/>
    <w:rsid w:val="00925B9F"/>
    <w:rsid w:val="00931AED"/>
    <w:rsid w:val="009476A3"/>
    <w:rsid w:val="0095334F"/>
    <w:rsid w:val="00965897"/>
    <w:rsid w:val="0096765C"/>
    <w:rsid w:val="009727E4"/>
    <w:rsid w:val="00984C59"/>
    <w:rsid w:val="009934C5"/>
    <w:rsid w:val="00994C0F"/>
    <w:rsid w:val="009B22D7"/>
    <w:rsid w:val="009B72ED"/>
    <w:rsid w:val="009C6DEB"/>
    <w:rsid w:val="009D6504"/>
    <w:rsid w:val="009E12D7"/>
    <w:rsid w:val="009E661A"/>
    <w:rsid w:val="009F0B5B"/>
    <w:rsid w:val="009F5ACE"/>
    <w:rsid w:val="00A0461C"/>
    <w:rsid w:val="00A06781"/>
    <w:rsid w:val="00A074C3"/>
    <w:rsid w:val="00A135C9"/>
    <w:rsid w:val="00A1509C"/>
    <w:rsid w:val="00A20B58"/>
    <w:rsid w:val="00A249B9"/>
    <w:rsid w:val="00A34260"/>
    <w:rsid w:val="00A5353B"/>
    <w:rsid w:val="00A536C9"/>
    <w:rsid w:val="00A70CFD"/>
    <w:rsid w:val="00A72A0B"/>
    <w:rsid w:val="00A81E42"/>
    <w:rsid w:val="00A85CF4"/>
    <w:rsid w:val="00A864FE"/>
    <w:rsid w:val="00A86F41"/>
    <w:rsid w:val="00A87D04"/>
    <w:rsid w:val="00A950C5"/>
    <w:rsid w:val="00A96E5B"/>
    <w:rsid w:val="00AA1D25"/>
    <w:rsid w:val="00AB2B1A"/>
    <w:rsid w:val="00AB397F"/>
    <w:rsid w:val="00AB5832"/>
    <w:rsid w:val="00AC2618"/>
    <w:rsid w:val="00AC51F2"/>
    <w:rsid w:val="00AD3269"/>
    <w:rsid w:val="00AE3F33"/>
    <w:rsid w:val="00AE5066"/>
    <w:rsid w:val="00AE5E24"/>
    <w:rsid w:val="00AE61B7"/>
    <w:rsid w:val="00AE6CBA"/>
    <w:rsid w:val="00AE79AD"/>
    <w:rsid w:val="00AF35E4"/>
    <w:rsid w:val="00AF5CDE"/>
    <w:rsid w:val="00B11A57"/>
    <w:rsid w:val="00B211C3"/>
    <w:rsid w:val="00B25406"/>
    <w:rsid w:val="00B25597"/>
    <w:rsid w:val="00B267B9"/>
    <w:rsid w:val="00B33E09"/>
    <w:rsid w:val="00B50585"/>
    <w:rsid w:val="00B50708"/>
    <w:rsid w:val="00B50C68"/>
    <w:rsid w:val="00B51293"/>
    <w:rsid w:val="00B52443"/>
    <w:rsid w:val="00B52B1E"/>
    <w:rsid w:val="00B55481"/>
    <w:rsid w:val="00B56C32"/>
    <w:rsid w:val="00B57ACF"/>
    <w:rsid w:val="00B64BB1"/>
    <w:rsid w:val="00B66CC5"/>
    <w:rsid w:val="00B67675"/>
    <w:rsid w:val="00B73166"/>
    <w:rsid w:val="00B82369"/>
    <w:rsid w:val="00B8426C"/>
    <w:rsid w:val="00B91B8D"/>
    <w:rsid w:val="00B94E90"/>
    <w:rsid w:val="00BA3966"/>
    <w:rsid w:val="00BB0A82"/>
    <w:rsid w:val="00BB400F"/>
    <w:rsid w:val="00BB74BE"/>
    <w:rsid w:val="00BB7C94"/>
    <w:rsid w:val="00BC0A9D"/>
    <w:rsid w:val="00BD33AC"/>
    <w:rsid w:val="00BD63A6"/>
    <w:rsid w:val="00BF40ED"/>
    <w:rsid w:val="00BF5BC2"/>
    <w:rsid w:val="00BF61B4"/>
    <w:rsid w:val="00C00E72"/>
    <w:rsid w:val="00C1133D"/>
    <w:rsid w:val="00C27A08"/>
    <w:rsid w:val="00C31312"/>
    <w:rsid w:val="00C31E36"/>
    <w:rsid w:val="00C326C6"/>
    <w:rsid w:val="00C3414A"/>
    <w:rsid w:val="00C35295"/>
    <w:rsid w:val="00C355D5"/>
    <w:rsid w:val="00C36ADD"/>
    <w:rsid w:val="00C36E74"/>
    <w:rsid w:val="00C40595"/>
    <w:rsid w:val="00C41621"/>
    <w:rsid w:val="00C449FA"/>
    <w:rsid w:val="00C52834"/>
    <w:rsid w:val="00C5384F"/>
    <w:rsid w:val="00C5646E"/>
    <w:rsid w:val="00C56964"/>
    <w:rsid w:val="00C656D5"/>
    <w:rsid w:val="00C67103"/>
    <w:rsid w:val="00C71BB9"/>
    <w:rsid w:val="00C81640"/>
    <w:rsid w:val="00C912C6"/>
    <w:rsid w:val="00C91A09"/>
    <w:rsid w:val="00C94C28"/>
    <w:rsid w:val="00CB0247"/>
    <w:rsid w:val="00CB3440"/>
    <w:rsid w:val="00CB7DD7"/>
    <w:rsid w:val="00CC1692"/>
    <w:rsid w:val="00CD138B"/>
    <w:rsid w:val="00CD3E31"/>
    <w:rsid w:val="00CD74A3"/>
    <w:rsid w:val="00CE0527"/>
    <w:rsid w:val="00CE5B23"/>
    <w:rsid w:val="00CE646D"/>
    <w:rsid w:val="00CF70AD"/>
    <w:rsid w:val="00CF7729"/>
    <w:rsid w:val="00D00059"/>
    <w:rsid w:val="00D10349"/>
    <w:rsid w:val="00D107FA"/>
    <w:rsid w:val="00D12275"/>
    <w:rsid w:val="00D12766"/>
    <w:rsid w:val="00D20FF4"/>
    <w:rsid w:val="00D24D2C"/>
    <w:rsid w:val="00D35881"/>
    <w:rsid w:val="00D52FDF"/>
    <w:rsid w:val="00D9753A"/>
    <w:rsid w:val="00DA7DA5"/>
    <w:rsid w:val="00DB073B"/>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250B1"/>
    <w:rsid w:val="00E323A2"/>
    <w:rsid w:val="00E33086"/>
    <w:rsid w:val="00E37F98"/>
    <w:rsid w:val="00E46559"/>
    <w:rsid w:val="00E6670C"/>
    <w:rsid w:val="00E73E87"/>
    <w:rsid w:val="00E776E8"/>
    <w:rsid w:val="00E92C1F"/>
    <w:rsid w:val="00E95D4B"/>
    <w:rsid w:val="00EA0D3E"/>
    <w:rsid w:val="00EB199F"/>
    <w:rsid w:val="00EC23F7"/>
    <w:rsid w:val="00EC4BD8"/>
    <w:rsid w:val="00EC63EB"/>
    <w:rsid w:val="00ED412F"/>
    <w:rsid w:val="00EF36B2"/>
    <w:rsid w:val="00F1246B"/>
    <w:rsid w:val="00F201EC"/>
    <w:rsid w:val="00F20647"/>
    <w:rsid w:val="00F208A9"/>
    <w:rsid w:val="00F21EB3"/>
    <w:rsid w:val="00F33720"/>
    <w:rsid w:val="00F41D75"/>
    <w:rsid w:val="00F5139D"/>
    <w:rsid w:val="00F61029"/>
    <w:rsid w:val="00F63DAC"/>
    <w:rsid w:val="00F7454F"/>
    <w:rsid w:val="00F77988"/>
    <w:rsid w:val="00F77F48"/>
    <w:rsid w:val="00F95FE4"/>
    <w:rsid w:val="00FB30F1"/>
    <w:rsid w:val="00FB53E7"/>
    <w:rsid w:val="00FD2A8A"/>
    <w:rsid w:val="00FD37BC"/>
    <w:rsid w:val="00FE74B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flexinput2">
    <w:name w:val="flexinput2"/>
    <w:basedOn w:val="DefaultParagraphFont"/>
    <w:rsid w:val="00A5353B"/>
  </w:style>
  <w:style w:type="paragraph" w:styleId="BodyText">
    <w:name w:val="Body Text"/>
    <w:basedOn w:val="Normal"/>
    <w:link w:val="BodyTextChar"/>
    <w:rsid w:val="00A5353B"/>
    <w:pPr>
      <w:jc w:val="center"/>
    </w:pPr>
    <w:rPr>
      <w:b/>
      <w:bCs/>
      <w:sz w:val="28"/>
      <w:lang w:eastAsia="en-US"/>
    </w:rPr>
  </w:style>
  <w:style w:type="character" w:customStyle="1" w:styleId="BodyTextChar">
    <w:name w:val="Body Text Char"/>
    <w:basedOn w:val="DefaultParagraphFont"/>
    <w:link w:val="BodyText"/>
    <w:rsid w:val="00A5353B"/>
    <w:rPr>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41562232">
      <w:bodyDiv w:val="1"/>
      <w:marLeft w:val="45"/>
      <w:marRight w:val="45"/>
      <w:marTop w:val="90"/>
      <w:marBottom w:val="90"/>
      <w:divBdr>
        <w:top w:val="none" w:sz="0" w:space="0" w:color="auto"/>
        <w:left w:val="none" w:sz="0" w:space="0" w:color="auto"/>
        <w:bottom w:val="none" w:sz="0" w:space="0" w:color="auto"/>
        <w:right w:val="none" w:sz="0" w:space="0" w:color="auto"/>
      </w:divBdr>
      <w:divsChild>
        <w:div w:id="999385973">
          <w:marLeft w:val="0"/>
          <w:marRight w:val="0"/>
          <w:marTop w:val="0"/>
          <w:marBottom w:val="567"/>
          <w:divBdr>
            <w:top w:val="none" w:sz="0" w:space="0" w:color="auto"/>
            <w:left w:val="none" w:sz="0" w:space="0" w:color="auto"/>
            <w:bottom w:val="none" w:sz="0" w:space="0" w:color="auto"/>
            <w:right w:val="none" w:sz="0" w:space="0" w:color="auto"/>
          </w:divBdr>
        </w:div>
      </w:divsChild>
    </w:div>
    <w:div w:id="453642861">
      <w:bodyDiv w:val="1"/>
      <w:marLeft w:val="0"/>
      <w:marRight w:val="0"/>
      <w:marTop w:val="0"/>
      <w:marBottom w:val="0"/>
      <w:divBdr>
        <w:top w:val="none" w:sz="0" w:space="0" w:color="auto"/>
        <w:left w:val="none" w:sz="0" w:space="0" w:color="auto"/>
        <w:bottom w:val="none" w:sz="0" w:space="0" w:color="auto"/>
        <w:right w:val="none" w:sz="0" w:space="0" w:color="auto"/>
      </w:divBdr>
    </w:div>
    <w:div w:id="930774339">
      <w:bodyDiv w:val="1"/>
      <w:marLeft w:val="45"/>
      <w:marRight w:val="45"/>
      <w:marTop w:val="90"/>
      <w:marBottom w:val="90"/>
      <w:divBdr>
        <w:top w:val="none" w:sz="0" w:space="0" w:color="auto"/>
        <w:left w:val="none" w:sz="0" w:space="0" w:color="auto"/>
        <w:bottom w:val="none" w:sz="0" w:space="0" w:color="auto"/>
        <w:right w:val="none" w:sz="0" w:space="0" w:color="auto"/>
      </w:divBdr>
      <w:divsChild>
        <w:div w:id="26708043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2FE21-97C6-4751-9870-C9C579FE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1036</Words>
  <Characters>7536</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21.jūlija noteikumu Nr.576 „Noteikumi par darbības programmas „Infrastruktūra un pakalpojumi” papildinājuma 3.2.2.1.1.apakšaktivitāti „Informācijas sistēmu un elektronisko pakalpo</vt:lpstr>
    </vt:vector>
  </TitlesOfParts>
  <Company>Valsts kanceleja, Politikas koordinācijas departaments</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21.jūlija noteikumu Nr.576 „Noteikumi par darbības programmas „Infrastruktūra un pakalpojumi” papildinājuma 3.2.2.1.1.apakšaktivitāti „Informācijas sistēmu un elektronisko pakalpojumu attīstība” projektu iesniegumu atlases pirmo kārtu”” sākotnējās ietekmes novērtējuma ziņojums (anotācija)</dc:title>
  <dc:subject>anotācija</dc:subject>
  <dc:creator>Madars Laurs</dc:creator>
  <dc:description>Madars.Laurs@varam.gov.lv; tālr. 67770455</dc:description>
  <cp:lastModifiedBy>MadarsL</cp:lastModifiedBy>
  <cp:revision>12</cp:revision>
  <cp:lastPrinted>2010-01-04T11:31:00Z</cp:lastPrinted>
  <dcterms:created xsi:type="dcterms:W3CDTF">2012-09-13T05:53:00Z</dcterms:created>
  <dcterms:modified xsi:type="dcterms:W3CDTF">2012-09-19T14:37:00Z</dcterms:modified>
</cp:coreProperties>
</file>