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F" w:rsidRPr="00E5786F" w:rsidRDefault="005639FF">
      <w:pPr>
        <w:pStyle w:val="naisc"/>
        <w:spacing w:before="0" w:after="0"/>
        <w:rPr>
          <w:b/>
          <w:bCs/>
          <w:sz w:val="28"/>
          <w:szCs w:val="28"/>
        </w:rPr>
      </w:pPr>
      <w:r w:rsidRPr="00E5786F">
        <w:rPr>
          <w:b/>
          <w:bCs/>
          <w:sz w:val="28"/>
          <w:szCs w:val="28"/>
        </w:rPr>
        <w:t>Ministru kabineta rīkojuma projekta</w:t>
      </w:r>
    </w:p>
    <w:p w:rsidR="005639FF" w:rsidRPr="00E5786F" w:rsidRDefault="005639FF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E5786F">
        <w:rPr>
          <w:b/>
          <w:bCs/>
          <w:sz w:val="28"/>
          <w:szCs w:val="28"/>
        </w:rPr>
        <w:t xml:space="preserve">„Grozījumi darbības programmas „Infrastruktūra un pakalpojumi” papildinājumā” </w:t>
      </w:r>
      <w:r w:rsidRPr="00E5786F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smartTag w:uri="urn:schemas-microsoft-com:office:smarttags" w:element="PersonName">
          <w:smartTagPr>
            <w:attr w:name="text" w:val="ziņojums"/>
            <w:attr w:name="baseform" w:val="ziņojums"/>
            <w:attr w:name="id" w:val="-1"/>
          </w:smartTagPr>
          <w:r w:rsidRPr="00E5786F">
            <w:rPr>
              <w:b/>
              <w:sz w:val="28"/>
              <w:szCs w:val="28"/>
            </w:rPr>
            <w:t>ziņojums</w:t>
          </w:r>
        </w:smartTag>
      </w:smartTag>
      <w:r w:rsidRPr="00E5786F">
        <w:rPr>
          <w:b/>
          <w:sz w:val="28"/>
          <w:szCs w:val="28"/>
        </w:rPr>
        <w:t xml:space="preserve"> (anotācija)</w:t>
      </w:r>
    </w:p>
    <w:p w:rsidR="005639FF" w:rsidRPr="00E5786F" w:rsidRDefault="005639FF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5"/>
        <w:gridCol w:w="1876"/>
        <w:gridCol w:w="7000"/>
      </w:tblGrid>
      <w:tr w:rsidR="005639FF" w:rsidRPr="00E5786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5639FF" w:rsidRPr="00E5786F" w:rsidRDefault="005639FF">
            <w:pPr>
              <w:jc w:val="center"/>
              <w:rPr>
                <w:b/>
                <w:bCs/>
                <w:sz w:val="28"/>
                <w:szCs w:val="28"/>
              </w:rPr>
            </w:pPr>
            <w:r w:rsidRPr="00E5786F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1.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Pamatojums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jc w:val="both"/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Ministru kabineta rīkojuma projektu „</w:t>
            </w:r>
            <w:r w:rsidRPr="00E5786F">
              <w:rPr>
                <w:bCs/>
                <w:sz w:val="28"/>
                <w:szCs w:val="28"/>
              </w:rPr>
              <w:t xml:space="preserve">Grozījumi darbības programmas „Infrastruktūra un pakalpojumi” papildinājumā”” (turpmāk – rīkojuma projekts) </w:t>
            </w:r>
            <w:r w:rsidRPr="00E5786F">
              <w:rPr>
                <w:sz w:val="28"/>
                <w:szCs w:val="28"/>
              </w:rPr>
              <w:t>Vides aizsardzības un reģionālās attīstības ministrija izstrādājusi saskaņā ar Eiropas Savienības struktūrfondu un Kohēzijas fonda vadības likuma 13. panta 1. punktu un M</w:t>
            </w:r>
            <w:r w:rsidR="00C26E3A">
              <w:rPr>
                <w:sz w:val="28"/>
                <w:szCs w:val="28"/>
              </w:rPr>
              <w:t>inist</w:t>
            </w:r>
            <w:r w:rsidR="00F34792">
              <w:rPr>
                <w:sz w:val="28"/>
                <w:szCs w:val="28"/>
              </w:rPr>
              <w:t>ru kabineta 2007.gada 29.jūnija</w:t>
            </w:r>
            <w:r w:rsidRPr="00E5786F">
              <w:rPr>
                <w:sz w:val="28"/>
                <w:szCs w:val="28"/>
              </w:rPr>
              <w:t xml:space="preserve"> noteikumu Nr.419 „Kārtība, kādā Eiropas Savienības struktūrfondu un Kohēzijas fonda vadībā iesaistītās institūcijas nodrošina plānošanas dokumentu sagatavošanu un šo fondu ieviešanu” 9. punktu.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2.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 w:rsidP="0052518E">
            <w:pPr>
              <w:jc w:val="both"/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Šobrīd spēkā esošā </w:t>
            </w:r>
            <w:r w:rsidR="00311F1C" w:rsidRPr="00E5786F">
              <w:rPr>
                <w:sz w:val="28"/>
                <w:szCs w:val="28"/>
              </w:rPr>
              <w:t>darbības programmas „Infrastruktūra un pakalpojumi” papildinājuma (turpmāk – DPP) redakcija nosaka, ka projekta maksimālais finansējuma apjoms 3.2.2.1.1.apakšaktivitātes „Informācijas sistēmu un elektronisko pakalpojumu attīstība” (turpmāk -</w:t>
            </w:r>
            <w:proofErr w:type="gramStart"/>
            <w:r w:rsidR="00311F1C" w:rsidRPr="00E5786F">
              <w:rPr>
                <w:sz w:val="28"/>
                <w:szCs w:val="28"/>
              </w:rPr>
              <w:t xml:space="preserve">  </w:t>
            </w:r>
            <w:proofErr w:type="gramEnd"/>
            <w:r w:rsidR="00311F1C" w:rsidRPr="00E5786F">
              <w:rPr>
                <w:sz w:val="28"/>
                <w:szCs w:val="28"/>
              </w:rPr>
              <w:t>3.2.2.1.1.apakšaktivitāte) ietvaros ir 5 000 000 EUR.</w:t>
            </w:r>
            <w:r w:rsidR="00495E87" w:rsidRPr="00E5786F">
              <w:rPr>
                <w:sz w:val="28"/>
                <w:szCs w:val="28"/>
              </w:rPr>
              <w:t xml:space="preserve"> Projekta</w:t>
            </w:r>
            <w:r w:rsidR="00311F1C" w:rsidRPr="00E5786F">
              <w:rPr>
                <w:sz w:val="28"/>
                <w:szCs w:val="28"/>
              </w:rPr>
              <w:t xml:space="preserve"> </w:t>
            </w:r>
            <w:r w:rsidR="00495E87" w:rsidRPr="00E5786F">
              <w:rPr>
                <w:sz w:val="28"/>
                <w:szCs w:val="28"/>
              </w:rPr>
              <w:t xml:space="preserve">maksimālais finansējuma apjoms tika noteikts ņemot vērā to, ka projektiem, kas ir mazāki par 5 000 000 EUR, nav jāveic finanšu analīze. Taču šobrīd Ministru kabineta 2010.gada 10.augusta </w:t>
            </w:r>
            <w:r w:rsidR="00C26E3A" w:rsidRPr="00E5786F">
              <w:rPr>
                <w:sz w:val="28"/>
                <w:szCs w:val="28"/>
              </w:rPr>
              <w:t>noteikum</w:t>
            </w:r>
            <w:r w:rsidR="00C26E3A">
              <w:rPr>
                <w:sz w:val="28"/>
                <w:szCs w:val="28"/>
              </w:rPr>
              <w:t>u Nr.766</w:t>
            </w:r>
            <w:r w:rsidR="00495E87" w:rsidRPr="00E5786F">
              <w:rPr>
                <w:sz w:val="28"/>
                <w:szCs w:val="28"/>
              </w:rPr>
              <w:t xml:space="preserve"> „Noteikumi par darbības programmas "Infrastruktūra un pakalpojumi" papildinājuma 3.2.2.1.1.apakšaktivitātes "Informācijas sistēmu un elektronisko pakalpojumu attīstība" projektu iesniegumu atlases otro kārtu” (turpmāk – Ministru kabineta noteikumi Nr.766) </w:t>
            </w:r>
            <w:r w:rsidR="00572E76" w:rsidRPr="00E5786F">
              <w:rPr>
                <w:sz w:val="28"/>
                <w:szCs w:val="28"/>
              </w:rPr>
              <w:t>28.</w:t>
            </w:r>
            <w:r w:rsidR="00C26E3A" w:rsidRPr="00E5786F">
              <w:rPr>
                <w:sz w:val="28"/>
                <w:szCs w:val="28"/>
              </w:rPr>
              <w:t>punkt</w:t>
            </w:r>
            <w:r w:rsidR="00C26E3A">
              <w:rPr>
                <w:sz w:val="28"/>
                <w:szCs w:val="28"/>
              </w:rPr>
              <w:t>s paredz, ka</w:t>
            </w:r>
            <w:r w:rsidR="00C26E3A" w:rsidRPr="00E5786F">
              <w:rPr>
                <w:sz w:val="28"/>
                <w:szCs w:val="28"/>
              </w:rPr>
              <w:t xml:space="preserve"> </w:t>
            </w:r>
            <w:r w:rsidR="00572E76" w:rsidRPr="00E5786F">
              <w:rPr>
                <w:sz w:val="28"/>
                <w:szCs w:val="28"/>
              </w:rPr>
              <w:t xml:space="preserve">projekta iesnieguma veidlapai pievieno izmaksu efektivitātes analīzi vai, ja projektā ir paredzēti ieņēmumi un projekts atbilst Padomes 2006.gada 11.jūlija Regulas (EK) Nr. </w:t>
            </w:r>
            <w:hyperlink r:id="rId7" w:tgtFrame="_blank" w:tooltip="Atvērt regulas konsolidēto versiju" w:history="1">
              <w:r w:rsidR="00572E76" w:rsidRPr="00E5786F">
                <w:rPr>
                  <w:sz w:val="28"/>
                  <w:szCs w:val="28"/>
                </w:rPr>
                <w:t>1083/2006</w:t>
              </w:r>
            </w:hyperlink>
            <w:r w:rsidR="00572E76" w:rsidRPr="00E5786F">
              <w:rPr>
                <w:sz w:val="28"/>
                <w:szCs w:val="28"/>
              </w:rPr>
              <w:t xml:space="preserve">, ar ko paredz vispārīgus noteikumus par Eiropas Reģionālās attīstības fondu, Eiropas Sociālo fondu un Kohēzijas fondu un atceļ Regulu (EK) Nr. </w:t>
            </w:r>
            <w:hyperlink r:id="rId8" w:tgtFrame="_blank" w:tooltip="Atvērt regulu latviešu valodā" w:history="1">
              <w:r w:rsidR="00572E76" w:rsidRPr="00E5786F">
                <w:rPr>
                  <w:sz w:val="28"/>
                  <w:szCs w:val="28"/>
                </w:rPr>
                <w:t>1260/1999</w:t>
              </w:r>
            </w:hyperlink>
            <w:r w:rsidR="00572E76" w:rsidRPr="00E5786F">
              <w:rPr>
                <w:sz w:val="28"/>
                <w:szCs w:val="28"/>
              </w:rPr>
              <w:t>, 55.pantā noteiktajām prasībām, – finanšu analīzi, kas sagatavota atbilstoši atbildīgās iestādes izstrādātajiem metodiskajiem norādījumiem.</w:t>
            </w:r>
            <w:r w:rsidR="00495E87" w:rsidRPr="00E5786F">
              <w:rPr>
                <w:sz w:val="28"/>
                <w:szCs w:val="28"/>
              </w:rPr>
              <w:t xml:space="preserve"> </w:t>
            </w:r>
            <w:r w:rsidR="00311F1C" w:rsidRPr="00E5786F">
              <w:rPr>
                <w:sz w:val="28"/>
                <w:szCs w:val="28"/>
              </w:rPr>
              <w:t>Ņemot</w:t>
            </w:r>
            <w:r w:rsidR="00572E76" w:rsidRPr="00E5786F">
              <w:rPr>
                <w:sz w:val="28"/>
                <w:szCs w:val="28"/>
              </w:rPr>
              <w:t xml:space="preserve"> </w:t>
            </w:r>
            <w:r w:rsidR="0052518E" w:rsidRPr="00E5786F">
              <w:rPr>
                <w:sz w:val="28"/>
                <w:szCs w:val="28"/>
              </w:rPr>
              <w:t>vērā iepriekš</w:t>
            </w:r>
            <w:r w:rsidR="00C26E3A">
              <w:rPr>
                <w:sz w:val="28"/>
                <w:szCs w:val="28"/>
              </w:rPr>
              <w:t xml:space="preserve"> </w:t>
            </w:r>
            <w:r w:rsidR="0052518E" w:rsidRPr="00E5786F">
              <w:rPr>
                <w:sz w:val="28"/>
                <w:szCs w:val="28"/>
              </w:rPr>
              <w:t>minēto</w:t>
            </w:r>
            <w:r w:rsidR="00311F1C" w:rsidRPr="00E5786F">
              <w:rPr>
                <w:sz w:val="28"/>
                <w:szCs w:val="28"/>
              </w:rPr>
              <w:t>,</w:t>
            </w:r>
            <w:r w:rsidR="0052518E" w:rsidRPr="00E5786F">
              <w:rPr>
                <w:sz w:val="28"/>
                <w:szCs w:val="28"/>
              </w:rPr>
              <w:t xml:space="preserve"> nav nepieciešams noteikt</w:t>
            </w:r>
            <w:r w:rsidR="00572E76" w:rsidRPr="00E5786F">
              <w:rPr>
                <w:sz w:val="28"/>
                <w:szCs w:val="28"/>
              </w:rPr>
              <w:t xml:space="preserve"> projekta maksimālā finansējuma apjom</w:t>
            </w:r>
            <w:r w:rsidR="0052518E" w:rsidRPr="00E5786F">
              <w:rPr>
                <w:sz w:val="28"/>
                <w:szCs w:val="28"/>
              </w:rPr>
              <w:t>a ierobežojumu</w:t>
            </w:r>
            <w:r w:rsidR="00572E76" w:rsidRPr="00E5786F">
              <w:rPr>
                <w:sz w:val="28"/>
                <w:szCs w:val="28"/>
              </w:rPr>
              <w:t>.</w:t>
            </w:r>
            <w:r w:rsidR="00311F1C" w:rsidRPr="00E5786F">
              <w:rPr>
                <w:sz w:val="28"/>
                <w:szCs w:val="28"/>
              </w:rPr>
              <w:t xml:space="preserve"> </w:t>
            </w:r>
            <w:r w:rsidR="00572E76" w:rsidRPr="00E5786F">
              <w:rPr>
                <w:sz w:val="28"/>
                <w:szCs w:val="28"/>
              </w:rPr>
              <w:t>Papildus jāatzīmē, ka</w:t>
            </w:r>
            <w:r w:rsidR="00311F1C" w:rsidRPr="00E5786F">
              <w:rPr>
                <w:sz w:val="28"/>
                <w:szCs w:val="28"/>
              </w:rPr>
              <w:t xml:space="preserve"> Veselības ministrija plāno apvienot trīs projektus vienā projektā „E-veselības integrētās informācijas sistēmas attīstība” ar </w:t>
            </w:r>
            <w:r w:rsidR="00311F1C" w:rsidRPr="00E5786F">
              <w:rPr>
                <w:sz w:val="28"/>
                <w:szCs w:val="28"/>
              </w:rPr>
              <w:lastRenderedPageBreak/>
              <w:t xml:space="preserve">projekta kopējām attiecināmām izmaksām 8 278 160 EUR, kas pārsniedz šobrīd pieļaujamo maksimālo finansējuma apjomu, </w:t>
            </w:r>
            <w:r w:rsidR="00572E76" w:rsidRPr="00E5786F">
              <w:rPr>
                <w:sz w:val="28"/>
                <w:szCs w:val="28"/>
              </w:rPr>
              <w:t xml:space="preserve">līdz ar to </w:t>
            </w:r>
            <w:r w:rsidR="00311F1C" w:rsidRPr="00E5786F">
              <w:rPr>
                <w:sz w:val="28"/>
                <w:szCs w:val="28"/>
              </w:rPr>
              <w:t xml:space="preserve">ir nepieciešams </w:t>
            </w:r>
            <w:r w:rsidR="00572E76" w:rsidRPr="00E5786F">
              <w:rPr>
                <w:sz w:val="28"/>
                <w:szCs w:val="28"/>
              </w:rPr>
              <w:t>svītrot DPP noteikto maksimālā finansējuma apjoma ierobežojumu</w:t>
            </w:r>
            <w:r w:rsidR="00F722D5" w:rsidRPr="00E5786F">
              <w:rPr>
                <w:sz w:val="28"/>
                <w:szCs w:val="28"/>
              </w:rPr>
              <w:t xml:space="preserve">, lai </w:t>
            </w:r>
            <w:r w:rsidR="00260E61" w:rsidRPr="00E5786F">
              <w:rPr>
                <w:sz w:val="28"/>
                <w:szCs w:val="28"/>
              </w:rPr>
              <w:t xml:space="preserve">attiecīgi </w:t>
            </w:r>
            <w:r w:rsidR="00F722D5" w:rsidRPr="00E5786F">
              <w:rPr>
                <w:sz w:val="28"/>
                <w:szCs w:val="28"/>
              </w:rPr>
              <w:t xml:space="preserve">varētu tikt veikti grozījumi </w:t>
            </w:r>
            <w:r w:rsidR="00495E87" w:rsidRPr="00E5786F">
              <w:rPr>
                <w:sz w:val="28"/>
                <w:szCs w:val="28"/>
              </w:rPr>
              <w:t>Ministru kabineta noteikumos Nr.766</w:t>
            </w:r>
            <w:r w:rsidR="00F722D5" w:rsidRPr="00E5786F">
              <w:rPr>
                <w:sz w:val="28"/>
                <w:szCs w:val="28"/>
              </w:rPr>
              <w:t>.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Nav attiecināms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4.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311F1C" w:rsidP="00572E76">
            <w:pPr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Rīkojuma projekts paredz </w:t>
            </w:r>
            <w:r w:rsidR="00572E76" w:rsidRPr="00E5786F">
              <w:rPr>
                <w:sz w:val="28"/>
                <w:szCs w:val="28"/>
              </w:rPr>
              <w:t>svītrot projekta maksimālā</w:t>
            </w:r>
            <w:r w:rsidRPr="00E5786F">
              <w:rPr>
                <w:sz w:val="28"/>
                <w:szCs w:val="28"/>
              </w:rPr>
              <w:t xml:space="preserve"> finansējuma apjomu</w:t>
            </w:r>
            <w:r w:rsidR="00572E76" w:rsidRPr="00E5786F">
              <w:rPr>
                <w:sz w:val="28"/>
                <w:szCs w:val="28"/>
              </w:rPr>
              <w:t xml:space="preserve"> ierobežojumu</w:t>
            </w:r>
            <w:r w:rsidRPr="00E5786F">
              <w:rPr>
                <w:sz w:val="28"/>
                <w:szCs w:val="28"/>
              </w:rPr>
              <w:t xml:space="preserve"> 3.2.2.1.1.apakšaktivitātes ietvaros.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5.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Nav attiecināms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6.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jc w:val="both"/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Nav attiecināms</w:t>
            </w:r>
          </w:p>
        </w:tc>
      </w:tr>
      <w:tr w:rsidR="005639FF" w:rsidRPr="00E5786F">
        <w:trPr>
          <w:tblCellSpacing w:w="15" w:type="dxa"/>
        </w:trPr>
        <w:tc>
          <w:tcPr>
            <w:tcW w:w="1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7.</w:t>
            </w: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5639FF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Cita informācija</w:t>
            </w:r>
          </w:p>
        </w:tc>
        <w:tc>
          <w:tcPr>
            <w:tcW w:w="3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39FF" w:rsidRPr="00E5786F" w:rsidRDefault="00311F1C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Nav attiecināms</w:t>
            </w:r>
          </w:p>
        </w:tc>
      </w:tr>
    </w:tbl>
    <w:p w:rsidR="005639FF" w:rsidRPr="00E5786F" w:rsidRDefault="005639FF">
      <w:pPr>
        <w:ind w:firstLine="720"/>
        <w:jc w:val="both"/>
        <w:rPr>
          <w:sz w:val="28"/>
          <w:szCs w:val="28"/>
        </w:rPr>
      </w:pPr>
      <w:r w:rsidRPr="00E5786F">
        <w:rPr>
          <w:sz w:val="28"/>
          <w:szCs w:val="28"/>
        </w:rPr>
        <w:t xml:space="preserve">Anotācijas II. – VII. sadaļa – nav attiecināms. </w:t>
      </w:r>
    </w:p>
    <w:p w:rsidR="005639FF" w:rsidRPr="00E5786F" w:rsidRDefault="005639FF">
      <w:pPr>
        <w:spacing w:before="0" w:beforeAutospacing="0" w:after="0" w:afterAutospacing="0"/>
        <w:rPr>
          <w:sz w:val="20"/>
          <w:szCs w:val="20"/>
        </w:rPr>
      </w:pPr>
      <w:r w:rsidRPr="00E5786F">
        <w:t> </w:t>
      </w:r>
    </w:p>
    <w:p w:rsidR="005639FF" w:rsidRPr="00E5786F" w:rsidRDefault="005639FF">
      <w:pP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639FF" w:rsidRPr="00E5786F" w:rsidRDefault="005639FF">
      <w:pPr>
        <w:pStyle w:val="BodyTextIndent"/>
        <w:tabs>
          <w:tab w:val="num" w:pos="1090"/>
        </w:tabs>
        <w:rPr>
          <w:szCs w:val="28"/>
        </w:rPr>
      </w:pPr>
      <w:r w:rsidRPr="00E5786F">
        <w:rPr>
          <w:szCs w:val="28"/>
        </w:rPr>
        <w:t xml:space="preserve">Iesniedzējs: </w:t>
      </w:r>
    </w:p>
    <w:p w:rsidR="005639FF" w:rsidRPr="00E5786F" w:rsidRDefault="005639FF">
      <w:pPr>
        <w:spacing w:before="0" w:beforeAutospacing="0" w:after="0" w:afterAutospacing="0"/>
        <w:jc w:val="both"/>
        <w:rPr>
          <w:sz w:val="28"/>
          <w:szCs w:val="28"/>
          <w:lang w:bidi="lo-LA"/>
        </w:rPr>
      </w:pPr>
      <w:r w:rsidRPr="00E5786F">
        <w:rPr>
          <w:sz w:val="28"/>
          <w:szCs w:val="28"/>
          <w:lang w:bidi="lo-LA"/>
        </w:rPr>
        <w:t>Vides aizsardzības un reģionālās attīstības ministrs</w:t>
      </w:r>
      <w:r w:rsidRPr="00E5786F">
        <w:rPr>
          <w:sz w:val="28"/>
          <w:szCs w:val="28"/>
          <w:lang w:bidi="lo-LA"/>
        </w:rPr>
        <w:tab/>
      </w:r>
      <w:r w:rsidRPr="00E5786F">
        <w:rPr>
          <w:sz w:val="28"/>
          <w:szCs w:val="28"/>
          <w:lang w:bidi="lo-LA"/>
        </w:rPr>
        <w:tab/>
      </w:r>
      <w:r w:rsidRPr="00E5786F">
        <w:rPr>
          <w:sz w:val="28"/>
          <w:szCs w:val="28"/>
          <w:lang w:bidi="lo-LA"/>
        </w:rPr>
        <w:tab/>
      </w:r>
      <w:r w:rsidRPr="00E5786F">
        <w:rPr>
          <w:sz w:val="28"/>
          <w:szCs w:val="28"/>
          <w:lang w:bidi="lo-LA"/>
        </w:rPr>
        <w:tab/>
        <w:t>R.Vējonis</w:t>
      </w:r>
    </w:p>
    <w:p w:rsidR="005639FF" w:rsidRPr="00E5786F" w:rsidRDefault="005639FF">
      <w:pPr>
        <w:spacing w:before="0" w:beforeAutospacing="0" w:after="0" w:afterAutospacing="0"/>
        <w:jc w:val="both"/>
        <w:rPr>
          <w:sz w:val="28"/>
          <w:szCs w:val="28"/>
        </w:rPr>
      </w:pPr>
    </w:p>
    <w:p w:rsidR="005639FF" w:rsidRPr="00E5786F" w:rsidRDefault="005639FF">
      <w:pPr>
        <w:spacing w:before="0" w:beforeAutospacing="0" w:after="0" w:afterAutospacing="0"/>
        <w:jc w:val="both"/>
        <w:rPr>
          <w:sz w:val="28"/>
          <w:szCs w:val="28"/>
        </w:rPr>
      </w:pPr>
    </w:p>
    <w:p w:rsidR="005639FF" w:rsidRPr="00E5786F" w:rsidRDefault="005639FF">
      <w:pPr>
        <w:spacing w:before="0" w:beforeAutospacing="0" w:after="0" w:afterAutospacing="0"/>
        <w:jc w:val="both"/>
        <w:rPr>
          <w:sz w:val="28"/>
          <w:szCs w:val="28"/>
        </w:rPr>
      </w:pPr>
      <w:r w:rsidRPr="00E5786F">
        <w:rPr>
          <w:sz w:val="28"/>
          <w:szCs w:val="28"/>
        </w:rPr>
        <w:t xml:space="preserve">Vizē: </w:t>
      </w:r>
    </w:p>
    <w:p w:rsidR="005639FF" w:rsidRPr="00E5786F" w:rsidRDefault="005639FF" w:rsidP="00B534D2">
      <w:pPr>
        <w:spacing w:before="0" w:beforeAutospacing="0" w:after="0" w:afterAutospacing="0"/>
        <w:jc w:val="both"/>
        <w:rPr>
          <w:noProof/>
          <w:sz w:val="20"/>
          <w:szCs w:val="20"/>
        </w:rPr>
      </w:pPr>
      <w:r w:rsidRPr="00E5786F">
        <w:rPr>
          <w:sz w:val="28"/>
          <w:szCs w:val="28"/>
        </w:rPr>
        <w:t>Valsts sekretārs</w:t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</w:r>
      <w:r w:rsidRPr="00E5786F">
        <w:rPr>
          <w:sz w:val="28"/>
          <w:szCs w:val="28"/>
        </w:rPr>
        <w:tab/>
        <w:t>G.Puķītis</w:t>
      </w:r>
    </w:p>
    <w:p w:rsidR="005639FF" w:rsidRPr="00E5786F" w:rsidRDefault="005639FF">
      <w:pPr>
        <w:spacing w:before="0" w:beforeAutospacing="0" w:after="0" w:afterAutospacing="0"/>
        <w:rPr>
          <w:noProof/>
          <w:sz w:val="20"/>
          <w:szCs w:val="20"/>
        </w:rPr>
      </w:pPr>
    </w:p>
    <w:p w:rsidR="005639FF" w:rsidRDefault="005639FF">
      <w:pPr>
        <w:spacing w:before="0" w:beforeAutospacing="0" w:after="0" w:afterAutospacing="0"/>
        <w:rPr>
          <w:noProof/>
          <w:sz w:val="20"/>
          <w:szCs w:val="20"/>
        </w:rPr>
      </w:pPr>
    </w:p>
    <w:p w:rsidR="00B534D2" w:rsidRPr="00E5786F" w:rsidRDefault="00B534D2">
      <w:pPr>
        <w:spacing w:before="0" w:beforeAutospacing="0" w:after="0" w:afterAutospacing="0"/>
        <w:rPr>
          <w:noProof/>
          <w:sz w:val="20"/>
          <w:szCs w:val="20"/>
        </w:rPr>
      </w:pPr>
    </w:p>
    <w:p w:rsidR="00311F1C" w:rsidRPr="00B534D2" w:rsidRDefault="0022303E" w:rsidP="00311F1C">
      <w:pPr>
        <w:pStyle w:val="BodyTextIndent"/>
        <w:tabs>
          <w:tab w:val="num" w:pos="1090"/>
        </w:tabs>
        <w:rPr>
          <w:sz w:val="20"/>
        </w:rPr>
      </w:pPr>
      <w:r>
        <w:rPr>
          <w:sz w:val="20"/>
        </w:rPr>
        <w:t>13.12.</w:t>
      </w:r>
      <w:r w:rsidR="00311F1C" w:rsidRPr="00B534D2">
        <w:rPr>
          <w:sz w:val="20"/>
        </w:rPr>
        <w:t>2011 1</w:t>
      </w:r>
      <w:r>
        <w:rPr>
          <w:sz w:val="20"/>
        </w:rPr>
        <w:t>4</w:t>
      </w:r>
      <w:r w:rsidR="00311F1C" w:rsidRPr="00B534D2">
        <w:rPr>
          <w:sz w:val="20"/>
        </w:rPr>
        <w:t>:</w:t>
      </w:r>
      <w:r>
        <w:rPr>
          <w:sz w:val="20"/>
        </w:rPr>
        <w:t>30</w:t>
      </w:r>
    </w:p>
    <w:p w:rsidR="00311F1C" w:rsidRPr="00B534D2" w:rsidRDefault="00FA025D" w:rsidP="00311F1C">
      <w:pPr>
        <w:pStyle w:val="BodyTextIndent"/>
        <w:tabs>
          <w:tab w:val="num" w:pos="1090"/>
        </w:tabs>
        <w:rPr>
          <w:sz w:val="20"/>
        </w:rPr>
      </w:pPr>
      <w:fldSimple w:instr=" NUMWORDS   \* MERGEFORMAT ">
        <w:r w:rsidR="000C7798" w:rsidRPr="000C7798">
          <w:rPr>
            <w:noProof/>
            <w:sz w:val="20"/>
          </w:rPr>
          <w:t>380</w:t>
        </w:r>
      </w:fldSimple>
    </w:p>
    <w:p w:rsidR="00B534D2" w:rsidRDefault="00311F1C" w:rsidP="00311F1C">
      <w:pPr>
        <w:pStyle w:val="BodyTextIndent"/>
        <w:tabs>
          <w:tab w:val="num" w:pos="1090"/>
        </w:tabs>
        <w:rPr>
          <w:sz w:val="20"/>
        </w:rPr>
      </w:pPr>
      <w:r w:rsidRPr="00B534D2">
        <w:rPr>
          <w:sz w:val="20"/>
        </w:rPr>
        <w:t>I.Briņķe</w:t>
      </w:r>
      <w:r w:rsidR="00B534D2">
        <w:rPr>
          <w:sz w:val="20"/>
        </w:rPr>
        <w:t xml:space="preserve"> </w:t>
      </w:r>
      <w:r w:rsidRPr="00B534D2">
        <w:rPr>
          <w:sz w:val="20"/>
        </w:rPr>
        <w:t xml:space="preserve">67770326, </w:t>
      </w:r>
    </w:p>
    <w:p w:rsidR="005639FF" w:rsidRPr="00311F1C" w:rsidRDefault="00311F1C" w:rsidP="00B534D2">
      <w:pPr>
        <w:pStyle w:val="BodyTextIndent"/>
        <w:tabs>
          <w:tab w:val="num" w:pos="1090"/>
        </w:tabs>
        <w:rPr>
          <w:lang w:val="en-GB"/>
        </w:rPr>
      </w:pPr>
      <w:r w:rsidRPr="00B534D2">
        <w:rPr>
          <w:sz w:val="20"/>
        </w:rPr>
        <w:t>Ieva.Brinke@varam.gov.lv</w:t>
      </w:r>
    </w:p>
    <w:sectPr w:rsidR="005639FF" w:rsidRPr="00311F1C" w:rsidSect="007627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9A" w:rsidRDefault="006D5D9A">
      <w:r>
        <w:separator/>
      </w:r>
    </w:p>
  </w:endnote>
  <w:endnote w:type="continuationSeparator" w:id="0">
    <w:p w:rsidR="006D5D9A" w:rsidRDefault="006D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87" w:rsidRPr="00311F1C" w:rsidRDefault="00495E87" w:rsidP="00311F1C">
    <w:pPr>
      <w:pStyle w:val="naisc"/>
      <w:spacing w:before="0" w:after="0"/>
      <w:jc w:val="both"/>
      <w:rPr>
        <w:sz w:val="20"/>
        <w:szCs w:val="20"/>
      </w:rPr>
    </w:pPr>
    <w:r>
      <w:rPr>
        <w:sz w:val="20"/>
        <w:szCs w:val="20"/>
      </w:rPr>
      <w:t>VARAMAnot_</w:t>
    </w:r>
    <w:r w:rsidR="0022303E">
      <w:rPr>
        <w:sz w:val="20"/>
        <w:szCs w:val="20"/>
      </w:rPr>
      <w:t>1312</w:t>
    </w:r>
    <w:r>
      <w:rPr>
        <w:sz w:val="20"/>
        <w:szCs w:val="20"/>
      </w:rPr>
      <w:t xml:space="preserve">11_DPP_groz; Ministru kabineta rīkojuma projekta „Grozījumi darbības programmas „Infrastruktūra un pakalpojumi” papildinājumā”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87" w:rsidRDefault="00495E87">
    <w:pPr>
      <w:pStyle w:val="naisc"/>
      <w:spacing w:before="0" w:after="0"/>
      <w:jc w:val="both"/>
      <w:rPr>
        <w:sz w:val="20"/>
        <w:szCs w:val="20"/>
      </w:rPr>
    </w:pPr>
    <w:r>
      <w:rPr>
        <w:sz w:val="20"/>
        <w:szCs w:val="20"/>
      </w:rPr>
      <w:t>VARAMAnot_</w:t>
    </w:r>
    <w:r w:rsidR="0022303E">
      <w:rPr>
        <w:sz w:val="20"/>
        <w:szCs w:val="20"/>
      </w:rPr>
      <w:t>1312</w:t>
    </w:r>
    <w:r>
      <w:rPr>
        <w:sz w:val="20"/>
        <w:szCs w:val="20"/>
      </w:rPr>
      <w:t xml:space="preserve">11_DPP_groz; Ministru kabineta rīkojuma projekta „Grozījumi darbības programmas „Infrastruktūra un pakalpojumi” papildinājumā”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9A" w:rsidRDefault="006D5D9A">
      <w:r>
        <w:separator/>
      </w:r>
    </w:p>
  </w:footnote>
  <w:footnote w:type="continuationSeparator" w:id="0">
    <w:p w:rsidR="006D5D9A" w:rsidRDefault="006D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87" w:rsidRDefault="00FA02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E8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E87" w:rsidRDefault="00495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87" w:rsidRDefault="00FA02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798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E87" w:rsidRDefault="00495E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0B6"/>
    <w:multiLevelType w:val="hybridMultilevel"/>
    <w:tmpl w:val="99527B92"/>
    <w:lvl w:ilvl="0" w:tplc="9FB8DA00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FF"/>
    <w:rsid w:val="000C7798"/>
    <w:rsid w:val="00217FB5"/>
    <w:rsid w:val="0022303E"/>
    <w:rsid w:val="00260E61"/>
    <w:rsid w:val="00311F1C"/>
    <w:rsid w:val="00312EC6"/>
    <w:rsid w:val="00495E87"/>
    <w:rsid w:val="004B6D2D"/>
    <w:rsid w:val="004F7083"/>
    <w:rsid w:val="00501ECC"/>
    <w:rsid w:val="0052518E"/>
    <w:rsid w:val="005302F0"/>
    <w:rsid w:val="005339FF"/>
    <w:rsid w:val="005639FF"/>
    <w:rsid w:val="00572E76"/>
    <w:rsid w:val="006D5D9A"/>
    <w:rsid w:val="0076272D"/>
    <w:rsid w:val="00B534D2"/>
    <w:rsid w:val="00C26E3A"/>
    <w:rsid w:val="00E5786F"/>
    <w:rsid w:val="00F34792"/>
    <w:rsid w:val="00F722D5"/>
    <w:rsid w:val="00FA025D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72D"/>
    <w:pPr>
      <w:spacing w:before="100" w:beforeAutospacing="1" w:after="100" w:afterAutospacing="1"/>
    </w:pPr>
    <w:rPr>
      <w:sz w:val="24"/>
      <w:szCs w:val="24"/>
    </w:rPr>
  </w:style>
  <w:style w:type="paragraph" w:styleId="Heading4">
    <w:name w:val="heading 4"/>
    <w:basedOn w:val="Normal"/>
    <w:qFormat/>
    <w:rsid w:val="0076272D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272D"/>
    <w:pPr>
      <w:jc w:val="both"/>
    </w:pPr>
    <w:rPr>
      <w:color w:val="000000"/>
      <w:sz w:val="20"/>
      <w:szCs w:val="20"/>
    </w:rPr>
  </w:style>
  <w:style w:type="paragraph" w:styleId="BodyTextIndent">
    <w:name w:val="Body Text Indent"/>
    <w:basedOn w:val="Normal"/>
    <w:rsid w:val="0076272D"/>
    <w:pPr>
      <w:spacing w:before="0" w:beforeAutospacing="0" w:after="0" w:afterAutospacing="0"/>
      <w:jc w:val="both"/>
    </w:pPr>
    <w:rPr>
      <w:sz w:val="28"/>
      <w:szCs w:val="20"/>
      <w:lang w:eastAsia="en-US"/>
    </w:rPr>
  </w:style>
  <w:style w:type="character" w:styleId="Hyperlink">
    <w:name w:val="Hyperlink"/>
    <w:basedOn w:val="DefaultParagraphFont"/>
    <w:rsid w:val="007627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27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27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272D"/>
  </w:style>
  <w:style w:type="paragraph" w:customStyle="1" w:styleId="naisc">
    <w:name w:val="naisc"/>
    <w:basedOn w:val="Normal"/>
    <w:rsid w:val="0076272D"/>
    <w:pPr>
      <w:spacing w:before="75" w:beforeAutospacing="0" w:after="75" w:afterAutospacing="0"/>
      <w:jc w:val="center"/>
    </w:pPr>
  </w:style>
  <w:style w:type="paragraph" w:customStyle="1" w:styleId="naisf">
    <w:name w:val="naisf"/>
    <w:basedOn w:val="Normal"/>
    <w:uiPriority w:val="99"/>
    <w:rsid w:val="0076272D"/>
    <w:pPr>
      <w:jc w:val="both"/>
    </w:pPr>
    <w:rPr>
      <w:lang w:val="en-GB" w:eastAsia="en-US"/>
    </w:rPr>
  </w:style>
  <w:style w:type="paragraph" w:customStyle="1" w:styleId="naiskr">
    <w:name w:val="naiskr"/>
    <w:basedOn w:val="Normal"/>
    <w:rsid w:val="0076272D"/>
    <w:pPr>
      <w:spacing w:before="75" w:beforeAutospacing="0" w:after="75" w:afterAutospacing="0"/>
    </w:pPr>
  </w:style>
  <w:style w:type="paragraph" w:styleId="BodyText">
    <w:name w:val="Body Text"/>
    <w:basedOn w:val="Normal"/>
    <w:rsid w:val="0076272D"/>
    <w:pPr>
      <w:spacing w:before="0" w:beforeAutospacing="0" w:after="120" w:afterAutospacing="0"/>
    </w:pPr>
  </w:style>
  <w:style w:type="paragraph" w:styleId="BalloonText">
    <w:name w:val="Balloon Text"/>
    <w:basedOn w:val="Normal"/>
    <w:semiHidden/>
    <w:rsid w:val="0076272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6272D"/>
    <w:pPr>
      <w:spacing w:before="0" w:beforeAutospacing="0" w:after="0" w:afterAutospacing="0"/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11F1C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C26E3A"/>
    <w:rPr>
      <w:sz w:val="16"/>
      <w:szCs w:val="16"/>
    </w:rPr>
  </w:style>
  <w:style w:type="paragraph" w:styleId="CommentText">
    <w:name w:val="annotation text"/>
    <w:basedOn w:val="Normal"/>
    <w:semiHidden/>
    <w:rsid w:val="00C26E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6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9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9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72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4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1999:161:0001:001:LV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ONSLEG:2006R1083:20070101:LV: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3248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„Grozījumi darbības programmas „Infrastruktūra un pakalpojumi” papildinājumā” sākotnējās ietekmes novērtējuma ziņojums (anotācija)</vt:lpstr>
    </vt:vector>
  </TitlesOfParts>
  <Company>VARAM</Company>
  <LinksUpToDate>false</LinksUpToDate>
  <CharactersWithSpaces>3587</CharactersWithSpaces>
  <SharedDoc>false</SharedDoc>
  <HLinks>
    <vt:vector size="12" baseType="variant"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http://eur-lex.europa.eu/LexUriServ/LexUriServ.do?uri=OJ:L:1999:161:0001:001:LV:HTML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http://eur-lex.europa.eu/LexUriServ/LexUriServ.do?uri=CONSLEG:2006R1083:20070101:LV:HTML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darbības programmas „Infrastruktūra un pakalpojumi” papildinājumā” sākotnējās ietekmes novērtējuma ziņojums (anotācija)</dc:title>
  <dc:subject>sākotnējās ietekmes novērtējuma ziņojums (anotācija)</dc:subject>
  <dc:creator>Ieva Brinke</dc:creator>
  <cp:lastModifiedBy>DanaTihomirova</cp:lastModifiedBy>
  <cp:revision>5</cp:revision>
  <cp:lastPrinted>2010-12-15T12:31:00Z</cp:lastPrinted>
  <dcterms:created xsi:type="dcterms:W3CDTF">2011-10-28T13:12:00Z</dcterms:created>
  <dcterms:modified xsi:type="dcterms:W3CDTF">2011-12-13T13:18:00Z</dcterms:modified>
</cp:coreProperties>
</file>