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9E1" w:rsidRPr="004067CA" w:rsidRDefault="00B30CCA" w:rsidP="002129E1">
      <w:pPr>
        <w:spacing w:after="0" w:line="240" w:lineRule="auto"/>
        <w:jc w:val="center"/>
        <w:rPr>
          <w:b/>
          <w:bCs/>
          <w:sz w:val="28"/>
          <w:szCs w:val="28"/>
        </w:rPr>
      </w:pPr>
      <w:r w:rsidRPr="004067CA">
        <w:rPr>
          <w:rFonts w:eastAsia="Times New Roman"/>
          <w:b/>
          <w:bCs/>
          <w:sz w:val="28"/>
          <w:szCs w:val="28"/>
          <w:lang w:eastAsia="lv-LV"/>
        </w:rPr>
        <w:t xml:space="preserve">Tiesību akta projekta sākotnējās ietekmes novērtējuma ziņojums </w:t>
      </w:r>
      <w:bookmarkStart w:id="0" w:name="OLE_LINK5"/>
      <w:bookmarkStart w:id="1" w:name="OLE_LINK6"/>
      <w:r w:rsidRPr="004067CA">
        <w:rPr>
          <w:rFonts w:eastAsia="Times New Roman"/>
          <w:b/>
          <w:bCs/>
          <w:sz w:val="28"/>
          <w:szCs w:val="28"/>
          <w:lang w:eastAsia="lv-LV"/>
        </w:rPr>
        <w:t>(anotācija)</w:t>
      </w:r>
      <w:r w:rsidR="004163D3" w:rsidRPr="004067CA">
        <w:rPr>
          <w:rFonts w:eastAsia="Times New Roman"/>
          <w:b/>
          <w:bCs/>
          <w:sz w:val="28"/>
          <w:szCs w:val="28"/>
          <w:lang w:eastAsia="lv-LV"/>
        </w:rPr>
        <w:t xml:space="preserve"> noteikumu projektam </w:t>
      </w:r>
      <w:r w:rsidR="002129E1" w:rsidRPr="004067CA">
        <w:rPr>
          <w:b/>
          <w:sz w:val="28"/>
          <w:szCs w:val="28"/>
        </w:rPr>
        <w:t>„</w:t>
      </w:r>
      <w:r w:rsidR="002129E1" w:rsidRPr="004067CA">
        <w:rPr>
          <w:b/>
          <w:bCs/>
          <w:sz w:val="28"/>
          <w:szCs w:val="28"/>
        </w:rPr>
        <w:t>Kārtība, kādā novēršama, ierobežojama un kontrolējama gaisu piesārņojošo vielu emisija no sadedzināšanas iekārtām”</w:t>
      </w:r>
    </w:p>
    <w:bookmarkEnd w:id="0"/>
    <w:bookmarkEnd w:id="1"/>
    <w:p w:rsidR="00B30CCA" w:rsidRPr="004067CA" w:rsidRDefault="00B30CCA" w:rsidP="002129E1">
      <w:pPr>
        <w:spacing w:after="0" w:line="240" w:lineRule="auto"/>
        <w:jc w:val="center"/>
        <w:rPr>
          <w:rFonts w:eastAsia="Times New Roman"/>
          <w:sz w:val="28"/>
          <w:szCs w:val="28"/>
          <w:lang w:eastAsia="lv-LV"/>
        </w:rPr>
      </w:pPr>
      <w:r w:rsidRPr="004067CA">
        <w:rPr>
          <w:rFonts w:eastAsia="Times New Roman"/>
          <w:sz w:val="28"/>
          <w:szCs w:val="28"/>
          <w:lang w:eastAsia="lv-LV"/>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7"/>
        <w:gridCol w:w="2323"/>
        <w:gridCol w:w="6251"/>
      </w:tblGrid>
      <w:tr w:rsidR="00B30CCA" w:rsidRPr="00A92A45" w:rsidTr="00D067C2">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30CCA" w:rsidRPr="00A92A45" w:rsidRDefault="00B30CCA" w:rsidP="00B30CCA">
            <w:pPr>
              <w:spacing w:before="75" w:after="75" w:line="240" w:lineRule="auto"/>
              <w:jc w:val="center"/>
              <w:rPr>
                <w:rFonts w:eastAsia="Times New Roman"/>
                <w:lang w:eastAsia="lv-LV"/>
              </w:rPr>
            </w:pPr>
            <w:r w:rsidRPr="00A92A45">
              <w:rPr>
                <w:rFonts w:eastAsia="Times New Roman"/>
                <w:b/>
                <w:bCs/>
                <w:lang w:eastAsia="lv-LV"/>
              </w:rPr>
              <w:t> I. Tiesību akta projekta izstrādes nepieciešamība</w:t>
            </w:r>
          </w:p>
        </w:tc>
      </w:tr>
      <w:tr w:rsidR="00B30CCA" w:rsidRPr="00A92A45" w:rsidTr="0025565F">
        <w:trPr>
          <w:trHeight w:val="1558"/>
          <w:tblCellSpacing w:w="0" w:type="dxa"/>
        </w:trPr>
        <w:tc>
          <w:tcPr>
            <w:tcW w:w="290" w:type="pct"/>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1.</w:t>
            </w:r>
          </w:p>
        </w:tc>
        <w:tc>
          <w:tcPr>
            <w:tcW w:w="1276" w:type="pct"/>
            <w:tcBorders>
              <w:top w:val="outset" w:sz="6" w:space="0" w:color="auto"/>
              <w:left w:val="outset" w:sz="6" w:space="0" w:color="auto"/>
              <w:bottom w:val="outset" w:sz="6" w:space="0" w:color="auto"/>
              <w:right w:val="outset" w:sz="6" w:space="0" w:color="auto"/>
            </w:tcBorders>
            <w:hideMark/>
          </w:tcPr>
          <w:p w:rsidR="00B30CCA" w:rsidRPr="00A92A45" w:rsidRDefault="00B30CCA" w:rsidP="005B2612">
            <w:pPr>
              <w:spacing w:before="75" w:after="75" w:line="240" w:lineRule="auto"/>
              <w:rPr>
                <w:rFonts w:eastAsia="Times New Roman"/>
                <w:lang w:eastAsia="lv-LV"/>
              </w:rPr>
            </w:pPr>
            <w:r w:rsidRPr="00A92A45">
              <w:rPr>
                <w:rFonts w:eastAsia="Times New Roman"/>
                <w:lang w:eastAsia="lv-LV"/>
              </w:rPr>
              <w:t> Pamatojums</w:t>
            </w:r>
          </w:p>
        </w:tc>
        <w:tc>
          <w:tcPr>
            <w:tcW w:w="3434" w:type="pct"/>
            <w:tcBorders>
              <w:top w:val="outset" w:sz="6" w:space="0" w:color="auto"/>
              <w:left w:val="outset" w:sz="6" w:space="0" w:color="auto"/>
              <w:bottom w:val="outset" w:sz="6" w:space="0" w:color="auto"/>
              <w:right w:val="outset" w:sz="6" w:space="0" w:color="auto"/>
            </w:tcBorders>
            <w:hideMark/>
          </w:tcPr>
          <w:p w:rsidR="008E0A22" w:rsidRDefault="00D85CB5" w:rsidP="008E0A22">
            <w:pPr>
              <w:spacing w:after="0" w:line="240" w:lineRule="auto"/>
              <w:ind w:firstLine="397"/>
              <w:jc w:val="both"/>
              <w:rPr>
                <w:rFonts w:eastAsia="Times New Roman"/>
                <w:lang w:eastAsia="lv-LV"/>
              </w:rPr>
            </w:pPr>
            <w:r w:rsidRPr="00A92A45">
              <w:rPr>
                <w:rFonts w:eastAsia="Times New Roman"/>
                <w:lang w:eastAsia="lv-LV"/>
              </w:rPr>
              <w:t>Noteikumu projekts izstrādāts, lai</w:t>
            </w:r>
            <w:r w:rsidR="004E1730">
              <w:rPr>
                <w:rFonts w:eastAsia="Times New Roman"/>
                <w:lang w:eastAsia="lv-LV"/>
              </w:rPr>
              <w:t>:</w:t>
            </w:r>
            <w:r w:rsidRPr="00A92A45">
              <w:rPr>
                <w:rFonts w:eastAsia="Times New Roman"/>
                <w:lang w:eastAsia="lv-LV"/>
              </w:rPr>
              <w:t xml:space="preserve"> pārņemtu</w:t>
            </w:r>
            <w:r w:rsidR="008E0A22">
              <w:rPr>
                <w:rFonts w:eastAsia="Times New Roman"/>
                <w:lang w:eastAsia="lv-LV"/>
              </w:rPr>
              <w:t>:</w:t>
            </w:r>
          </w:p>
          <w:p w:rsidR="008E0A22" w:rsidRDefault="008E0A22" w:rsidP="008E0A22">
            <w:pPr>
              <w:spacing w:after="0" w:line="240" w:lineRule="auto"/>
              <w:ind w:firstLine="411"/>
              <w:jc w:val="both"/>
            </w:pPr>
            <w:bookmarkStart w:id="2" w:name="OLE_LINK3"/>
            <w:bookmarkStart w:id="3" w:name="OLE_LINK4"/>
            <w:r>
              <w:t xml:space="preserve">1) </w:t>
            </w:r>
            <w:r w:rsidR="00D85CB5" w:rsidRPr="00A92A45">
              <w:t>Eiropas Parlamenta un Padomes 2010.gada 24.novembra Direktīvas 2010/75/ES par rūpnieciskajām emisijām (piesārņojuma integrēta novēršana un kontrole)</w:t>
            </w:r>
            <w:r w:rsidR="00243D15" w:rsidRPr="00A92A45">
              <w:t xml:space="preserve"> </w:t>
            </w:r>
            <w:r w:rsidR="00CD0B93" w:rsidRPr="00A92A45">
              <w:t>III</w:t>
            </w:r>
            <w:r w:rsidR="00243D15" w:rsidRPr="00A92A45">
              <w:t xml:space="preserve"> nodaļas – īpaši noteikumi </w:t>
            </w:r>
            <w:bookmarkEnd w:id="2"/>
            <w:bookmarkEnd w:id="3"/>
            <w:r w:rsidR="00CD0B93" w:rsidRPr="00A92A45">
              <w:t>par sadedzināšanas iekārtām</w:t>
            </w:r>
            <w:r w:rsidR="0010790E">
              <w:t>,</w:t>
            </w:r>
            <w:r w:rsidR="00923DA4" w:rsidRPr="00A92A45">
              <w:t xml:space="preserve"> </w:t>
            </w:r>
            <w:r w:rsidR="00923DA4" w:rsidRPr="008E0A22">
              <w:t>prasības</w:t>
            </w:r>
            <w:r>
              <w:t>;</w:t>
            </w:r>
          </w:p>
          <w:p w:rsidR="008E0A22" w:rsidRPr="00A92A45" w:rsidRDefault="008E0A22" w:rsidP="008E0A22">
            <w:pPr>
              <w:spacing w:after="0" w:line="240" w:lineRule="auto"/>
              <w:ind w:firstLine="411"/>
              <w:jc w:val="both"/>
            </w:pPr>
            <w:r>
              <w:rPr>
                <w:rStyle w:val="Strong"/>
                <w:b w:val="0"/>
              </w:rPr>
              <w:t>2)</w:t>
            </w:r>
            <w:r w:rsidRPr="008E0A22">
              <w:rPr>
                <w:rStyle w:val="Strong"/>
                <w:b w:val="0"/>
              </w:rPr>
              <w:t xml:space="preserve"> Eiropas Komisijas 2012. gada 7. maija īstenošanas lēmumu Nr.2012/249/ES par palaišanas un apturēšanas periodu noteikšanu Eiropas Parlamenta un Padomes Direktīvas 2010/75/ES par rūpnieciskajām emisijām nolūkos.</w:t>
            </w:r>
            <w:r w:rsidRPr="008E0A22">
              <w:rPr>
                <w:rStyle w:val="Strong"/>
                <w:rFonts w:ascii="Tahoma" w:hAnsi="Tahoma" w:cs="Tahoma"/>
              </w:rPr>
              <w:t xml:space="preserve"> </w:t>
            </w:r>
          </w:p>
        </w:tc>
      </w:tr>
      <w:tr w:rsidR="00B30CCA" w:rsidRPr="00A92A45" w:rsidTr="0025565F">
        <w:trPr>
          <w:trHeight w:val="472"/>
          <w:tblCellSpacing w:w="0" w:type="dxa"/>
        </w:trPr>
        <w:tc>
          <w:tcPr>
            <w:tcW w:w="290" w:type="pct"/>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2.</w:t>
            </w:r>
          </w:p>
        </w:tc>
        <w:tc>
          <w:tcPr>
            <w:tcW w:w="1276" w:type="pct"/>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Pašreizējā situācija un problēmas</w:t>
            </w:r>
          </w:p>
        </w:tc>
        <w:tc>
          <w:tcPr>
            <w:tcW w:w="3434" w:type="pct"/>
            <w:tcBorders>
              <w:top w:val="outset" w:sz="6" w:space="0" w:color="auto"/>
              <w:left w:val="outset" w:sz="6" w:space="0" w:color="auto"/>
              <w:bottom w:val="outset" w:sz="6" w:space="0" w:color="auto"/>
              <w:right w:val="outset" w:sz="6" w:space="0" w:color="auto"/>
            </w:tcBorders>
            <w:hideMark/>
          </w:tcPr>
          <w:p w:rsidR="00630C5F" w:rsidRPr="00A92A45" w:rsidRDefault="00F33994" w:rsidP="005936C1">
            <w:pPr>
              <w:spacing w:after="0" w:line="240" w:lineRule="auto"/>
              <w:ind w:firstLine="411"/>
              <w:jc w:val="both"/>
              <w:rPr>
                <w:b/>
              </w:rPr>
            </w:pPr>
            <w:r w:rsidRPr="00A92A45">
              <w:rPr>
                <w:rFonts w:eastAsia="Times New Roman"/>
                <w:lang w:eastAsia="lv-LV"/>
              </w:rPr>
              <w:t xml:space="preserve">2010.gadā stājās spēkā </w:t>
            </w:r>
            <w:r w:rsidR="00630C5F" w:rsidRPr="00A92A45">
              <w:rPr>
                <w:rFonts w:eastAsia="Times New Roman"/>
                <w:lang w:eastAsia="lv-LV"/>
              </w:rPr>
              <w:t>Direktīva 2010/75/ES</w:t>
            </w:r>
            <w:r w:rsidRPr="00A92A45">
              <w:rPr>
                <w:rFonts w:eastAsia="Times New Roman"/>
                <w:lang w:eastAsia="lv-LV"/>
              </w:rPr>
              <w:t>, kurā</w:t>
            </w:r>
            <w:r w:rsidR="00630C5F" w:rsidRPr="00A92A45">
              <w:rPr>
                <w:rFonts w:eastAsia="Times New Roman"/>
                <w:lang w:eastAsia="lv-LV"/>
              </w:rPr>
              <w:t xml:space="preserve"> apvieno</w:t>
            </w:r>
            <w:r w:rsidRPr="00A92A45">
              <w:rPr>
                <w:rFonts w:eastAsia="Times New Roman"/>
                <w:lang w:eastAsia="lv-LV"/>
              </w:rPr>
              <w:t>tas</w:t>
            </w:r>
            <w:r w:rsidR="00630C5F" w:rsidRPr="00A92A45">
              <w:rPr>
                <w:rFonts w:eastAsia="Times New Roman"/>
                <w:lang w:eastAsia="lv-LV"/>
              </w:rPr>
              <w:t xml:space="preserve"> vairākas šobrīd spēkā esošās direktīvas</w:t>
            </w:r>
            <w:r w:rsidR="007C7107" w:rsidRPr="00A92A45">
              <w:rPr>
                <w:rFonts w:eastAsia="Times New Roman"/>
                <w:lang w:eastAsia="lv-LV"/>
              </w:rPr>
              <w:t>, kas saistītas ar rūpniecisko darbību radītā piesārņojuma samazināšanu un ierobežošanu,</w:t>
            </w:r>
            <w:r w:rsidR="00630C5F" w:rsidRPr="00A92A45">
              <w:rPr>
                <w:rFonts w:eastAsia="Times New Roman"/>
                <w:lang w:eastAsia="lv-LV"/>
              </w:rPr>
              <w:t xml:space="preserve"> tai skaitā </w:t>
            </w:r>
            <w:r w:rsidR="008F3D21" w:rsidRPr="00A92A45">
              <w:t>2001.gada 23.oktobr</w:t>
            </w:r>
            <w:r w:rsidR="00753525" w:rsidRPr="00A92A45">
              <w:t>a</w:t>
            </w:r>
            <w:r w:rsidR="00630C5F" w:rsidRPr="00A92A45">
              <w:t xml:space="preserve"> </w:t>
            </w:r>
            <w:r w:rsidR="008F3D21" w:rsidRPr="00A92A45">
              <w:t>Eiropas Parlamenta un Padomes Direktīv</w:t>
            </w:r>
            <w:r w:rsidR="00400C72" w:rsidRPr="00A92A45">
              <w:t>a</w:t>
            </w:r>
            <w:r w:rsidR="008F3D21" w:rsidRPr="00A92A45">
              <w:t xml:space="preserve"> 2001/80/EK</w:t>
            </w:r>
            <w:r w:rsidR="00630C5F" w:rsidRPr="00A92A45">
              <w:t xml:space="preserve"> </w:t>
            </w:r>
            <w:r w:rsidR="00753525" w:rsidRPr="00A92A45">
              <w:t>par ierobežojumiem attiecībā uz dažu piesārņojošo vielu emisiju gaisā no liel</w:t>
            </w:r>
            <w:r w:rsidR="00005E3F" w:rsidRPr="00A92A45">
              <w:t>ajā</w:t>
            </w:r>
            <w:r w:rsidR="00753525" w:rsidRPr="00A92A45">
              <w:t>m sadedzināšanas iekārtām (turpmāk – Direktīva 2001/80/EK)</w:t>
            </w:r>
            <w:r w:rsidR="005936C1" w:rsidRPr="00A92A45">
              <w:t xml:space="preserve">, kurā iekļautas prasības, lai samazinātu </w:t>
            </w:r>
            <w:r w:rsidR="004524D8" w:rsidRPr="00A92A45">
              <w:t xml:space="preserve">sadedzināšanas iekārtu </w:t>
            </w:r>
            <w:r w:rsidR="005936C1" w:rsidRPr="00A92A45">
              <w:t>radīto gaisa piesārņojumu</w:t>
            </w:r>
            <w:r w:rsidR="00630C5F" w:rsidRPr="00A92A45">
              <w:t>.</w:t>
            </w:r>
            <w:r w:rsidR="00F43B82" w:rsidRPr="00A92A45">
              <w:t xml:space="preserve"> </w:t>
            </w:r>
          </w:p>
          <w:p w:rsidR="00BE3120" w:rsidRPr="00A92A45" w:rsidRDefault="00BE3120" w:rsidP="00BE3120">
            <w:pPr>
              <w:spacing w:before="75" w:after="75" w:line="240" w:lineRule="auto"/>
              <w:ind w:firstLine="397"/>
              <w:jc w:val="both"/>
              <w:rPr>
                <w:rFonts w:eastAsia="Times New Roman"/>
                <w:lang w:eastAsia="lv-LV"/>
              </w:rPr>
            </w:pPr>
            <w:r w:rsidRPr="00A92A45">
              <w:rPr>
                <w:rFonts w:eastAsia="Times New Roman"/>
                <w:lang w:eastAsia="lv-LV"/>
              </w:rPr>
              <w:t xml:space="preserve">Direktīvas 2001/80/EK prasības, kas jāievēro sadedzināšanas iekārtām šobrīd ir pārņemtas MK 2002.gada 20.augusta noteikumu Nr.379 „Kārtība, kādā novēršama, ierobežojama un kontrolējama gaisu piesārņojošo vielu emisija no stacionāriem piesārņojuma avotiem” (turpmāk – MK noteikumi Nr.379) II, IV, V, VII, VIII nodaļā, kā arī šo noteikumu 1., 2., 3. un 4.pielikumā. </w:t>
            </w:r>
          </w:p>
          <w:p w:rsidR="005936C1" w:rsidRPr="00A92A45" w:rsidRDefault="00F37CFA" w:rsidP="006F2872">
            <w:pPr>
              <w:spacing w:before="75" w:after="75" w:line="240" w:lineRule="auto"/>
              <w:ind w:firstLine="397"/>
              <w:jc w:val="both"/>
              <w:rPr>
                <w:rFonts w:eastAsia="Times New Roman"/>
                <w:lang w:eastAsia="lv-LV"/>
              </w:rPr>
            </w:pPr>
            <w:r w:rsidRPr="00A92A45">
              <w:rPr>
                <w:rFonts w:eastAsia="Times New Roman"/>
                <w:lang w:eastAsia="lv-LV"/>
              </w:rPr>
              <w:t>Tā kā Direktīvā</w:t>
            </w:r>
            <w:r w:rsidR="005936C1" w:rsidRPr="00A92A45">
              <w:rPr>
                <w:rFonts w:eastAsia="Times New Roman"/>
                <w:lang w:eastAsia="lv-LV"/>
              </w:rPr>
              <w:t xml:space="preserve"> 2010/75/ES </w:t>
            </w:r>
            <w:r w:rsidRPr="00A92A45">
              <w:rPr>
                <w:rFonts w:eastAsia="Times New Roman"/>
                <w:lang w:eastAsia="lv-LV"/>
              </w:rPr>
              <w:t xml:space="preserve">iekļautas jaunas normas, kas attiecas uz sadedzināšanas iekārtām, tad tās jāpārņem Latvijas likumdošanā </w:t>
            </w:r>
            <w:r w:rsidR="005936C1" w:rsidRPr="00A92A45">
              <w:rPr>
                <w:rFonts w:eastAsia="Times New Roman"/>
                <w:lang w:eastAsia="lv-LV"/>
              </w:rPr>
              <w:t>līdz 2013.gada 7.janvārim</w:t>
            </w:r>
            <w:r w:rsidRPr="00A92A45">
              <w:rPr>
                <w:rFonts w:eastAsia="Times New Roman"/>
                <w:lang w:eastAsia="lv-LV"/>
              </w:rPr>
              <w:t>.</w:t>
            </w:r>
          </w:p>
          <w:p w:rsidR="00CA209A" w:rsidRPr="00A92A45" w:rsidRDefault="00CA209A" w:rsidP="006F2872">
            <w:pPr>
              <w:spacing w:before="75" w:after="75" w:line="240" w:lineRule="auto"/>
              <w:ind w:firstLine="397"/>
              <w:jc w:val="both"/>
              <w:rPr>
                <w:rFonts w:eastAsia="Times New Roman"/>
                <w:lang w:eastAsia="lv-LV"/>
              </w:rPr>
            </w:pPr>
            <w:r w:rsidRPr="00A92A45">
              <w:rPr>
                <w:rFonts w:eastAsia="Times New Roman"/>
                <w:lang w:eastAsia="lv-LV"/>
              </w:rPr>
              <w:t>Šobrīd izstrādātie MK noteikumi Nr.379 ir grūti uztverami, jo tajos iekļautas</w:t>
            </w:r>
            <w:r w:rsidR="00E63B39" w:rsidRPr="00A92A45">
              <w:rPr>
                <w:rFonts w:eastAsia="Times New Roman"/>
                <w:lang w:eastAsia="lv-LV"/>
              </w:rPr>
              <w:t xml:space="preserve"> prasības, kas attiecas uz dažāda veida iekārtām</w:t>
            </w:r>
            <w:r w:rsidRPr="00A92A45">
              <w:rPr>
                <w:rFonts w:eastAsia="Times New Roman"/>
                <w:lang w:eastAsia="lv-LV"/>
              </w:rPr>
              <w:t xml:space="preserve"> </w:t>
            </w:r>
            <w:r w:rsidR="00E63B39" w:rsidRPr="00A92A45">
              <w:rPr>
                <w:rFonts w:eastAsia="Times New Roman"/>
                <w:lang w:eastAsia="lv-LV"/>
              </w:rPr>
              <w:t xml:space="preserve">- </w:t>
            </w:r>
            <w:r w:rsidRPr="00A92A45">
              <w:rPr>
                <w:rFonts w:eastAsia="Times New Roman"/>
                <w:lang w:eastAsia="lv-LV"/>
              </w:rPr>
              <w:t>gan uz iekārtām un darbībām, kurās izmanto organiskos šķīdinātājus, gan uz sadedzināšanas iekārtām.</w:t>
            </w:r>
            <w:r w:rsidR="00536C7D" w:rsidRPr="00A92A45">
              <w:rPr>
                <w:rFonts w:eastAsia="Times New Roman"/>
                <w:lang w:eastAsia="lv-LV"/>
              </w:rPr>
              <w:t xml:space="preserve"> Atšķiras arī lietoto terminu „esoša iekārta”, „jauna iekārta”, „būtiskas izmaiņas” izpratne attiecībā uz katru iekārtas veidu.</w:t>
            </w:r>
          </w:p>
          <w:p w:rsidR="007C7107" w:rsidRPr="00A92A45" w:rsidRDefault="00CA209A" w:rsidP="006F2872">
            <w:pPr>
              <w:spacing w:before="75" w:after="75" w:line="240" w:lineRule="auto"/>
              <w:ind w:firstLine="397"/>
              <w:jc w:val="both"/>
              <w:rPr>
                <w:rFonts w:eastAsia="Times New Roman"/>
                <w:lang w:eastAsia="lv-LV"/>
              </w:rPr>
            </w:pPr>
            <w:r w:rsidRPr="00A92A45">
              <w:rPr>
                <w:rFonts w:eastAsia="Times New Roman"/>
                <w:lang w:eastAsia="lv-LV"/>
              </w:rPr>
              <w:t>Līdz ar to, lai atvieglotu šo normu uztveramību un uzlabotu to korektu izpildi</w:t>
            </w:r>
            <w:r w:rsidR="00D525B2" w:rsidRPr="00A92A45">
              <w:rPr>
                <w:rFonts w:eastAsia="Times New Roman"/>
                <w:lang w:eastAsia="lv-LV"/>
              </w:rPr>
              <w:t xml:space="preserve">, kā arī pārņemtu </w:t>
            </w:r>
            <w:r w:rsidR="00D525B2" w:rsidRPr="00A92A45">
              <w:t>Direktīvā 2010/75/ES noteiktās prasības</w:t>
            </w:r>
            <w:r w:rsidRPr="00A92A45">
              <w:rPr>
                <w:rFonts w:eastAsia="Times New Roman"/>
                <w:lang w:eastAsia="lv-LV"/>
              </w:rPr>
              <w:t>, nolemts izstrādāt divus atsevišķus tiesību aktus</w:t>
            </w:r>
            <w:r w:rsidR="007C7107" w:rsidRPr="00A92A45">
              <w:rPr>
                <w:rFonts w:eastAsia="Times New Roman"/>
                <w:lang w:eastAsia="lv-LV"/>
              </w:rPr>
              <w:t xml:space="preserve">: </w:t>
            </w:r>
          </w:p>
          <w:p w:rsidR="007154EC" w:rsidRPr="00A92A45" w:rsidRDefault="007154EC" w:rsidP="006F2872">
            <w:pPr>
              <w:spacing w:after="0" w:line="240" w:lineRule="auto"/>
              <w:ind w:firstLine="397"/>
              <w:jc w:val="both"/>
              <w:rPr>
                <w:bCs/>
              </w:rPr>
            </w:pPr>
            <w:r w:rsidRPr="00A92A45">
              <w:rPr>
                <w:bCs/>
              </w:rPr>
              <w:t>1)</w:t>
            </w:r>
            <w:r w:rsidR="009A128A" w:rsidRPr="00A92A45">
              <w:rPr>
                <w:bCs/>
              </w:rPr>
              <w:t xml:space="preserve"> </w:t>
            </w:r>
            <w:r w:rsidR="0098762E" w:rsidRPr="00A92A45">
              <w:rPr>
                <w:bCs/>
              </w:rPr>
              <w:t>Noteikumu projekts „</w:t>
            </w:r>
            <w:r w:rsidR="0098762E" w:rsidRPr="00A92A45">
              <w:rPr>
                <w:rFonts w:eastAsia="Calibri"/>
                <w:bCs/>
              </w:rPr>
              <w:t>Kārtība, kādā novēršama, ierobežojama un kontrolējama gaisu piesārņojošo vielu emisija no sadedzināšanas iekārtām”</w:t>
            </w:r>
            <w:r w:rsidR="0098762E" w:rsidRPr="00A92A45">
              <w:rPr>
                <w:bCs/>
              </w:rPr>
              <w:t xml:space="preserve"> (turpmāk – noteikumu projekts)</w:t>
            </w:r>
            <w:r w:rsidR="00D525B2" w:rsidRPr="00A92A45">
              <w:rPr>
                <w:bCs/>
              </w:rPr>
              <w:t>;</w:t>
            </w:r>
          </w:p>
          <w:p w:rsidR="00671C47" w:rsidRDefault="007154EC" w:rsidP="004E1730">
            <w:pPr>
              <w:spacing w:after="0" w:line="240" w:lineRule="auto"/>
              <w:ind w:firstLine="397"/>
              <w:jc w:val="both"/>
              <w:rPr>
                <w:bCs/>
              </w:rPr>
            </w:pPr>
            <w:r w:rsidRPr="00A92A45">
              <w:rPr>
                <w:rFonts w:eastAsia="Times New Roman"/>
                <w:lang w:eastAsia="lv-LV"/>
              </w:rPr>
              <w:lastRenderedPageBreak/>
              <w:t>2)</w:t>
            </w:r>
            <w:r w:rsidRPr="00A92A45">
              <w:rPr>
                <w:bCs/>
              </w:rPr>
              <w:t xml:space="preserve"> </w:t>
            </w:r>
            <w:r w:rsidR="0098762E" w:rsidRPr="00A92A45">
              <w:rPr>
                <w:bCs/>
              </w:rPr>
              <w:t>Noteikumu projektu „Noteikumi par gaistošo organisko savienojumu emisijas ierobežošanu no iekārtām, kurās i</w:t>
            </w:r>
            <w:r w:rsidR="00400C72" w:rsidRPr="00A92A45">
              <w:rPr>
                <w:bCs/>
              </w:rPr>
              <w:t>zmanto organiskos šķīdinātājus.</w:t>
            </w:r>
            <w:r w:rsidR="0098762E" w:rsidRPr="00A92A45">
              <w:rPr>
                <w:bCs/>
              </w:rPr>
              <w:t xml:space="preserve"> </w:t>
            </w:r>
          </w:p>
          <w:p w:rsidR="00671C47" w:rsidRPr="00671C47" w:rsidRDefault="00671C47" w:rsidP="00671C47">
            <w:pPr>
              <w:spacing w:before="120" w:after="0" w:line="240" w:lineRule="auto"/>
              <w:ind w:firstLine="397"/>
              <w:jc w:val="both"/>
              <w:rPr>
                <w:rStyle w:val="Strong"/>
                <w:b w:val="0"/>
              </w:rPr>
            </w:pPr>
            <w:r>
              <w:rPr>
                <w:rStyle w:val="Strong"/>
                <w:b w:val="0"/>
              </w:rPr>
              <w:t>2012. gada 7.m</w:t>
            </w:r>
            <w:r w:rsidRPr="008E0A22">
              <w:rPr>
                <w:rStyle w:val="Strong"/>
                <w:b w:val="0"/>
              </w:rPr>
              <w:t>aij</w:t>
            </w:r>
            <w:r>
              <w:rPr>
                <w:rStyle w:val="Strong"/>
                <w:b w:val="0"/>
              </w:rPr>
              <w:t>ā</w:t>
            </w:r>
            <w:r w:rsidRPr="008E0A22">
              <w:rPr>
                <w:rStyle w:val="Strong"/>
                <w:b w:val="0"/>
              </w:rPr>
              <w:t xml:space="preserve"> Eiropas Komisija</w:t>
            </w:r>
            <w:r>
              <w:rPr>
                <w:rStyle w:val="Strong"/>
                <w:b w:val="0"/>
              </w:rPr>
              <w:t xml:space="preserve"> ir pieņēmusi</w:t>
            </w:r>
            <w:r w:rsidRPr="008E0A22">
              <w:rPr>
                <w:rStyle w:val="Strong"/>
                <w:b w:val="0"/>
              </w:rPr>
              <w:t xml:space="preserve"> </w:t>
            </w:r>
            <w:r w:rsidRPr="00671C47">
              <w:rPr>
                <w:rStyle w:val="Strong"/>
                <w:b w:val="0"/>
              </w:rPr>
              <w:t>īstenošanas lēmumu Nr.2012/249/ES par palaišanas un apturēšanas periodu noteikšanu Eiropas Parlamenta un Padomes Direktīvas 2010/75/ES par rūpnieciskajām emisijām nolūkos.</w:t>
            </w:r>
          </w:p>
          <w:p w:rsidR="00671C47" w:rsidRPr="00671C47" w:rsidRDefault="007058D3" w:rsidP="00671C47">
            <w:pPr>
              <w:spacing w:before="120" w:after="0" w:line="240" w:lineRule="auto"/>
              <w:ind w:firstLine="397"/>
              <w:jc w:val="both"/>
            </w:pPr>
            <w:r>
              <w:t>Lēmums nosaka, kādā veidā sadedzināšanas iekārtām tiek noteikts palaišanas un apturēšanas periods. S</w:t>
            </w:r>
            <w:r w:rsidR="00671C47" w:rsidRPr="00671C47">
              <w:t>adedzināšanas iekārtām</w:t>
            </w:r>
            <w:r>
              <w:t xml:space="preserve"> </w:t>
            </w:r>
            <w:r w:rsidR="00671C47" w:rsidRPr="00671C47">
              <w:t xml:space="preserve">ir nepieciešams noteikt palaišanas un apturēšanas periodus, lai novērtētu atbilstību </w:t>
            </w:r>
            <w:r>
              <w:t xml:space="preserve">noteiktajām </w:t>
            </w:r>
            <w:r w:rsidR="00671C47" w:rsidRPr="00671C47">
              <w:t>emisiju robežvērtībām, kā arī lai noteiktu sadedzināšanas iekārtu darba stundu skaitu gadījumā, ja tas ir būtisks š</w:t>
            </w:r>
            <w:r>
              <w:t xml:space="preserve">o noteikumu projekta </w:t>
            </w:r>
            <w:r w:rsidR="00671C47" w:rsidRPr="00671C47">
              <w:t>īstenošanai.</w:t>
            </w:r>
            <w:r w:rsidR="000A1681">
              <w:t xml:space="preserve"> </w:t>
            </w:r>
          </w:p>
          <w:p w:rsidR="00671C47" w:rsidRPr="00671C47" w:rsidRDefault="00671C47" w:rsidP="00671C47">
            <w:pPr>
              <w:spacing w:before="120" w:after="0" w:line="240" w:lineRule="auto"/>
              <w:ind w:firstLine="397"/>
              <w:jc w:val="both"/>
              <w:rPr>
                <w:rStyle w:val="Strong"/>
                <w:b w:val="0"/>
              </w:rPr>
            </w:pPr>
            <w:r>
              <w:rPr>
                <w:rStyle w:val="Strong"/>
                <w:b w:val="0"/>
              </w:rPr>
              <w:t>Tā kā šajā</w:t>
            </w:r>
            <w:r w:rsidRPr="00671C47">
              <w:rPr>
                <w:rStyle w:val="Strong"/>
                <w:b w:val="0"/>
              </w:rPr>
              <w:t xml:space="preserve"> lēmumā noteiktās prasības attiecas uz operatoriem</w:t>
            </w:r>
            <w:r>
              <w:rPr>
                <w:rStyle w:val="Strong"/>
                <w:b w:val="0"/>
              </w:rPr>
              <w:t xml:space="preserve"> un t</w:t>
            </w:r>
            <w:r w:rsidR="007058D3">
              <w:rPr>
                <w:rStyle w:val="Strong"/>
                <w:b w:val="0"/>
              </w:rPr>
              <w:t>ās</w:t>
            </w:r>
            <w:r>
              <w:rPr>
                <w:rStyle w:val="Strong"/>
                <w:b w:val="0"/>
              </w:rPr>
              <w:t xml:space="preserve"> ir svarīgi </w:t>
            </w:r>
            <w:r w:rsidR="007058D3">
              <w:rPr>
                <w:rStyle w:val="Strong"/>
                <w:b w:val="0"/>
              </w:rPr>
              <w:t xml:space="preserve">ievērot, lai tiktu precīzi izpildītas </w:t>
            </w:r>
            <w:r>
              <w:rPr>
                <w:rStyle w:val="Strong"/>
                <w:b w:val="0"/>
              </w:rPr>
              <w:t>noteikumu projektā noteikt</w:t>
            </w:r>
            <w:r w:rsidR="000A1681">
              <w:rPr>
                <w:rStyle w:val="Strong"/>
                <w:b w:val="0"/>
              </w:rPr>
              <w:t>ās</w:t>
            </w:r>
            <w:r>
              <w:rPr>
                <w:rStyle w:val="Strong"/>
                <w:b w:val="0"/>
              </w:rPr>
              <w:t xml:space="preserve"> prasīb</w:t>
            </w:r>
            <w:r w:rsidR="000A1681">
              <w:rPr>
                <w:rStyle w:val="Strong"/>
                <w:b w:val="0"/>
              </w:rPr>
              <w:t>as</w:t>
            </w:r>
            <w:r w:rsidR="007058D3">
              <w:rPr>
                <w:rStyle w:val="Strong"/>
                <w:b w:val="0"/>
              </w:rPr>
              <w:t>,</w:t>
            </w:r>
            <w:r>
              <w:rPr>
                <w:rStyle w:val="Strong"/>
                <w:b w:val="0"/>
              </w:rPr>
              <w:t xml:space="preserve"> tad ir svarīgi </w:t>
            </w:r>
            <w:r w:rsidR="00660FF7">
              <w:rPr>
                <w:rStyle w:val="Strong"/>
                <w:b w:val="0"/>
              </w:rPr>
              <w:t>tās iekļaut noteikumu projektā</w:t>
            </w:r>
            <w:r w:rsidRPr="00671C47">
              <w:rPr>
                <w:rStyle w:val="Strong"/>
                <w:b w:val="0"/>
              </w:rPr>
              <w:t xml:space="preserve">. </w:t>
            </w:r>
          </w:p>
          <w:p w:rsidR="00480674" w:rsidRPr="00A92A45" w:rsidRDefault="00480674" w:rsidP="00660FF7">
            <w:pPr>
              <w:spacing w:after="0" w:line="240" w:lineRule="auto"/>
              <w:jc w:val="both"/>
              <w:rPr>
                <w:bCs/>
              </w:rPr>
            </w:pPr>
          </w:p>
        </w:tc>
      </w:tr>
      <w:tr w:rsidR="00B30CCA" w:rsidRPr="00A92A45" w:rsidTr="0025565F">
        <w:trPr>
          <w:trHeight w:val="1071"/>
          <w:tblCellSpacing w:w="0" w:type="dxa"/>
        </w:trPr>
        <w:tc>
          <w:tcPr>
            <w:tcW w:w="290" w:type="pct"/>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lastRenderedPageBreak/>
              <w:t> 3.</w:t>
            </w:r>
          </w:p>
        </w:tc>
        <w:tc>
          <w:tcPr>
            <w:tcW w:w="1276" w:type="pct"/>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Saistītie politikas ietekmes novērtējumi un pētījumi</w:t>
            </w:r>
          </w:p>
        </w:tc>
        <w:tc>
          <w:tcPr>
            <w:tcW w:w="3434" w:type="pct"/>
            <w:tcBorders>
              <w:top w:val="outset" w:sz="6" w:space="0" w:color="auto"/>
              <w:left w:val="outset" w:sz="6" w:space="0" w:color="auto"/>
              <w:bottom w:val="outset" w:sz="6" w:space="0" w:color="auto"/>
              <w:right w:val="outset" w:sz="6" w:space="0" w:color="auto"/>
            </w:tcBorders>
            <w:hideMark/>
          </w:tcPr>
          <w:p w:rsidR="00B30CCA" w:rsidRPr="00E65E73" w:rsidRDefault="00E65E73" w:rsidP="006F2872">
            <w:pPr>
              <w:spacing w:before="75" w:after="75" w:line="240" w:lineRule="auto"/>
              <w:ind w:firstLine="397"/>
              <w:rPr>
                <w:rFonts w:eastAsia="Times New Roman"/>
                <w:lang w:eastAsia="lv-LV"/>
              </w:rPr>
            </w:pPr>
            <w:r w:rsidRPr="00E65E73">
              <w:rPr>
                <w:bCs/>
                <w:iCs/>
              </w:rPr>
              <w:t>Projekts šo jomu neskar</w:t>
            </w:r>
          </w:p>
        </w:tc>
      </w:tr>
      <w:tr w:rsidR="00B30CCA" w:rsidRPr="00A92A45" w:rsidTr="0025565F">
        <w:trPr>
          <w:trHeight w:val="384"/>
          <w:tblCellSpacing w:w="0" w:type="dxa"/>
        </w:trPr>
        <w:tc>
          <w:tcPr>
            <w:tcW w:w="290" w:type="pct"/>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4.</w:t>
            </w:r>
          </w:p>
        </w:tc>
        <w:tc>
          <w:tcPr>
            <w:tcW w:w="1276" w:type="pct"/>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Tiesiskā regulējuma mērķis un būtība</w:t>
            </w:r>
          </w:p>
        </w:tc>
        <w:tc>
          <w:tcPr>
            <w:tcW w:w="3434" w:type="pct"/>
            <w:tcBorders>
              <w:top w:val="outset" w:sz="6" w:space="0" w:color="auto"/>
              <w:left w:val="outset" w:sz="6" w:space="0" w:color="auto"/>
              <w:bottom w:val="outset" w:sz="6" w:space="0" w:color="auto"/>
              <w:right w:val="outset" w:sz="6" w:space="0" w:color="auto"/>
            </w:tcBorders>
            <w:hideMark/>
          </w:tcPr>
          <w:p w:rsidR="00360497" w:rsidRPr="00F131A4" w:rsidRDefault="002F0D18" w:rsidP="00360497">
            <w:pPr>
              <w:spacing w:before="75" w:after="75" w:line="240" w:lineRule="auto"/>
              <w:ind w:firstLine="397"/>
              <w:jc w:val="both"/>
              <w:rPr>
                <w:rFonts w:eastAsia="Times New Roman"/>
                <w:lang w:eastAsia="lv-LV"/>
              </w:rPr>
            </w:pPr>
            <w:r w:rsidRPr="00A92A45">
              <w:rPr>
                <w:rFonts w:eastAsia="Times New Roman"/>
                <w:lang w:eastAsia="lv-LV"/>
              </w:rPr>
              <w:t>Noteikumu projekt</w:t>
            </w:r>
            <w:r w:rsidR="00053B7F" w:rsidRPr="00A92A45">
              <w:rPr>
                <w:rFonts w:eastAsia="Times New Roman"/>
                <w:lang w:eastAsia="lv-LV"/>
              </w:rPr>
              <w:t xml:space="preserve">a mērķis ir ierobežot un samazināt </w:t>
            </w:r>
            <w:r w:rsidR="000B2FE7" w:rsidRPr="00A92A45">
              <w:rPr>
                <w:rFonts w:eastAsia="Times New Roman"/>
                <w:lang w:eastAsia="lv-LV"/>
              </w:rPr>
              <w:t xml:space="preserve">sadedzināšanas </w:t>
            </w:r>
            <w:r w:rsidRPr="00A92A45">
              <w:rPr>
                <w:rFonts w:eastAsia="Times New Roman"/>
                <w:lang w:eastAsia="lv-LV"/>
              </w:rPr>
              <w:t>iekārt</w:t>
            </w:r>
            <w:r w:rsidR="00053B7F" w:rsidRPr="00A92A45">
              <w:rPr>
                <w:rFonts w:eastAsia="Times New Roman"/>
                <w:lang w:eastAsia="lv-LV"/>
              </w:rPr>
              <w:t>u</w:t>
            </w:r>
            <w:r w:rsidR="000B2FE7" w:rsidRPr="00A92A45">
              <w:rPr>
                <w:rFonts w:eastAsia="Times New Roman"/>
                <w:lang w:eastAsia="lv-LV"/>
              </w:rPr>
              <w:t xml:space="preserve"> </w:t>
            </w:r>
            <w:r w:rsidR="00053B7F" w:rsidRPr="00A92A45">
              <w:rPr>
                <w:rFonts w:eastAsia="Times New Roman"/>
                <w:lang w:eastAsia="lv-LV"/>
              </w:rPr>
              <w:t xml:space="preserve">radīto </w:t>
            </w:r>
            <w:r w:rsidR="0004446E" w:rsidRPr="00A92A45">
              <w:rPr>
                <w:rFonts w:eastAsia="Times New Roman"/>
                <w:lang w:eastAsia="lv-LV"/>
              </w:rPr>
              <w:t>gaisa piesārņojumu</w:t>
            </w:r>
            <w:r w:rsidR="009C57BE" w:rsidRPr="00A92A45">
              <w:rPr>
                <w:rFonts w:eastAsia="Times New Roman"/>
                <w:lang w:eastAsia="lv-LV"/>
              </w:rPr>
              <w:t xml:space="preserve">, kas </w:t>
            </w:r>
            <w:r w:rsidR="000B2FE7" w:rsidRPr="00A92A45">
              <w:rPr>
                <w:rFonts w:eastAsia="Times New Roman"/>
                <w:lang w:eastAsia="lv-LV"/>
              </w:rPr>
              <w:t>negatīvi</w:t>
            </w:r>
            <w:r w:rsidR="009C57BE" w:rsidRPr="00A92A45">
              <w:rPr>
                <w:rFonts w:eastAsia="Times New Roman"/>
                <w:lang w:eastAsia="lv-LV"/>
              </w:rPr>
              <w:t xml:space="preserve"> ietekmē </w:t>
            </w:r>
            <w:r w:rsidR="009C57BE" w:rsidRPr="00F131A4">
              <w:rPr>
                <w:rFonts w:eastAsia="Times New Roman"/>
                <w:lang w:eastAsia="lv-LV"/>
              </w:rPr>
              <w:t>gan vidi, gan cilvēku veselību</w:t>
            </w:r>
            <w:r w:rsidRPr="00F131A4">
              <w:rPr>
                <w:rFonts w:eastAsia="Times New Roman"/>
                <w:lang w:eastAsia="lv-LV"/>
              </w:rPr>
              <w:t xml:space="preserve">. </w:t>
            </w:r>
          </w:p>
          <w:p w:rsidR="00360497" w:rsidRPr="00F131A4" w:rsidRDefault="00053B7F" w:rsidP="00360497">
            <w:pPr>
              <w:spacing w:before="75" w:after="75" w:line="240" w:lineRule="auto"/>
              <w:ind w:firstLine="397"/>
              <w:jc w:val="both"/>
            </w:pPr>
            <w:r w:rsidRPr="00F131A4">
              <w:rPr>
                <w:rFonts w:eastAsia="Times New Roman"/>
                <w:lang w:eastAsia="lv-LV"/>
              </w:rPr>
              <w:t>Noteikum</w:t>
            </w:r>
            <w:r w:rsidR="005B1F96" w:rsidRPr="00F131A4">
              <w:rPr>
                <w:rFonts w:eastAsia="Times New Roman"/>
                <w:lang w:eastAsia="lv-LV"/>
              </w:rPr>
              <w:t>u</w:t>
            </w:r>
            <w:r w:rsidR="00C12684" w:rsidRPr="00F131A4">
              <w:rPr>
                <w:rFonts w:eastAsia="Times New Roman"/>
                <w:lang w:eastAsia="lv-LV"/>
              </w:rPr>
              <w:t xml:space="preserve"> projekta</w:t>
            </w:r>
            <w:r w:rsidR="005B1F96" w:rsidRPr="00F131A4">
              <w:rPr>
                <w:rFonts w:eastAsia="Times New Roman"/>
                <w:lang w:eastAsia="lv-LV"/>
              </w:rPr>
              <w:t xml:space="preserve"> prasības attiecas uz </w:t>
            </w:r>
            <w:r w:rsidR="00360497" w:rsidRPr="00F131A4">
              <w:rPr>
                <w:rFonts w:eastAsia="Times New Roman"/>
                <w:lang w:eastAsia="lv-LV"/>
              </w:rPr>
              <w:t>iekārām, kurās sadedzina (oksidē) kurināmo</w:t>
            </w:r>
            <w:r w:rsidR="00360497" w:rsidRPr="00F131A4">
              <w:rPr>
                <w:rFonts w:eastAsia="Calibri"/>
              </w:rPr>
              <w:t>, lai iegūtu enerģiju</w:t>
            </w:r>
            <w:r w:rsidR="00721521" w:rsidRPr="00F131A4">
              <w:t>.</w:t>
            </w:r>
            <w:r w:rsidR="00360497" w:rsidRPr="00F131A4">
              <w:t xml:space="preserve"> </w:t>
            </w:r>
          </w:p>
          <w:p w:rsidR="006B551D" w:rsidRPr="00F131A4" w:rsidRDefault="00F8406D" w:rsidP="00F41FB3">
            <w:pPr>
              <w:spacing w:before="75" w:after="75" w:line="240" w:lineRule="auto"/>
              <w:ind w:firstLine="397"/>
              <w:jc w:val="both"/>
              <w:rPr>
                <w:rFonts w:eastAsia="Times New Roman"/>
                <w:lang w:eastAsia="lv-LV"/>
              </w:rPr>
            </w:pPr>
            <w:r w:rsidRPr="00F131A4">
              <w:t xml:space="preserve">Noteikumu projekta 3.punktā noteikti arī atsevišķi sadedzināšanas iekārtu veidi, uz kuriem noteikumu prasības neattiecas. </w:t>
            </w:r>
            <w:r w:rsidR="00360497" w:rsidRPr="00F131A4">
              <w:t xml:space="preserve">Piemēram, </w:t>
            </w:r>
            <w:r w:rsidRPr="00F131A4">
              <w:t xml:space="preserve">uz </w:t>
            </w:r>
            <w:r w:rsidR="00360497" w:rsidRPr="00F131A4">
              <w:t xml:space="preserve">atkritumu sadedzināšanas un </w:t>
            </w:r>
            <w:proofErr w:type="spellStart"/>
            <w:r w:rsidR="00360497" w:rsidRPr="00F131A4">
              <w:t>līdzsadedzināšanas</w:t>
            </w:r>
            <w:proofErr w:type="spellEnd"/>
            <w:r w:rsidR="00360497" w:rsidRPr="00F131A4">
              <w:t xml:space="preserve"> iekārt</w:t>
            </w:r>
            <w:r w:rsidRPr="00F131A4">
              <w:t>ām</w:t>
            </w:r>
            <w:r w:rsidR="00360497" w:rsidRPr="00F131A4">
              <w:t xml:space="preserve"> un </w:t>
            </w:r>
            <w:r w:rsidR="00F41FB3" w:rsidRPr="00F131A4">
              <w:rPr>
                <w:bCs/>
              </w:rPr>
              <w:t>iekārt</w:t>
            </w:r>
            <w:r w:rsidRPr="00F131A4">
              <w:rPr>
                <w:bCs/>
              </w:rPr>
              <w:t>ām</w:t>
            </w:r>
            <w:r w:rsidR="00F41FB3" w:rsidRPr="00F131A4">
              <w:rPr>
                <w:bCs/>
              </w:rPr>
              <w:t>,</w:t>
            </w:r>
            <w:r w:rsidR="00360497" w:rsidRPr="00F131A4">
              <w:rPr>
                <w:bCs/>
              </w:rPr>
              <w:t xml:space="preserve"> kurās notiek dzīvnieku izcelsmes blakusproduktu un atvasinātu produktu dedzināšana</w:t>
            </w:r>
            <w:r w:rsidR="00F41FB3" w:rsidRPr="00F131A4">
              <w:rPr>
                <w:bCs/>
              </w:rPr>
              <w:t xml:space="preserve"> šo noteikumu prasības neattieksies, jo š</w:t>
            </w:r>
            <w:r w:rsidR="00360497" w:rsidRPr="00F131A4">
              <w:rPr>
                <w:bCs/>
              </w:rPr>
              <w:t>īm darbībām prasības ir noteiktas citos normatīvajos aktos.</w:t>
            </w:r>
          </w:p>
          <w:p w:rsidR="00053B7F" w:rsidRPr="00F131A4" w:rsidRDefault="00C12684" w:rsidP="00F131A4">
            <w:pPr>
              <w:spacing w:beforeLines="50" w:afterLines="50" w:line="240" w:lineRule="auto"/>
              <w:ind w:firstLine="397"/>
              <w:jc w:val="both"/>
              <w:rPr>
                <w:rFonts w:eastAsia="Times New Roman"/>
                <w:lang w:eastAsia="lv-LV"/>
              </w:rPr>
            </w:pPr>
            <w:r w:rsidRPr="00F131A4">
              <w:rPr>
                <w:rFonts w:eastAsia="Times New Roman"/>
                <w:lang w:eastAsia="lv-LV"/>
              </w:rPr>
              <w:t>Noteikumu projekts nosaka kārtību</w:t>
            </w:r>
            <w:r w:rsidR="008309D0" w:rsidRPr="00F131A4">
              <w:rPr>
                <w:rFonts w:eastAsia="Times New Roman"/>
                <w:lang w:eastAsia="lv-LV"/>
              </w:rPr>
              <w:t>,</w:t>
            </w:r>
            <w:r w:rsidRPr="00F131A4">
              <w:rPr>
                <w:rFonts w:eastAsia="Times New Roman"/>
                <w:lang w:eastAsia="lv-LV"/>
              </w:rPr>
              <w:t xml:space="preserve"> kādā tiek ierobežota šo iekārtu radītā gaisu piesārņojošo vielu (SO</w:t>
            </w:r>
            <w:r w:rsidRPr="00F131A4">
              <w:rPr>
                <w:rFonts w:eastAsia="Times New Roman"/>
                <w:vertAlign w:val="subscript"/>
                <w:lang w:eastAsia="lv-LV"/>
              </w:rPr>
              <w:t>2</w:t>
            </w:r>
            <w:r w:rsidRPr="00F131A4">
              <w:rPr>
                <w:rFonts w:eastAsia="Times New Roman"/>
                <w:lang w:eastAsia="lv-LV"/>
              </w:rPr>
              <w:t xml:space="preserve">, </w:t>
            </w:r>
            <w:proofErr w:type="spellStart"/>
            <w:r w:rsidRPr="00F131A4">
              <w:rPr>
                <w:rFonts w:eastAsia="Times New Roman"/>
                <w:lang w:eastAsia="lv-LV"/>
              </w:rPr>
              <w:t>NO</w:t>
            </w:r>
            <w:r w:rsidRPr="00F131A4">
              <w:rPr>
                <w:rFonts w:eastAsia="Times New Roman"/>
                <w:vertAlign w:val="subscript"/>
                <w:lang w:eastAsia="lv-LV"/>
              </w:rPr>
              <w:t>x</w:t>
            </w:r>
            <w:proofErr w:type="spellEnd"/>
            <w:r w:rsidRPr="00F131A4">
              <w:rPr>
                <w:rFonts w:eastAsia="Times New Roman"/>
                <w:lang w:eastAsia="lv-LV"/>
              </w:rPr>
              <w:t>, CO un putekļu jeb daļiņu) emisija gaisā, tai skaitā:</w:t>
            </w:r>
          </w:p>
          <w:p w:rsidR="0077743D" w:rsidRPr="00A92A45" w:rsidRDefault="00682B21" w:rsidP="00F131A4">
            <w:pPr>
              <w:spacing w:beforeLines="50" w:afterLines="50" w:line="240" w:lineRule="auto"/>
              <w:ind w:firstLine="397"/>
              <w:jc w:val="both"/>
              <w:rPr>
                <w:rFonts w:eastAsia="Times New Roman"/>
                <w:lang w:eastAsia="lv-LV"/>
              </w:rPr>
            </w:pPr>
            <w:r w:rsidRPr="00A92A45">
              <w:rPr>
                <w:rFonts w:eastAsia="Times New Roman"/>
                <w:lang w:eastAsia="lv-LV"/>
              </w:rPr>
              <w:t xml:space="preserve">1) </w:t>
            </w:r>
            <w:r w:rsidR="00C12684" w:rsidRPr="00A92A45">
              <w:rPr>
                <w:rFonts w:eastAsia="Times New Roman"/>
                <w:lang w:eastAsia="lv-LV"/>
              </w:rPr>
              <w:t>s</w:t>
            </w:r>
            <w:r w:rsidR="001C467C" w:rsidRPr="00A92A45">
              <w:rPr>
                <w:rFonts w:eastAsia="Times New Roman"/>
                <w:lang w:eastAsia="lv-LV"/>
              </w:rPr>
              <w:t>adedzināšanas iekārtām piemērojamās e</w:t>
            </w:r>
            <w:r w:rsidR="00BA448A" w:rsidRPr="00A92A45">
              <w:rPr>
                <w:rFonts w:eastAsia="Times New Roman"/>
                <w:lang w:eastAsia="lv-LV"/>
              </w:rPr>
              <w:t>misijas robežvērtības</w:t>
            </w:r>
            <w:r w:rsidR="003A4DC5" w:rsidRPr="00A92A45">
              <w:rPr>
                <w:rFonts w:eastAsia="Times New Roman"/>
                <w:lang w:eastAsia="lv-LV"/>
              </w:rPr>
              <w:t xml:space="preserve"> un to noteikšanas kārtību</w:t>
            </w:r>
            <w:r w:rsidR="00BF2590" w:rsidRPr="00A92A45">
              <w:rPr>
                <w:rFonts w:eastAsia="Times New Roman"/>
                <w:lang w:eastAsia="lv-LV"/>
              </w:rPr>
              <w:t>. Emisijas robežvērtības tiek noteiktas atkarībā no datuma, kurā iekārta ir uzsākusi savu darbību</w:t>
            </w:r>
            <w:r w:rsidR="001B6419" w:rsidRPr="00A92A45">
              <w:rPr>
                <w:rFonts w:eastAsia="Times New Roman"/>
                <w:lang w:eastAsia="lv-LV"/>
              </w:rPr>
              <w:t xml:space="preserve">, kā arī iekārtas nominālās ievadītās siltumjaudas, iekārtā izmantotā kurināmā veida un iekārtas darbības </w:t>
            </w:r>
            <w:r w:rsidR="0073158E" w:rsidRPr="00A92A45">
              <w:rPr>
                <w:rFonts w:eastAsia="Times New Roman"/>
                <w:lang w:eastAsia="lv-LV"/>
              </w:rPr>
              <w:t>laika</w:t>
            </w:r>
            <w:r w:rsidR="0077743D" w:rsidRPr="00A92A45">
              <w:rPr>
                <w:rFonts w:eastAsia="Times New Roman"/>
                <w:lang w:eastAsia="lv-LV"/>
              </w:rPr>
              <w:t xml:space="preserve">. </w:t>
            </w:r>
          </w:p>
          <w:p w:rsidR="00CC4B8E" w:rsidRPr="00A92A45" w:rsidRDefault="00682B21" w:rsidP="00F131A4">
            <w:pPr>
              <w:spacing w:beforeLines="50" w:afterLines="50" w:line="240" w:lineRule="auto"/>
              <w:ind w:firstLine="397"/>
              <w:jc w:val="both"/>
              <w:rPr>
                <w:rFonts w:eastAsia="Times New Roman"/>
                <w:lang w:eastAsia="lv-LV"/>
              </w:rPr>
            </w:pPr>
            <w:r w:rsidRPr="00A92A45">
              <w:rPr>
                <w:rFonts w:eastAsia="Times New Roman"/>
                <w:lang w:eastAsia="lv-LV"/>
              </w:rPr>
              <w:t xml:space="preserve">2) </w:t>
            </w:r>
            <w:r w:rsidR="00C12684" w:rsidRPr="00A92A45">
              <w:rPr>
                <w:rFonts w:eastAsia="Times New Roman"/>
                <w:lang w:eastAsia="lv-LV"/>
              </w:rPr>
              <w:t>n</w:t>
            </w:r>
            <w:r w:rsidR="00295C80" w:rsidRPr="00A92A45">
              <w:rPr>
                <w:rFonts w:eastAsia="Times New Roman"/>
                <w:lang w:eastAsia="lv-LV"/>
              </w:rPr>
              <w:t xml:space="preserve">osacījumus pie kādiem lielajām sadedzināšanas iekārtām var piešķirt </w:t>
            </w:r>
            <w:r w:rsidR="00F567D6" w:rsidRPr="00A92A45">
              <w:rPr>
                <w:rFonts w:eastAsia="Times New Roman"/>
                <w:lang w:eastAsia="lv-LV"/>
              </w:rPr>
              <w:t>atkāpes no noteikum</w:t>
            </w:r>
            <w:r w:rsidR="00FF632A" w:rsidRPr="00A92A45">
              <w:rPr>
                <w:rFonts w:eastAsia="Times New Roman"/>
                <w:lang w:eastAsia="lv-LV"/>
              </w:rPr>
              <w:t>os noteikto robežvērtību</w:t>
            </w:r>
            <w:r w:rsidR="00F567D6" w:rsidRPr="00A92A45">
              <w:rPr>
                <w:rFonts w:eastAsia="Times New Roman"/>
                <w:lang w:eastAsia="lv-LV"/>
              </w:rPr>
              <w:t xml:space="preserve"> piemērošanas</w:t>
            </w:r>
            <w:r w:rsidR="00F43C7D" w:rsidRPr="00A92A45">
              <w:rPr>
                <w:rFonts w:eastAsia="Times New Roman"/>
                <w:lang w:eastAsia="lv-LV"/>
              </w:rPr>
              <w:t xml:space="preserve">. Noteikumos </w:t>
            </w:r>
            <w:r w:rsidR="004A6E7A" w:rsidRPr="00A92A45">
              <w:rPr>
                <w:rFonts w:eastAsia="Times New Roman"/>
                <w:lang w:eastAsia="lv-LV"/>
              </w:rPr>
              <w:t xml:space="preserve">paredzēti vairāki </w:t>
            </w:r>
            <w:r w:rsidR="004A6E7A" w:rsidRPr="00A92A45">
              <w:rPr>
                <w:rFonts w:eastAsia="Times New Roman"/>
                <w:lang w:eastAsia="lv-LV"/>
              </w:rPr>
              <w:lastRenderedPageBreak/>
              <w:t>izņēmumi, kad sadedzināšanas iekārta</w:t>
            </w:r>
            <w:r w:rsidR="00EA08AA" w:rsidRPr="00A92A45">
              <w:rPr>
                <w:rFonts w:eastAsia="Times New Roman"/>
                <w:lang w:eastAsia="lv-LV"/>
              </w:rPr>
              <w:t>i, ievērojot attiecīgus nosacījumus,</w:t>
            </w:r>
            <w:r w:rsidR="00BC3184" w:rsidRPr="00A92A45">
              <w:rPr>
                <w:rFonts w:eastAsia="Times New Roman"/>
                <w:lang w:eastAsia="lv-LV"/>
              </w:rPr>
              <w:t xml:space="preserve"> </w:t>
            </w:r>
            <w:r w:rsidR="004A6E7A" w:rsidRPr="00A92A45">
              <w:rPr>
                <w:rFonts w:eastAsia="Times New Roman"/>
                <w:lang w:eastAsia="lv-LV"/>
              </w:rPr>
              <w:t>var piemērot mazāk stingras robežvērtības un citu kurināmo, kas rada lielākas emisijas</w:t>
            </w:r>
            <w:r w:rsidR="00BC3184" w:rsidRPr="00A92A45">
              <w:rPr>
                <w:rFonts w:eastAsia="Times New Roman"/>
                <w:lang w:eastAsia="lv-LV"/>
              </w:rPr>
              <w:t>;</w:t>
            </w:r>
          </w:p>
          <w:p w:rsidR="00682B21" w:rsidRPr="00A92A45" w:rsidRDefault="00682B21" w:rsidP="00F131A4">
            <w:pPr>
              <w:spacing w:beforeLines="50" w:afterLines="50" w:line="240" w:lineRule="auto"/>
              <w:ind w:firstLine="397"/>
              <w:jc w:val="both"/>
              <w:rPr>
                <w:rFonts w:eastAsia="Times New Roman"/>
                <w:lang w:eastAsia="lv-LV"/>
              </w:rPr>
            </w:pPr>
            <w:r w:rsidRPr="00A92A45">
              <w:rPr>
                <w:rFonts w:eastAsia="Times New Roman"/>
                <w:lang w:eastAsia="lv-LV"/>
              </w:rPr>
              <w:t xml:space="preserve">3) </w:t>
            </w:r>
            <w:r w:rsidR="00C12684" w:rsidRPr="00A92A45">
              <w:rPr>
                <w:rFonts w:eastAsia="Times New Roman"/>
                <w:lang w:eastAsia="lv-LV"/>
              </w:rPr>
              <w:t>k</w:t>
            </w:r>
            <w:r w:rsidR="00041192" w:rsidRPr="00A92A45">
              <w:rPr>
                <w:rFonts w:eastAsia="Times New Roman"/>
                <w:lang w:eastAsia="lv-LV"/>
              </w:rPr>
              <w:t xml:space="preserve">ārtību kādā sadedzināšanas iekārtas operatoram jāsaņem piesārņojošās darbības atļauja un </w:t>
            </w:r>
            <w:r w:rsidR="003E3BAC" w:rsidRPr="00A92A45">
              <w:rPr>
                <w:rFonts w:eastAsia="Times New Roman"/>
                <w:lang w:eastAsia="lv-LV"/>
              </w:rPr>
              <w:t>kādi nosacījumi tajā jā</w:t>
            </w:r>
            <w:r w:rsidR="004D5E2E" w:rsidRPr="00A92A45">
              <w:rPr>
                <w:rFonts w:eastAsia="Times New Roman"/>
                <w:lang w:eastAsia="lv-LV"/>
              </w:rPr>
              <w:t>iekļauj</w:t>
            </w:r>
            <w:r w:rsidR="000A1681">
              <w:rPr>
                <w:rFonts w:eastAsia="Times New Roman"/>
                <w:lang w:eastAsia="lv-LV"/>
              </w:rPr>
              <w:t xml:space="preserve">, tai skaitā </w:t>
            </w:r>
            <w:r w:rsidR="00D2118C">
              <w:rPr>
                <w:rFonts w:eastAsia="Times New Roman"/>
                <w:lang w:eastAsia="lv-LV"/>
              </w:rPr>
              <w:t xml:space="preserve">informācija un </w:t>
            </w:r>
            <w:r w:rsidR="000A1681">
              <w:rPr>
                <w:rFonts w:eastAsia="Times New Roman"/>
                <w:lang w:eastAsia="lv-LV"/>
              </w:rPr>
              <w:t>pasākumi, kas saistīti ar iekārtas darbības uzsākšanu un darbības apturēšanu</w:t>
            </w:r>
            <w:r w:rsidR="00041192" w:rsidRPr="00A92A45">
              <w:rPr>
                <w:rFonts w:eastAsia="Times New Roman"/>
                <w:lang w:eastAsia="lv-LV"/>
              </w:rPr>
              <w:t>;</w:t>
            </w:r>
          </w:p>
          <w:p w:rsidR="00682B21" w:rsidRPr="00A92A45" w:rsidRDefault="00682B21" w:rsidP="00F131A4">
            <w:pPr>
              <w:spacing w:beforeLines="50" w:afterLines="50" w:line="240" w:lineRule="auto"/>
              <w:ind w:firstLine="397"/>
              <w:jc w:val="both"/>
              <w:rPr>
                <w:rFonts w:eastAsia="Times New Roman"/>
                <w:lang w:eastAsia="lv-LV"/>
              </w:rPr>
            </w:pPr>
            <w:r w:rsidRPr="00A92A45">
              <w:rPr>
                <w:rFonts w:eastAsia="Times New Roman"/>
                <w:lang w:eastAsia="lv-LV"/>
              </w:rPr>
              <w:t xml:space="preserve">4) </w:t>
            </w:r>
            <w:r w:rsidR="00041192" w:rsidRPr="00A92A45">
              <w:rPr>
                <w:rFonts w:eastAsia="Times New Roman"/>
                <w:lang w:eastAsia="lv-LV"/>
              </w:rPr>
              <w:t>kārtību, kādā tiek veikta šo iekārtu darbības kontrole, veikts monitorings un novērtēta to atbilstība noteiktajām robežvērtībām;</w:t>
            </w:r>
          </w:p>
          <w:p w:rsidR="006A0F7C" w:rsidRPr="00A92A45" w:rsidRDefault="0021034A" w:rsidP="009D4100">
            <w:pPr>
              <w:spacing w:before="120" w:after="0" w:line="240" w:lineRule="auto"/>
              <w:ind w:firstLine="397"/>
              <w:jc w:val="both"/>
              <w:rPr>
                <w:rFonts w:eastAsia="Times New Roman"/>
                <w:lang w:eastAsia="lv-LV"/>
              </w:rPr>
            </w:pPr>
            <w:r w:rsidRPr="00A92A45">
              <w:rPr>
                <w:rFonts w:eastAsia="Times New Roman"/>
                <w:lang w:eastAsia="lv-LV"/>
              </w:rPr>
              <w:t>5</w:t>
            </w:r>
            <w:r w:rsidR="00682B21" w:rsidRPr="00A92A45">
              <w:rPr>
                <w:rFonts w:eastAsia="Times New Roman"/>
                <w:lang w:eastAsia="lv-LV"/>
              </w:rPr>
              <w:t xml:space="preserve">) </w:t>
            </w:r>
            <w:r w:rsidR="00041192" w:rsidRPr="00A92A45">
              <w:rPr>
                <w:rFonts w:eastAsia="Times New Roman"/>
                <w:lang w:eastAsia="lv-LV"/>
              </w:rPr>
              <w:t>atbildīgās institūcijas, kas sagatavo un sniedz informāciju par šo noteikumu prasību izpildi gan sabiedrībai, gan Eiropas Komisijai.</w:t>
            </w:r>
          </w:p>
          <w:p w:rsidR="009D4100" w:rsidRPr="00A92A45" w:rsidRDefault="009D4100" w:rsidP="009D4100">
            <w:pPr>
              <w:spacing w:after="0" w:line="240" w:lineRule="auto"/>
              <w:ind w:firstLine="397"/>
              <w:jc w:val="both"/>
              <w:rPr>
                <w:rFonts w:eastAsia="Times New Roman"/>
                <w:lang w:eastAsia="lv-LV"/>
              </w:rPr>
            </w:pPr>
          </w:p>
          <w:p w:rsidR="006A0F7C" w:rsidRPr="00A92A45" w:rsidRDefault="006319DA" w:rsidP="009D4100">
            <w:pPr>
              <w:spacing w:after="0" w:line="240" w:lineRule="auto"/>
              <w:ind w:firstLine="397"/>
              <w:jc w:val="both"/>
              <w:rPr>
                <w:rFonts w:eastAsia="Times New Roman"/>
                <w:lang w:eastAsia="lv-LV"/>
              </w:rPr>
            </w:pPr>
            <w:r w:rsidRPr="00A92A45">
              <w:rPr>
                <w:rFonts w:eastAsia="Times New Roman"/>
                <w:lang w:eastAsia="lv-LV"/>
              </w:rPr>
              <w:t xml:space="preserve">Salīdzinājumā ar MK noteikumos Nr.379 </w:t>
            </w:r>
            <w:r w:rsidR="006A0F7C" w:rsidRPr="00A92A45">
              <w:rPr>
                <w:rFonts w:eastAsia="Times New Roman"/>
                <w:lang w:eastAsia="lv-LV"/>
              </w:rPr>
              <w:t>iekļaut</w:t>
            </w:r>
            <w:r w:rsidRPr="00A92A45">
              <w:rPr>
                <w:rFonts w:eastAsia="Times New Roman"/>
                <w:lang w:eastAsia="lv-LV"/>
              </w:rPr>
              <w:t>ajām</w:t>
            </w:r>
            <w:r w:rsidR="006A0F7C" w:rsidRPr="00A92A45">
              <w:rPr>
                <w:rFonts w:eastAsia="Times New Roman"/>
                <w:lang w:eastAsia="lv-LV"/>
              </w:rPr>
              <w:t xml:space="preserve"> norm</w:t>
            </w:r>
            <w:r w:rsidRPr="00A92A45">
              <w:rPr>
                <w:rFonts w:eastAsia="Times New Roman"/>
                <w:lang w:eastAsia="lv-LV"/>
              </w:rPr>
              <w:t>ām</w:t>
            </w:r>
            <w:r w:rsidR="006A0F7C" w:rsidRPr="00A92A45">
              <w:rPr>
                <w:rFonts w:eastAsia="Times New Roman"/>
                <w:lang w:eastAsia="lv-LV"/>
              </w:rPr>
              <w:t xml:space="preserve"> šajā noteikumu projektā:</w:t>
            </w:r>
          </w:p>
          <w:p w:rsidR="006A0F7C" w:rsidRPr="00A92A45" w:rsidRDefault="006A0F7C" w:rsidP="006A0F7C">
            <w:pPr>
              <w:spacing w:before="75" w:after="75" w:line="240" w:lineRule="auto"/>
              <w:ind w:firstLine="397"/>
              <w:jc w:val="both"/>
              <w:rPr>
                <w:rFonts w:eastAsia="Times New Roman"/>
                <w:lang w:eastAsia="lv-LV"/>
              </w:rPr>
            </w:pPr>
            <w:r w:rsidRPr="00A92A45">
              <w:rPr>
                <w:rFonts w:eastAsia="Times New Roman"/>
                <w:lang w:eastAsia="lv-LV"/>
              </w:rPr>
              <w:t>- atsevišķi sniegts noteikumu projektā lietoto terminu skaidrojums, kā arī iekļauti jauni termini atbilstoši Direktīvā 2010/75/ES noteiktajam (</w:t>
            </w:r>
            <w:r w:rsidR="003874E1" w:rsidRPr="00A92A45">
              <w:rPr>
                <w:rFonts w:eastAsia="Times New Roman"/>
                <w:lang w:eastAsia="lv-LV"/>
              </w:rPr>
              <w:t xml:space="preserve">noteikumu projekta </w:t>
            </w:r>
            <w:r w:rsidRPr="00A92A45">
              <w:rPr>
                <w:rFonts w:eastAsia="Times New Roman"/>
                <w:lang w:eastAsia="lv-LV"/>
              </w:rPr>
              <w:t>2.2., 2.3., 2.</w:t>
            </w:r>
            <w:r w:rsidR="00A23BFC">
              <w:rPr>
                <w:rFonts w:eastAsia="Times New Roman"/>
                <w:lang w:eastAsia="lv-LV"/>
              </w:rPr>
              <w:t>5</w:t>
            </w:r>
            <w:r w:rsidRPr="00A92A45">
              <w:rPr>
                <w:rFonts w:eastAsia="Times New Roman"/>
                <w:lang w:eastAsia="lv-LV"/>
              </w:rPr>
              <w:t>.</w:t>
            </w:r>
            <w:r w:rsidR="00A23BFC">
              <w:rPr>
                <w:rFonts w:eastAsia="Times New Roman"/>
                <w:lang w:eastAsia="lv-LV"/>
              </w:rPr>
              <w:t>,</w:t>
            </w:r>
            <w:r w:rsidR="00D2118C">
              <w:rPr>
                <w:rFonts w:eastAsia="Times New Roman"/>
                <w:lang w:eastAsia="lv-LV"/>
              </w:rPr>
              <w:t xml:space="preserve"> </w:t>
            </w:r>
            <w:r w:rsidRPr="00A92A45">
              <w:rPr>
                <w:rFonts w:eastAsia="Times New Roman"/>
                <w:lang w:eastAsia="lv-LV"/>
              </w:rPr>
              <w:t>2.</w:t>
            </w:r>
            <w:r w:rsidR="00A23BFC" w:rsidRPr="00A92A45">
              <w:rPr>
                <w:rFonts w:eastAsia="Times New Roman"/>
                <w:lang w:eastAsia="lv-LV"/>
              </w:rPr>
              <w:t>1</w:t>
            </w:r>
            <w:r w:rsidR="00A23BFC">
              <w:rPr>
                <w:rFonts w:eastAsia="Times New Roman"/>
                <w:lang w:eastAsia="lv-LV"/>
              </w:rPr>
              <w:t>0</w:t>
            </w:r>
            <w:r w:rsidRPr="00A92A45">
              <w:rPr>
                <w:rFonts w:eastAsia="Times New Roman"/>
                <w:lang w:eastAsia="lv-LV"/>
              </w:rPr>
              <w:t>.</w:t>
            </w:r>
            <w:r w:rsidR="00A23BFC">
              <w:rPr>
                <w:rFonts w:eastAsia="Times New Roman"/>
                <w:lang w:eastAsia="lv-LV"/>
              </w:rPr>
              <w:t>, 2.12. un 2.13.</w:t>
            </w:r>
            <w:r w:rsidRPr="00A92A45">
              <w:rPr>
                <w:rFonts w:eastAsia="Times New Roman"/>
                <w:lang w:eastAsia="lv-LV"/>
              </w:rPr>
              <w:t>apakšpunkts);</w:t>
            </w:r>
          </w:p>
          <w:p w:rsidR="006A0F7C" w:rsidRPr="004B1470" w:rsidRDefault="006A0F7C" w:rsidP="006A0F7C">
            <w:pPr>
              <w:spacing w:before="75" w:after="75" w:line="240" w:lineRule="auto"/>
              <w:ind w:firstLine="397"/>
              <w:jc w:val="both"/>
              <w:rPr>
                <w:rFonts w:eastAsia="Times New Roman"/>
                <w:lang w:eastAsia="lv-LV"/>
              </w:rPr>
            </w:pPr>
            <w:r w:rsidRPr="00A92A45">
              <w:rPr>
                <w:rFonts w:eastAsia="Times New Roman"/>
                <w:lang w:eastAsia="lv-LV"/>
              </w:rPr>
              <w:t xml:space="preserve">- precizētas iepriekš </w:t>
            </w:r>
            <w:r w:rsidR="006319DA" w:rsidRPr="00A92A45">
              <w:rPr>
                <w:rFonts w:eastAsia="Times New Roman"/>
                <w:lang w:eastAsia="lv-LV"/>
              </w:rPr>
              <w:t xml:space="preserve">MK noteikumos Nr.379 </w:t>
            </w:r>
            <w:r w:rsidRPr="00A92A45">
              <w:rPr>
                <w:rFonts w:eastAsia="Times New Roman"/>
                <w:lang w:eastAsia="lv-LV"/>
              </w:rPr>
              <w:t>noteiktās prasības (</w:t>
            </w:r>
            <w:r w:rsidR="003874E1" w:rsidRPr="00A92A45">
              <w:rPr>
                <w:rFonts w:eastAsia="Times New Roman"/>
                <w:lang w:eastAsia="lv-LV"/>
              </w:rPr>
              <w:t xml:space="preserve">noteikumu </w:t>
            </w:r>
            <w:r w:rsidR="003874E1" w:rsidRPr="004B1470">
              <w:rPr>
                <w:rFonts w:eastAsia="Times New Roman"/>
                <w:lang w:eastAsia="lv-LV"/>
              </w:rPr>
              <w:t xml:space="preserve">projekta </w:t>
            </w:r>
            <w:r w:rsidR="006319DA" w:rsidRPr="004B1470">
              <w:rPr>
                <w:rFonts w:eastAsia="Times New Roman"/>
                <w:lang w:eastAsia="lv-LV"/>
              </w:rPr>
              <w:t>3</w:t>
            </w:r>
            <w:r w:rsidR="00EC67D9" w:rsidRPr="004B1470">
              <w:rPr>
                <w:rFonts w:eastAsia="Times New Roman"/>
                <w:lang w:eastAsia="lv-LV"/>
              </w:rPr>
              <w:t>.</w:t>
            </w:r>
            <w:r w:rsidR="006319DA" w:rsidRPr="004B1470">
              <w:rPr>
                <w:rFonts w:eastAsia="Times New Roman"/>
                <w:lang w:eastAsia="lv-LV"/>
              </w:rPr>
              <w:t xml:space="preserve">, 8., </w:t>
            </w:r>
            <w:r w:rsidR="004B1470" w:rsidRPr="004B1470">
              <w:rPr>
                <w:rFonts w:eastAsia="Times New Roman"/>
                <w:lang w:eastAsia="lv-LV"/>
              </w:rPr>
              <w:t>20</w:t>
            </w:r>
            <w:r w:rsidR="006319DA" w:rsidRPr="004B1470">
              <w:rPr>
                <w:rFonts w:eastAsia="Times New Roman"/>
                <w:lang w:eastAsia="lv-LV"/>
              </w:rPr>
              <w:t>.</w:t>
            </w:r>
            <w:r w:rsidR="003B35F3" w:rsidRPr="004B1470">
              <w:rPr>
                <w:rFonts w:eastAsia="Times New Roman"/>
                <w:lang w:eastAsia="lv-LV"/>
              </w:rPr>
              <w:t xml:space="preserve"> - </w:t>
            </w:r>
            <w:r w:rsidR="004B1470" w:rsidRPr="004B1470">
              <w:rPr>
                <w:rFonts w:eastAsia="Times New Roman"/>
                <w:lang w:eastAsia="lv-LV"/>
              </w:rPr>
              <w:t>26</w:t>
            </w:r>
            <w:r w:rsidR="006319DA" w:rsidRPr="004B1470">
              <w:rPr>
                <w:rFonts w:eastAsia="Times New Roman"/>
                <w:lang w:eastAsia="lv-LV"/>
              </w:rPr>
              <w:t xml:space="preserve">., </w:t>
            </w:r>
            <w:r w:rsidR="004B1470" w:rsidRPr="004B1470">
              <w:rPr>
                <w:rFonts w:eastAsia="Times New Roman"/>
                <w:lang w:eastAsia="lv-LV"/>
              </w:rPr>
              <w:t>32</w:t>
            </w:r>
            <w:r w:rsidR="006319DA" w:rsidRPr="004B1470">
              <w:rPr>
                <w:rFonts w:eastAsia="Times New Roman"/>
                <w:lang w:eastAsia="lv-LV"/>
              </w:rPr>
              <w:t xml:space="preserve">., </w:t>
            </w:r>
            <w:r w:rsidR="004B1470" w:rsidRPr="004B1470">
              <w:rPr>
                <w:rFonts w:eastAsia="Times New Roman"/>
                <w:lang w:eastAsia="lv-LV"/>
              </w:rPr>
              <w:t>33</w:t>
            </w:r>
            <w:r w:rsidR="005B5E2A" w:rsidRPr="004B1470">
              <w:rPr>
                <w:rFonts w:eastAsia="Times New Roman"/>
                <w:lang w:eastAsia="lv-LV"/>
              </w:rPr>
              <w:t xml:space="preserve">., </w:t>
            </w:r>
            <w:r w:rsidR="004B1470" w:rsidRPr="004B1470">
              <w:rPr>
                <w:rFonts w:eastAsia="Times New Roman"/>
                <w:lang w:eastAsia="lv-LV"/>
              </w:rPr>
              <w:t>58</w:t>
            </w:r>
            <w:r w:rsidR="006319DA" w:rsidRPr="004B1470">
              <w:rPr>
                <w:rFonts w:eastAsia="Times New Roman"/>
                <w:lang w:eastAsia="lv-LV"/>
              </w:rPr>
              <w:t xml:space="preserve">., </w:t>
            </w:r>
            <w:r w:rsidR="004B1470" w:rsidRPr="004B1470">
              <w:rPr>
                <w:rFonts w:eastAsia="Times New Roman"/>
                <w:lang w:eastAsia="lv-LV"/>
              </w:rPr>
              <w:t>59</w:t>
            </w:r>
            <w:r w:rsidR="006319DA" w:rsidRPr="004B1470">
              <w:rPr>
                <w:rFonts w:eastAsia="Times New Roman"/>
                <w:lang w:eastAsia="lv-LV"/>
              </w:rPr>
              <w:t xml:space="preserve">., </w:t>
            </w:r>
            <w:r w:rsidR="004B1470" w:rsidRPr="004B1470">
              <w:rPr>
                <w:rFonts w:eastAsia="Times New Roman"/>
                <w:lang w:eastAsia="lv-LV"/>
              </w:rPr>
              <w:t>64</w:t>
            </w:r>
            <w:r w:rsidR="006319DA" w:rsidRPr="004B1470">
              <w:rPr>
                <w:rFonts w:eastAsia="Times New Roman"/>
                <w:lang w:eastAsia="lv-LV"/>
              </w:rPr>
              <w:t xml:space="preserve">., </w:t>
            </w:r>
            <w:r w:rsidR="004B1470" w:rsidRPr="004B1470">
              <w:rPr>
                <w:rFonts w:eastAsia="Times New Roman"/>
                <w:lang w:eastAsia="lv-LV"/>
              </w:rPr>
              <w:t>65</w:t>
            </w:r>
            <w:r w:rsidR="006319DA" w:rsidRPr="004B1470">
              <w:rPr>
                <w:rFonts w:eastAsia="Times New Roman"/>
                <w:lang w:eastAsia="lv-LV"/>
              </w:rPr>
              <w:t xml:space="preserve">., </w:t>
            </w:r>
            <w:r w:rsidR="004B1470" w:rsidRPr="004B1470">
              <w:rPr>
                <w:rFonts w:eastAsia="Times New Roman"/>
                <w:lang w:eastAsia="lv-LV"/>
              </w:rPr>
              <w:t>66</w:t>
            </w:r>
            <w:r w:rsidR="006319DA" w:rsidRPr="004B1470">
              <w:rPr>
                <w:rFonts w:eastAsia="Times New Roman"/>
                <w:lang w:eastAsia="lv-LV"/>
              </w:rPr>
              <w:t>.</w:t>
            </w:r>
            <w:r w:rsidR="000C7A32" w:rsidRPr="004B1470">
              <w:rPr>
                <w:rFonts w:eastAsia="Times New Roman"/>
                <w:lang w:eastAsia="lv-LV"/>
              </w:rPr>
              <w:t xml:space="preserve">, </w:t>
            </w:r>
            <w:r w:rsidR="004B1470" w:rsidRPr="004B1470">
              <w:rPr>
                <w:rFonts w:eastAsia="Times New Roman"/>
                <w:lang w:eastAsia="lv-LV"/>
              </w:rPr>
              <w:t>72</w:t>
            </w:r>
            <w:r w:rsidR="000C7A32" w:rsidRPr="004B1470">
              <w:rPr>
                <w:rFonts w:eastAsia="Times New Roman"/>
                <w:lang w:eastAsia="lv-LV"/>
              </w:rPr>
              <w:t>.</w:t>
            </w:r>
            <w:r w:rsidR="00EC67D9" w:rsidRPr="004B1470">
              <w:rPr>
                <w:rFonts w:eastAsia="Times New Roman"/>
                <w:lang w:eastAsia="lv-LV"/>
              </w:rPr>
              <w:t>punkts</w:t>
            </w:r>
            <w:r w:rsidR="003874E1" w:rsidRPr="004B1470">
              <w:rPr>
                <w:rFonts w:eastAsia="Times New Roman"/>
                <w:lang w:eastAsia="lv-LV"/>
              </w:rPr>
              <w:t xml:space="preserve"> un </w:t>
            </w:r>
            <w:r w:rsidR="00BD5065" w:rsidRPr="004B1470">
              <w:rPr>
                <w:rFonts w:eastAsia="Times New Roman"/>
                <w:lang w:eastAsia="lv-LV"/>
              </w:rPr>
              <w:t>6</w:t>
            </w:r>
            <w:r w:rsidR="003874E1" w:rsidRPr="004B1470">
              <w:rPr>
                <w:rFonts w:eastAsia="Times New Roman"/>
                <w:lang w:eastAsia="lv-LV"/>
              </w:rPr>
              <w:t>.pielikums</w:t>
            </w:r>
            <w:r w:rsidRPr="004B1470">
              <w:rPr>
                <w:rFonts w:eastAsia="Times New Roman"/>
                <w:lang w:eastAsia="lv-LV"/>
              </w:rPr>
              <w:t>);</w:t>
            </w:r>
          </w:p>
          <w:p w:rsidR="00E03DCE" w:rsidRPr="004B1470" w:rsidRDefault="006A0F7C" w:rsidP="000A616E">
            <w:pPr>
              <w:spacing w:after="0" w:line="240" w:lineRule="auto"/>
              <w:ind w:firstLine="397"/>
              <w:jc w:val="both"/>
              <w:rPr>
                <w:rFonts w:eastAsia="Times New Roman"/>
                <w:lang w:eastAsia="lv-LV"/>
              </w:rPr>
            </w:pPr>
            <w:r w:rsidRPr="004B1470">
              <w:rPr>
                <w:rFonts w:eastAsia="Times New Roman"/>
                <w:lang w:eastAsia="lv-LV"/>
              </w:rPr>
              <w:t xml:space="preserve"> - noteiktas jaunas normas (</w:t>
            </w:r>
            <w:r w:rsidR="003874E1" w:rsidRPr="004B1470">
              <w:rPr>
                <w:rFonts w:eastAsia="Times New Roman"/>
                <w:lang w:eastAsia="lv-LV"/>
              </w:rPr>
              <w:t>noteikumu projekta</w:t>
            </w:r>
            <w:r w:rsidR="003B35F3" w:rsidRPr="004B1470">
              <w:rPr>
                <w:rFonts w:eastAsia="Times New Roman"/>
                <w:lang w:eastAsia="lv-LV"/>
              </w:rPr>
              <w:t xml:space="preserve"> 4.-7., 9.-</w:t>
            </w:r>
            <w:r w:rsidR="000A616E" w:rsidRPr="004B1470">
              <w:rPr>
                <w:rFonts w:eastAsia="Times New Roman"/>
                <w:lang w:eastAsia="lv-LV"/>
              </w:rPr>
              <w:t>14</w:t>
            </w:r>
            <w:r w:rsidR="003B35F3" w:rsidRPr="004B1470">
              <w:rPr>
                <w:rFonts w:eastAsia="Times New Roman"/>
                <w:lang w:eastAsia="lv-LV"/>
              </w:rPr>
              <w:t xml:space="preserve">., </w:t>
            </w:r>
            <w:r w:rsidR="004B1470" w:rsidRPr="004B1470">
              <w:rPr>
                <w:rFonts w:eastAsia="Times New Roman"/>
                <w:lang w:eastAsia="lv-LV"/>
              </w:rPr>
              <w:t>27</w:t>
            </w:r>
            <w:r w:rsidR="003B35F3" w:rsidRPr="004B1470">
              <w:rPr>
                <w:rFonts w:eastAsia="Times New Roman"/>
                <w:lang w:eastAsia="lv-LV"/>
              </w:rPr>
              <w:t>.,</w:t>
            </w:r>
            <w:r w:rsidR="00D2118C" w:rsidRPr="004B1470">
              <w:rPr>
                <w:rFonts w:eastAsia="Times New Roman"/>
                <w:lang w:eastAsia="lv-LV"/>
              </w:rPr>
              <w:t xml:space="preserve"> </w:t>
            </w:r>
            <w:r w:rsidR="004B1470" w:rsidRPr="004B1470">
              <w:rPr>
                <w:rFonts w:eastAsia="Times New Roman"/>
                <w:lang w:eastAsia="lv-LV"/>
              </w:rPr>
              <w:t>28</w:t>
            </w:r>
            <w:r w:rsidR="003D7532" w:rsidRPr="004B1470">
              <w:rPr>
                <w:rFonts w:eastAsia="Times New Roman"/>
                <w:lang w:eastAsia="lv-LV"/>
              </w:rPr>
              <w:t>.,</w:t>
            </w:r>
            <w:r w:rsidR="003B35F3" w:rsidRPr="004B1470">
              <w:rPr>
                <w:rFonts w:eastAsia="Times New Roman"/>
                <w:lang w:eastAsia="lv-LV"/>
              </w:rPr>
              <w:t xml:space="preserve"> </w:t>
            </w:r>
            <w:r w:rsidR="004B1470" w:rsidRPr="004B1470">
              <w:rPr>
                <w:rFonts w:eastAsia="Times New Roman"/>
                <w:lang w:eastAsia="lv-LV"/>
              </w:rPr>
              <w:t>29</w:t>
            </w:r>
            <w:r w:rsidR="003B35F3" w:rsidRPr="004B1470">
              <w:rPr>
                <w:rFonts w:eastAsia="Times New Roman"/>
                <w:lang w:eastAsia="lv-LV"/>
              </w:rPr>
              <w:t>.,</w:t>
            </w:r>
            <w:r w:rsidR="000A616E" w:rsidRPr="004B1470">
              <w:rPr>
                <w:rFonts w:eastAsia="Times New Roman"/>
                <w:lang w:eastAsia="lv-LV"/>
              </w:rPr>
              <w:t xml:space="preserve"> </w:t>
            </w:r>
            <w:r w:rsidR="004B1470" w:rsidRPr="004B1470">
              <w:rPr>
                <w:rFonts w:eastAsia="Times New Roman"/>
                <w:lang w:eastAsia="lv-LV"/>
              </w:rPr>
              <w:t>30</w:t>
            </w:r>
            <w:r w:rsidR="00D2118C" w:rsidRPr="004B1470">
              <w:rPr>
                <w:rFonts w:eastAsia="Times New Roman"/>
                <w:lang w:eastAsia="lv-LV"/>
              </w:rPr>
              <w:t>.</w:t>
            </w:r>
            <w:r w:rsidR="000A616E" w:rsidRPr="004B1470">
              <w:rPr>
                <w:rFonts w:eastAsia="Times New Roman"/>
                <w:lang w:eastAsia="lv-LV"/>
              </w:rPr>
              <w:t>,</w:t>
            </w:r>
            <w:r w:rsidR="003B35F3" w:rsidRPr="004B1470">
              <w:rPr>
                <w:rFonts w:eastAsia="Times New Roman"/>
                <w:lang w:eastAsia="lv-LV"/>
              </w:rPr>
              <w:t xml:space="preserve"> </w:t>
            </w:r>
            <w:r w:rsidR="004B1470" w:rsidRPr="004B1470">
              <w:rPr>
                <w:rFonts w:eastAsia="Times New Roman"/>
                <w:lang w:eastAsia="lv-LV"/>
              </w:rPr>
              <w:t>31</w:t>
            </w:r>
            <w:r w:rsidR="003B35F3" w:rsidRPr="004B1470">
              <w:rPr>
                <w:rFonts w:eastAsia="Times New Roman"/>
                <w:lang w:eastAsia="lv-LV"/>
              </w:rPr>
              <w:t>.,</w:t>
            </w:r>
            <w:r w:rsidR="000A616E" w:rsidRPr="004B1470">
              <w:rPr>
                <w:rFonts w:eastAsia="Times New Roman"/>
                <w:lang w:eastAsia="lv-LV"/>
              </w:rPr>
              <w:t xml:space="preserve"> </w:t>
            </w:r>
            <w:r w:rsidR="004B1470" w:rsidRPr="004B1470">
              <w:rPr>
                <w:rFonts w:eastAsia="Times New Roman"/>
                <w:lang w:eastAsia="lv-LV"/>
              </w:rPr>
              <w:t>34</w:t>
            </w:r>
            <w:r w:rsidR="00D2118C" w:rsidRPr="004B1470">
              <w:rPr>
                <w:rFonts w:eastAsia="Times New Roman"/>
                <w:lang w:eastAsia="lv-LV"/>
              </w:rPr>
              <w:t>.</w:t>
            </w:r>
            <w:r w:rsidR="000A616E" w:rsidRPr="004B1470">
              <w:rPr>
                <w:rFonts w:eastAsia="Times New Roman"/>
                <w:lang w:eastAsia="lv-LV"/>
              </w:rPr>
              <w:t xml:space="preserve">, </w:t>
            </w:r>
            <w:r w:rsidR="004B1470" w:rsidRPr="004B1470">
              <w:rPr>
                <w:rFonts w:eastAsia="Times New Roman"/>
                <w:lang w:eastAsia="lv-LV"/>
              </w:rPr>
              <w:t>35</w:t>
            </w:r>
            <w:r w:rsidR="00D2118C" w:rsidRPr="004B1470">
              <w:rPr>
                <w:rFonts w:eastAsia="Times New Roman"/>
                <w:lang w:eastAsia="lv-LV"/>
              </w:rPr>
              <w:t>.</w:t>
            </w:r>
            <w:r w:rsidR="000A616E" w:rsidRPr="004B1470">
              <w:rPr>
                <w:rFonts w:eastAsia="Times New Roman"/>
                <w:lang w:eastAsia="lv-LV"/>
              </w:rPr>
              <w:t>,</w:t>
            </w:r>
            <w:r w:rsidR="003B35F3" w:rsidRPr="004B1470">
              <w:rPr>
                <w:rFonts w:eastAsia="Times New Roman"/>
                <w:lang w:eastAsia="lv-LV"/>
              </w:rPr>
              <w:t xml:space="preserve"> </w:t>
            </w:r>
            <w:r w:rsidR="004B1470" w:rsidRPr="004B1470">
              <w:rPr>
                <w:rFonts w:eastAsia="Times New Roman"/>
                <w:lang w:eastAsia="lv-LV"/>
              </w:rPr>
              <w:t>39</w:t>
            </w:r>
            <w:r w:rsidR="00BD5065" w:rsidRPr="004B1470">
              <w:rPr>
                <w:rFonts w:eastAsia="Times New Roman"/>
                <w:lang w:eastAsia="lv-LV"/>
              </w:rPr>
              <w:t>.-</w:t>
            </w:r>
            <w:r w:rsidR="004B1470" w:rsidRPr="004B1470">
              <w:rPr>
                <w:rFonts w:eastAsia="Times New Roman"/>
                <w:lang w:eastAsia="lv-LV"/>
              </w:rPr>
              <w:t>54</w:t>
            </w:r>
            <w:r w:rsidR="00BD5065" w:rsidRPr="004B1470">
              <w:rPr>
                <w:rFonts w:eastAsia="Times New Roman"/>
                <w:lang w:eastAsia="lv-LV"/>
              </w:rPr>
              <w:t>.,</w:t>
            </w:r>
            <w:r w:rsidR="009D5229" w:rsidRPr="004B1470">
              <w:rPr>
                <w:rFonts w:eastAsia="Times New Roman"/>
                <w:lang w:eastAsia="lv-LV"/>
              </w:rPr>
              <w:t xml:space="preserve"> </w:t>
            </w:r>
            <w:r w:rsidR="004B1470" w:rsidRPr="004B1470">
              <w:rPr>
                <w:rFonts w:eastAsia="Times New Roman"/>
                <w:lang w:eastAsia="lv-LV"/>
              </w:rPr>
              <w:t>60</w:t>
            </w:r>
            <w:r w:rsidR="003B35F3" w:rsidRPr="004B1470">
              <w:rPr>
                <w:rFonts w:eastAsia="Times New Roman"/>
                <w:lang w:eastAsia="lv-LV"/>
              </w:rPr>
              <w:t xml:space="preserve">., </w:t>
            </w:r>
            <w:r w:rsidR="004B1470" w:rsidRPr="004B1470">
              <w:rPr>
                <w:rFonts w:eastAsia="Times New Roman"/>
                <w:lang w:eastAsia="lv-LV"/>
              </w:rPr>
              <w:t>75</w:t>
            </w:r>
            <w:r w:rsidR="003B35F3" w:rsidRPr="004B1470">
              <w:rPr>
                <w:rFonts w:eastAsia="Times New Roman"/>
                <w:lang w:eastAsia="lv-LV"/>
              </w:rPr>
              <w:t>.</w:t>
            </w:r>
            <w:r w:rsidR="009D5229" w:rsidRPr="004B1470">
              <w:rPr>
                <w:rFonts w:eastAsia="Times New Roman"/>
                <w:lang w:eastAsia="lv-LV"/>
              </w:rPr>
              <w:t xml:space="preserve">punkts, </w:t>
            </w:r>
            <w:r w:rsidR="003874E1" w:rsidRPr="004B1470">
              <w:rPr>
                <w:rFonts w:eastAsia="Times New Roman"/>
                <w:lang w:eastAsia="lv-LV"/>
              </w:rPr>
              <w:t>kā arī 2.</w:t>
            </w:r>
            <w:r w:rsidR="009D5229" w:rsidRPr="004B1470">
              <w:rPr>
                <w:rFonts w:eastAsia="Times New Roman"/>
                <w:lang w:eastAsia="lv-LV"/>
              </w:rPr>
              <w:t xml:space="preserve"> un</w:t>
            </w:r>
            <w:r w:rsidR="003874E1" w:rsidRPr="004B1470">
              <w:rPr>
                <w:rFonts w:eastAsia="Times New Roman"/>
                <w:lang w:eastAsia="lv-LV"/>
              </w:rPr>
              <w:t xml:space="preserve"> 3</w:t>
            </w:r>
            <w:r w:rsidR="009D5229" w:rsidRPr="004B1470">
              <w:rPr>
                <w:rFonts w:eastAsia="Times New Roman"/>
                <w:lang w:eastAsia="lv-LV"/>
              </w:rPr>
              <w:t>.</w:t>
            </w:r>
            <w:r w:rsidR="003874E1" w:rsidRPr="004B1470">
              <w:rPr>
                <w:rFonts w:eastAsia="Times New Roman"/>
                <w:lang w:eastAsia="lv-LV"/>
              </w:rPr>
              <w:t>pielikums</w:t>
            </w:r>
            <w:r w:rsidRPr="004B1470">
              <w:rPr>
                <w:rFonts w:eastAsia="Times New Roman"/>
                <w:lang w:eastAsia="lv-LV"/>
              </w:rPr>
              <w:t>).</w:t>
            </w:r>
          </w:p>
          <w:p w:rsidR="00847606" w:rsidRDefault="00847606" w:rsidP="000A616E">
            <w:pPr>
              <w:spacing w:after="0" w:line="240" w:lineRule="auto"/>
              <w:ind w:firstLine="397"/>
              <w:jc w:val="both"/>
              <w:rPr>
                <w:rFonts w:eastAsia="Times New Roman"/>
                <w:lang w:eastAsia="lv-LV"/>
              </w:rPr>
            </w:pPr>
          </w:p>
          <w:p w:rsidR="00847606" w:rsidRPr="00A92A45" w:rsidRDefault="00847606" w:rsidP="00847606">
            <w:pPr>
              <w:spacing w:after="0" w:line="240" w:lineRule="auto"/>
              <w:ind w:firstLine="397"/>
              <w:jc w:val="both"/>
              <w:rPr>
                <w:rFonts w:eastAsia="Times New Roman"/>
                <w:lang w:eastAsia="lv-LV"/>
              </w:rPr>
            </w:pPr>
            <w:r w:rsidRPr="00A92A45">
              <w:rPr>
                <w:rFonts w:eastAsia="Times New Roman"/>
                <w:lang w:eastAsia="lv-LV"/>
              </w:rPr>
              <w:t>Salīdzinājumā ar MK noteikumiem Nr.379 noteikumu projektā iekļautas šādas jaunas prasības:</w:t>
            </w:r>
          </w:p>
          <w:p w:rsidR="00847606" w:rsidRPr="00A92A45" w:rsidRDefault="00847606" w:rsidP="00F131A4">
            <w:pPr>
              <w:spacing w:beforeLines="50" w:afterLines="50" w:line="240" w:lineRule="auto"/>
              <w:ind w:firstLine="397"/>
              <w:jc w:val="both"/>
            </w:pPr>
            <w:r w:rsidRPr="00A92A45">
              <w:rPr>
                <w:rFonts w:eastAsia="Times New Roman"/>
                <w:lang w:eastAsia="lv-LV"/>
              </w:rPr>
              <w:t>- noteikumu projekts paredz, ka esošajām iekārtām</w:t>
            </w:r>
            <w:r w:rsidRPr="00A92A45">
              <w:t xml:space="preserve"> (darbību jau ir uzsākušas vai vēl uzsāks līdz 2014.gada 7.janvārim un ir saņemta attiecīgā atļauja vai iesniegts iesniegums atļaujas saņemšanai)</w:t>
            </w:r>
            <w:r w:rsidRPr="00A92A45">
              <w:rPr>
                <w:rFonts w:eastAsia="Times New Roman"/>
                <w:lang w:eastAsia="lv-LV"/>
              </w:rPr>
              <w:t xml:space="preserve"> pēc 2016.gada tiks piemērotas stingrākas prasības attiecībā uz atļauto gaisu piesārņojošo vielu emisiju, bet jaunajām iekārtām (</w:t>
            </w:r>
            <w:r w:rsidRPr="00A92A45">
              <w:t>darbību uzsāks pēc 2014.gada 7.janvāra) stingrākas prasības būs jāpiemēro jau ar</w:t>
            </w:r>
            <w:r w:rsidR="001A1BF7">
              <w:t xml:space="preserve"> brīdi, kad šie</w:t>
            </w:r>
            <w:r w:rsidRPr="00A92A45">
              <w:t xml:space="preserve"> noteikumu stā</w:t>
            </w:r>
            <w:r w:rsidR="001A1BF7">
              <w:t>sies spēkā</w:t>
            </w:r>
            <w:r w:rsidRPr="00A92A45">
              <w:t>;</w:t>
            </w:r>
          </w:p>
          <w:p w:rsidR="00847606" w:rsidRPr="00F131A4" w:rsidRDefault="00847606" w:rsidP="00F131A4">
            <w:pPr>
              <w:spacing w:beforeLines="50" w:afterLines="50" w:line="240" w:lineRule="auto"/>
              <w:ind w:firstLine="397"/>
              <w:jc w:val="both"/>
              <w:rPr>
                <w:rFonts w:eastAsia="Times New Roman"/>
                <w:lang w:eastAsia="lv-LV"/>
              </w:rPr>
            </w:pPr>
            <w:r w:rsidRPr="00A92A45">
              <w:rPr>
                <w:rFonts w:eastAsia="Times New Roman"/>
                <w:lang w:eastAsia="lv-LV"/>
              </w:rPr>
              <w:t xml:space="preserve">- esošās iekārtas, kuras darbosies ierobežotu darbības stundu skaitu, izpildot noteiktus nosacījumus, uz noteiktu laiku varēs saņemt atbrīvojumu no stingrāko emisijas robežvērtību piemērošanas. </w:t>
            </w:r>
            <w:r w:rsidRPr="00F131A4">
              <w:rPr>
                <w:rFonts w:eastAsia="Times New Roman"/>
                <w:lang w:eastAsia="lv-LV"/>
              </w:rPr>
              <w:t>Šādu atbrīvojumu uz noteiktu laiku varēs saņemt arī centralizētās siltumapgādes iekārtas ar nominālo ievadīto siltumjaudu līdz 200 MW, kuras atbildīs noteiktiem nosacījumiem;</w:t>
            </w:r>
          </w:p>
          <w:p w:rsidR="00CF6C38" w:rsidRPr="00F131A4" w:rsidRDefault="00CF6C38" w:rsidP="00CF6C38">
            <w:pPr>
              <w:spacing w:before="120" w:after="0" w:line="240" w:lineRule="auto"/>
              <w:ind w:firstLine="397"/>
              <w:jc w:val="both"/>
            </w:pPr>
            <w:r w:rsidRPr="00F131A4">
              <w:rPr>
                <w:rFonts w:eastAsia="Times New Roman"/>
                <w:lang w:eastAsia="lv-LV"/>
              </w:rPr>
              <w:t xml:space="preserve">- precizēta kārtība, kādā operators var piemērot atkāpes no emisijas robežvērtību piemērošanas gadījumos, </w:t>
            </w:r>
            <w:r w:rsidRPr="00F131A4">
              <w:t xml:space="preserve">ja operatoram </w:t>
            </w:r>
            <w:r w:rsidRPr="00F131A4">
              <w:lastRenderedPageBreak/>
              <w:t xml:space="preserve">iepriekš neparedzamu iemeslu dēļ ir pārtraukta atļaujā noteiktā kurināmā ar zemu sēra saturu piegāde vai, ja iepriekš neparedzamu iemeslu dēļ notikusi avārija gāzveida kurināmā piegādātāja vai operatora iekārtā. </w:t>
            </w:r>
          </w:p>
          <w:p w:rsidR="00CF6C38" w:rsidRPr="00F131A4" w:rsidRDefault="00CF6C38" w:rsidP="00CF6C38">
            <w:pPr>
              <w:spacing w:before="120" w:after="0" w:line="240" w:lineRule="auto"/>
              <w:ind w:firstLine="397"/>
              <w:jc w:val="both"/>
            </w:pPr>
            <w:r w:rsidRPr="00F131A4">
              <w:t xml:space="preserve">Noteikumu projekts precizē, ka operators, kurš šādu atkāpi būs izmantojis nepamatoti var tikt saukts pie atbildības atbilstoši administratīvo pārkāpumu kodeksa </w:t>
            </w:r>
            <w:r w:rsidRPr="00F131A4">
              <w:rPr>
                <w:bCs/>
              </w:rPr>
              <w:t>59.pantam par piesārņojošo vielu emisiju gaisā, pārsniedzot atļaujā noteiktos emisijas limitus</w:t>
            </w:r>
            <w:r w:rsidRPr="00F131A4">
              <w:t xml:space="preserve"> un </w:t>
            </w:r>
            <w:r w:rsidRPr="00F131A4">
              <w:rPr>
                <w:bCs/>
              </w:rPr>
              <w:t>84.pantam par vides informācijas slēpšanu vai sagrozīšanu, bet, ja šādā gadījumā tiks nodarīts būtisks kaitējums dabas videi, iedzīvotāju veselībai, mantiskajām vai saimnieciskajām interesēm, tad pie kriminālatbildības atbilstoši krimināllikuma 103.pantam par atmosfēras gaisa piesārņošanu.</w:t>
            </w:r>
          </w:p>
          <w:p w:rsidR="00847606" w:rsidRPr="00A92A45" w:rsidRDefault="00847606" w:rsidP="00F131A4">
            <w:pPr>
              <w:spacing w:beforeLines="50" w:afterLines="50" w:line="240" w:lineRule="auto"/>
              <w:ind w:firstLine="397"/>
              <w:jc w:val="both"/>
              <w:rPr>
                <w:rFonts w:eastAsia="Times New Roman"/>
                <w:lang w:eastAsia="lv-LV"/>
              </w:rPr>
            </w:pPr>
            <w:r w:rsidRPr="00F131A4">
              <w:rPr>
                <w:rFonts w:eastAsia="Times New Roman"/>
                <w:lang w:eastAsia="lv-LV"/>
              </w:rPr>
              <w:t>- lielajām sadedzināšana iekārtām, kurās sadedzina akmeņogles vai brūnogles turpmāk</w:t>
            </w:r>
            <w:r w:rsidRPr="00A92A45">
              <w:rPr>
                <w:rFonts w:eastAsia="Times New Roman"/>
                <w:lang w:eastAsia="lv-LV"/>
              </w:rPr>
              <w:t xml:space="preserve"> reizi gadā būs jāveic arī dzīvsudraba koncentrācijas mērījumi, tādēļ iekļauta jauna metode dzīvsudraba koncentrācijas mērījumu veikšanai. Noteikumu projektā precizēta arī </w:t>
            </w:r>
            <w:proofErr w:type="spellStart"/>
            <w:r w:rsidRPr="00A92A45">
              <w:rPr>
                <w:rFonts w:eastAsia="Times New Roman"/>
                <w:lang w:eastAsia="lv-LV"/>
              </w:rPr>
              <w:t>standartmetode</w:t>
            </w:r>
            <w:proofErr w:type="spellEnd"/>
            <w:r w:rsidRPr="00A92A45">
              <w:rPr>
                <w:rFonts w:eastAsia="Times New Roman"/>
                <w:lang w:eastAsia="lv-LV"/>
              </w:rPr>
              <w:t>, kuru izmanto sēra dioksīda koncentrācijas mērījumiem;</w:t>
            </w:r>
          </w:p>
          <w:p w:rsidR="00847606" w:rsidRPr="00A92A45" w:rsidRDefault="00847606" w:rsidP="00847606">
            <w:pPr>
              <w:spacing w:before="120" w:after="0" w:line="240" w:lineRule="auto"/>
              <w:ind w:firstLine="397"/>
              <w:jc w:val="both"/>
              <w:rPr>
                <w:rFonts w:eastAsia="Times New Roman"/>
                <w:lang w:eastAsia="lv-LV"/>
              </w:rPr>
            </w:pPr>
            <w:r w:rsidRPr="00A92A45">
              <w:rPr>
                <w:rFonts w:eastAsia="Times New Roman"/>
                <w:lang w:eastAsia="lv-LV"/>
              </w:rPr>
              <w:t>- noteikumu projektā noteikts kādā veidā tiek aprēķināta kopējā nominālā ievadītā siltumjauda sadedzināšanas iekārtām, kas sastāv no vairākām apvienotām sadedzināšanas iekārtām;</w:t>
            </w:r>
          </w:p>
          <w:p w:rsidR="00847606" w:rsidRDefault="00847606" w:rsidP="00847606">
            <w:pPr>
              <w:spacing w:before="120" w:after="0" w:line="240" w:lineRule="auto"/>
              <w:ind w:firstLine="397"/>
              <w:jc w:val="both"/>
              <w:rPr>
                <w:rFonts w:eastAsia="Times New Roman"/>
                <w:lang w:eastAsia="lv-LV"/>
              </w:rPr>
            </w:pPr>
            <w:r w:rsidRPr="00A92A45">
              <w:rPr>
                <w:rFonts w:eastAsia="Times New Roman"/>
                <w:lang w:eastAsia="lv-LV"/>
              </w:rPr>
              <w:t>- noteikts, kādas emisijas robežvērtības jāpiemēro, ja tiek palielināta lielās sadedzināšanas iekārtas siltumjauda vai arī, ja tā tiek būtiski mainīta;</w:t>
            </w:r>
          </w:p>
          <w:p w:rsidR="00023227" w:rsidRPr="00A92A45" w:rsidRDefault="00023227" w:rsidP="00847606">
            <w:pPr>
              <w:spacing w:before="120" w:after="0" w:line="240" w:lineRule="auto"/>
              <w:ind w:firstLine="397"/>
              <w:jc w:val="both"/>
              <w:rPr>
                <w:rFonts w:eastAsia="Times New Roman"/>
                <w:lang w:eastAsia="lv-LV"/>
              </w:rPr>
            </w:pPr>
            <w:r>
              <w:rPr>
                <w:rFonts w:eastAsia="Times New Roman"/>
                <w:lang w:eastAsia="lv-LV"/>
              </w:rPr>
              <w:t xml:space="preserve">- paredzēts, ka </w:t>
            </w:r>
            <w:r w:rsidR="00132A78">
              <w:rPr>
                <w:rFonts w:eastAsia="Times New Roman"/>
                <w:lang w:eastAsia="lv-LV"/>
              </w:rPr>
              <w:t xml:space="preserve">operatoram izsniegtās piesārņojošās darbības </w:t>
            </w:r>
            <w:r>
              <w:rPr>
                <w:rFonts w:eastAsia="Times New Roman"/>
                <w:lang w:eastAsia="lv-LV"/>
              </w:rPr>
              <w:t>atļaujas nosacījumos turpmāk būs jāiekļauj arī informācija un pasākumi, kas saistīti ar iekārtas darbības uzsākšanu un apturēšanu, kā arī noteikts kādā kārtībā šie periodi jānosaka;</w:t>
            </w:r>
          </w:p>
          <w:p w:rsidR="00690AC6" w:rsidRPr="00A92A45" w:rsidRDefault="00847606" w:rsidP="00690AC6">
            <w:pPr>
              <w:spacing w:before="120" w:after="0" w:line="240" w:lineRule="auto"/>
              <w:ind w:firstLine="397"/>
              <w:jc w:val="both"/>
              <w:rPr>
                <w:rFonts w:eastAsia="Times New Roman"/>
                <w:lang w:eastAsia="lv-LV"/>
              </w:rPr>
            </w:pPr>
            <w:r w:rsidRPr="00A92A45">
              <w:rPr>
                <w:rFonts w:eastAsia="Times New Roman"/>
                <w:lang w:eastAsia="lv-LV"/>
              </w:rPr>
              <w:t>- precizēts, ka turpmāk nepārtraukto mērījumu rezultāti operatoram būs jāiesniedz reģionālajai vides pārvaldei tikai reizi gadā nevis katru ceturksni kā tas tika noteikts iepriekš;</w:t>
            </w:r>
          </w:p>
          <w:p w:rsidR="00847606" w:rsidRPr="00BD64AD" w:rsidRDefault="00847606" w:rsidP="00847606">
            <w:pPr>
              <w:spacing w:before="120" w:after="0" w:line="240" w:lineRule="auto"/>
              <w:ind w:firstLine="397"/>
              <w:jc w:val="both"/>
              <w:rPr>
                <w:rFonts w:eastAsia="Times New Roman"/>
                <w:lang w:eastAsia="lv-LV"/>
              </w:rPr>
            </w:pPr>
            <w:r w:rsidRPr="00BD64AD">
              <w:rPr>
                <w:rFonts w:eastAsia="Times New Roman"/>
                <w:lang w:eastAsia="lv-LV"/>
              </w:rPr>
              <w:t>- paredzēt</w:t>
            </w:r>
            <w:r w:rsidR="00690AC6" w:rsidRPr="00BD64AD">
              <w:rPr>
                <w:rFonts w:eastAsia="Times New Roman"/>
                <w:lang w:eastAsia="lv-LV"/>
              </w:rPr>
              <w:t>a kārtība, kādā tiks iesniegta</w:t>
            </w:r>
            <w:r w:rsidRPr="00BD64AD">
              <w:rPr>
                <w:rFonts w:eastAsia="Times New Roman"/>
                <w:lang w:eastAsia="lv-LV"/>
              </w:rPr>
              <w:t xml:space="preserve"> Eiropas Komisijai</w:t>
            </w:r>
            <w:r w:rsidR="00690AC6" w:rsidRPr="00BD64AD">
              <w:rPr>
                <w:rFonts w:eastAsia="Times New Roman"/>
                <w:lang w:eastAsia="lv-LV"/>
              </w:rPr>
              <w:t xml:space="preserve"> nepieciešamā informācija</w:t>
            </w:r>
            <w:r w:rsidRPr="00BD64AD">
              <w:rPr>
                <w:rFonts w:eastAsia="Times New Roman"/>
                <w:lang w:eastAsia="lv-LV"/>
              </w:rPr>
              <w:t>.</w:t>
            </w:r>
          </w:p>
          <w:p w:rsidR="00847606" w:rsidRPr="00A92A45" w:rsidRDefault="00847606" w:rsidP="000A616E">
            <w:pPr>
              <w:spacing w:after="0" w:line="240" w:lineRule="auto"/>
              <w:ind w:firstLine="397"/>
              <w:jc w:val="both"/>
              <w:rPr>
                <w:rFonts w:eastAsia="Times New Roman"/>
                <w:lang w:eastAsia="lv-LV"/>
              </w:rPr>
            </w:pPr>
          </w:p>
        </w:tc>
      </w:tr>
      <w:tr w:rsidR="00B30CCA" w:rsidRPr="00A92A45" w:rsidTr="0025565F">
        <w:trPr>
          <w:trHeight w:val="476"/>
          <w:tblCellSpacing w:w="0" w:type="dxa"/>
        </w:trPr>
        <w:tc>
          <w:tcPr>
            <w:tcW w:w="290" w:type="pct"/>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lastRenderedPageBreak/>
              <w:t> 5.</w:t>
            </w:r>
          </w:p>
        </w:tc>
        <w:tc>
          <w:tcPr>
            <w:tcW w:w="1276" w:type="pct"/>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Projekta izstrādē iesaistītās institūcijas</w:t>
            </w:r>
          </w:p>
        </w:tc>
        <w:tc>
          <w:tcPr>
            <w:tcW w:w="3434" w:type="pct"/>
            <w:tcBorders>
              <w:top w:val="outset" w:sz="6" w:space="0" w:color="auto"/>
              <w:left w:val="outset" w:sz="6" w:space="0" w:color="auto"/>
              <w:bottom w:val="outset" w:sz="6" w:space="0" w:color="auto"/>
              <w:right w:val="outset" w:sz="6" w:space="0" w:color="auto"/>
            </w:tcBorders>
            <w:hideMark/>
          </w:tcPr>
          <w:p w:rsidR="006C2FDC" w:rsidRDefault="00B30CCA" w:rsidP="006C2FDC">
            <w:pPr>
              <w:spacing w:before="75" w:after="75" w:line="240" w:lineRule="auto"/>
              <w:rPr>
                <w:rFonts w:eastAsia="Times New Roman"/>
                <w:lang w:eastAsia="lv-LV"/>
              </w:rPr>
            </w:pPr>
            <w:r w:rsidRPr="00A92A45">
              <w:rPr>
                <w:rFonts w:eastAsia="Times New Roman"/>
                <w:lang w:eastAsia="lv-LV"/>
              </w:rPr>
              <w:t> </w:t>
            </w:r>
            <w:r w:rsidR="002821B7" w:rsidRPr="00A92A45">
              <w:rPr>
                <w:rFonts w:eastAsia="Times New Roman"/>
                <w:lang w:eastAsia="lv-LV"/>
              </w:rPr>
              <w:t>Valsts Vides dienests</w:t>
            </w:r>
            <w:r w:rsidR="00960DC4" w:rsidRPr="00A92A45">
              <w:rPr>
                <w:rFonts w:eastAsia="Times New Roman"/>
                <w:lang w:eastAsia="lv-LV"/>
              </w:rPr>
              <w:t>, valsts SIA „Latvijas Vides, ģeoloģijas un meteoroloģijas centrs”.</w:t>
            </w:r>
          </w:p>
          <w:p w:rsidR="00966A76" w:rsidRPr="00A92A45" w:rsidRDefault="00966A76" w:rsidP="006C2FDC">
            <w:pPr>
              <w:spacing w:before="75" w:after="75" w:line="240" w:lineRule="auto"/>
              <w:ind w:firstLine="127"/>
              <w:jc w:val="both"/>
              <w:rPr>
                <w:rFonts w:eastAsia="Times New Roman"/>
                <w:lang w:eastAsia="lv-LV"/>
              </w:rPr>
            </w:pPr>
            <w:r>
              <w:t xml:space="preserve">Tika rīkotas sanāksmes uzņēmējiem </w:t>
            </w:r>
            <w:r w:rsidRPr="00A92A45">
              <w:t>Direktīvā 2010/75/ES</w:t>
            </w:r>
            <w:r>
              <w:t xml:space="preserve"> izstrādes procesa laikā, kad tika gatavotas nacionālās pozīcijas (2008.gads), uzņēmējiem tika organizēta sanāksme viedokļa ieguvei pirms direktīvas normu pārņemšanas (2011.gada 6.oktobris).</w:t>
            </w:r>
          </w:p>
        </w:tc>
      </w:tr>
      <w:tr w:rsidR="00B30CCA" w:rsidRPr="00A92A45" w:rsidTr="0025565F">
        <w:trPr>
          <w:trHeight w:val="995"/>
          <w:tblCellSpacing w:w="0" w:type="dxa"/>
        </w:trPr>
        <w:tc>
          <w:tcPr>
            <w:tcW w:w="290" w:type="pct"/>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6.</w:t>
            </w:r>
          </w:p>
        </w:tc>
        <w:tc>
          <w:tcPr>
            <w:tcW w:w="1276" w:type="pct"/>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Iemesli, kādēļ netika nodrošināta sabiedrības līdzdalība</w:t>
            </w:r>
          </w:p>
        </w:tc>
        <w:tc>
          <w:tcPr>
            <w:tcW w:w="3434" w:type="pct"/>
            <w:tcBorders>
              <w:top w:val="outset" w:sz="6" w:space="0" w:color="auto"/>
              <w:left w:val="outset" w:sz="6" w:space="0" w:color="auto"/>
              <w:bottom w:val="outset" w:sz="6" w:space="0" w:color="auto"/>
              <w:right w:val="outset" w:sz="6" w:space="0" w:color="auto"/>
            </w:tcBorders>
            <w:hideMark/>
          </w:tcPr>
          <w:p w:rsidR="00B30CCA" w:rsidRPr="00A92A45" w:rsidRDefault="00E65E73" w:rsidP="006A3C67">
            <w:pPr>
              <w:spacing w:before="75" w:after="75" w:line="240" w:lineRule="auto"/>
              <w:rPr>
                <w:rFonts w:eastAsia="Times New Roman"/>
                <w:lang w:eastAsia="lv-LV"/>
              </w:rPr>
            </w:pPr>
            <w:r w:rsidRPr="00E65E73">
              <w:rPr>
                <w:bCs/>
                <w:iCs/>
              </w:rPr>
              <w:t>Projekts šo jomu neskar</w:t>
            </w:r>
          </w:p>
        </w:tc>
      </w:tr>
      <w:tr w:rsidR="00B30CCA" w:rsidRPr="00A92A45" w:rsidTr="0025565F">
        <w:trPr>
          <w:tblCellSpacing w:w="0" w:type="dxa"/>
        </w:trPr>
        <w:tc>
          <w:tcPr>
            <w:tcW w:w="290" w:type="pct"/>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lastRenderedPageBreak/>
              <w:t> 7.</w:t>
            </w:r>
          </w:p>
        </w:tc>
        <w:tc>
          <w:tcPr>
            <w:tcW w:w="1276" w:type="pct"/>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Cita informācija</w:t>
            </w:r>
          </w:p>
        </w:tc>
        <w:tc>
          <w:tcPr>
            <w:tcW w:w="3434" w:type="pct"/>
            <w:tcBorders>
              <w:top w:val="outset" w:sz="6" w:space="0" w:color="auto"/>
              <w:left w:val="outset" w:sz="6" w:space="0" w:color="auto"/>
              <w:bottom w:val="outset" w:sz="6" w:space="0" w:color="auto"/>
              <w:right w:val="outset" w:sz="6" w:space="0" w:color="auto"/>
            </w:tcBorders>
            <w:hideMark/>
          </w:tcPr>
          <w:p w:rsidR="00B30CCA" w:rsidRPr="00A92A45" w:rsidRDefault="00B30CCA" w:rsidP="00892EC3">
            <w:pPr>
              <w:spacing w:before="75" w:after="75" w:line="240" w:lineRule="auto"/>
              <w:jc w:val="both"/>
              <w:rPr>
                <w:rFonts w:eastAsia="Times New Roman"/>
                <w:lang w:eastAsia="lv-LV"/>
              </w:rPr>
            </w:pPr>
            <w:r w:rsidRPr="00A92A45">
              <w:rPr>
                <w:rFonts w:eastAsia="Times New Roman"/>
                <w:lang w:eastAsia="lv-LV"/>
              </w:rPr>
              <w:t> </w:t>
            </w:r>
            <w:r w:rsidR="00764A41" w:rsidRPr="00A92A45">
              <w:rPr>
                <w:rFonts w:eastAsia="Times New Roman"/>
                <w:lang w:eastAsia="lv-LV"/>
              </w:rPr>
              <w:t>Divi n</w:t>
            </w:r>
            <w:r w:rsidR="007F4C0F" w:rsidRPr="00A92A45">
              <w:rPr>
                <w:rFonts w:eastAsia="Times New Roman"/>
                <w:lang w:eastAsia="lv-LV"/>
              </w:rPr>
              <w:t>oteik</w:t>
            </w:r>
            <w:r w:rsidR="00764A41" w:rsidRPr="00A92A45">
              <w:rPr>
                <w:rFonts w:eastAsia="Times New Roman"/>
                <w:lang w:eastAsia="lv-LV"/>
              </w:rPr>
              <w:t>umu projektā minētie</w:t>
            </w:r>
            <w:r w:rsidR="007F4C0F" w:rsidRPr="00A92A45">
              <w:rPr>
                <w:rFonts w:eastAsia="Times New Roman"/>
                <w:lang w:eastAsia="lv-LV"/>
              </w:rPr>
              <w:t xml:space="preserve"> standarti pagaidām nav iztulkoti latviešu valodā. Vides aizsardzības un reģionālās attīstības ministrija </w:t>
            </w:r>
            <w:r w:rsidR="00764A41" w:rsidRPr="00A92A45">
              <w:rPr>
                <w:rFonts w:eastAsia="Times New Roman"/>
                <w:lang w:eastAsia="lv-LV"/>
              </w:rPr>
              <w:t>2012.gada 2.jūlijā</w:t>
            </w:r>
            <w:r w:rsidR="007F4C0F" w:rsidRPr="00A92A45">
              <w:rPr>
                <w:rFonts w:eastAsia="Times New Roman"/>
                <w:lang w:eastAsia="lv-LV"/>
              </w:rPr>
              <w:t xml:space="preserve"> ir iesniegusi</w:t>
            </w:r>
            <w:r w:rsidR="00764A41" w:rsidRPr="00A92A45">
              <w:rPr>
                <w:rFonts w:eastAsia="Times New Roman"/>
                <w:lang w:eastAsia="lv-LV"/>
              </w:rPr>
              <w:t xml:space="preserve"> šos standartus</w:t>
            </w:r>
            <w:r w:rsidR="007F4C0F" w:rsidRPr="00A92A45">
              <w:rPr>
                <w:rFonts w:eastAsia="Times New Roman"/>
                <w:lang w:eastAsia="lv-LV"/>
              </w:rPr>
              <w:t xml:space="preserve"> </w:t>
            </w:r>
            <w:r w:rsidR="00764A41" w:rsidRPr="00A92A45">
              <w:rPr>
                <w:rFonts w:eastAsia="Times New Roman"/>
                <w:lang w:eastAsia="lv-LV"/>
              </w:rPr>
              <w:t xml:space="preserve">tulkošanai </w:t>
            </w:r>
            <w:r w:rsidR="007F4C0F" w:rsidRPr="00A92A45">
              <w:rPr>
                <w:rFonts w:eastAsia="Times New Roman"/>
                <w:lang w:eastAsia="lv-LV"/>
              </w:rPr>
              <w:t>Valsts valodas centram.</w:t>
            </w:r>
          </w:p>
        </w:tc>
      </w:tr>
    </w:tbl>
    <w:p w:rsidR="00B30CCA" w:rsidRPr="004067CA" w:rsidRDefault="00B30CCA" w:rsidP="00B30CCA">
      <w:pPr>
        <w:spacing w:before="75" w:after="75" w:line="240" w:lineRule="auto"/>
        <w:ind w:firstLine="375"/>
        <w:jc w:val="both"/>
        <w:rPr>
          <w:rFonts w:eastAsia="Times New Roman"/>
          <w:sz w:val="28"/>
          <w:szCs w:val="28"/>
          <w:lang w:eastAsia="lv-LV"/>
        </w:rPr>
      </w:pPr>
      <w:r w:rsidRPr="004067CA">
        <w:rPr>
          <w:rFonts w:eastAsia="Times New Roman"/>
          <w:sz w:val="28"/>
          <w:szCs w:val="28"/>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9"/>
        <w:gridCol w:w="3465"/>
        <w:gridCol w:w="5117"/>
      </w:tblGrid>
      <w:tr w:rsidR="00B30CCA" w:rsidRPr="00A92A45" w:rsidTr="00FB103F">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B30CCA" w:rsidRPr="00A92A45" w:rsidRDefault="00B30CCA" w:rsidP="00B30CCA">
            <w:pPr>
              <w:spacing w:before="150" w:after="150" w:line="240" w:lineRule="auto"/>
              <w:jc w:val="center"/>
              <w:rPr>
                <w:rFonts w:eastAsia="Times New Roman"/>
                <w:b/>
                <w:bCs/>
                <w:lang w:eastAsia="lv-LV"/>
              </w:rPr>
            </w:pPr>
            <w:r w:rsidRPr="00A92A45">
              <w:rPr>
                <w:rFonts w:eastAsia="Times New Roman"/>
                <w:b/>
                <w:bCs/>
                <w:lang w:eastAsia="lv-LV"/>
              </w:rPr>
              <w:t> II. Tiesību akta projekta ietekme uz sabiedrību</w:t>
            </w:r>
          </w:p>
        </w:tc>
      </w:tr>
      <w:tr w:rsidR="00B30CCA" w:rsidRPr="00A92A45" w:rsidTr="001F0A7D">
        <w:trPr>
          <w:trHeight w:val="467"/>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1.</w:t>
            </w:r>
          </w:p>
        </w:tc>
        <w:tc>
          <w:tcPr>
            <w:tcW w:w="3465"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Sabiedrības mērķgrupa</w:t>
            </w:r>
          </w:p>
        </w:tc>
        <w:tc>
          <w:tcPr>
            <w:tcW w:w="5117" w:type="dxa"/>
            <w:tcBorders>
              <w:top w:val="outset" w:sz="6" w:space="0" w:color="auto"/>
              <w:left w:val="outset" w:sz="6" w:space="0" w:color="auto"/>
              <w:bottom w:val="outset" w:sz="6" w:space="0" w:color="auto"/>
              <w:right w:val="outset" w:sz="6" w:space="0" w:color="auto"/>
            </w:tcBorders>
            <w:hideMark/>
          </w:tcPr>
          <w:p w:rsidR="00FB103F" w:rsidRPr="00A92A45" w:rsidRDefault="00236B29" w:rsidP="00FB103F">
            <w:pPr>
              <w:spacing w:after="0" w:line="240" w:lineRule="auto"/>
              <w:ind w:firstLine="397"/>
              <w:jc w:val="both"/>
              <w:rPr>
                <w:rFonts w:eastAsia="Times New Roman"/>
                <w:lang w:eastAsia="lv-LV"/>
              </w:rPr>
            </w:pPr>
            <w:r w:rsidRPr="00A92A45">
              <w:rPr>
                <w:rFonts w:eastAsia="Times New Roman"/>
                <w:lang w:eastAsia="lv-LV"/>
              </w:rPr>
              <w:t>1)</w:t>
            </w:r>
            <w:r w:rsidR="00B30CCA" w:rsidRPr="00A92A45">
              <w:rPr>
                <w:rFonts w:eastAsia="Times New Roman"/>
                <w:lang w:eastAsia="lv-LV"/>
              </w:rPr>
              <w:t>  </w:t>
            </w:r>
            <w:r w:rsidR="004A30EB" w:rsidRPr="00A92A45">
              <w:rPr>
                <w:rFonts w:eastAsia="Calibri"/>
              </w:rPr>
              <w:t xml:space="preserve">Komersanti un iestādes (operatori), kuri </w:t>
            </w:r>
            <w:r w:rsidR="00FB103F" w:rsidRPr="00A92A45">
              <w:t xml:space="preserve">savai darbībai izmanto </w:t>
            </w:r>
            <w:r w:rsidR="00960DC4" w:rsidRPr="00A92A45">
              <w:t xml:space="preserve">sadedzināšanas </w:t>
            </w:r>
            <w:r w:rsidR="00FB103F" w:rsidRPr="00A92A45">
              <w:rPr>
                <w:rFonts w:eastAsia="Calibri"/>
              </w:rPr>
              <w:t>iekārtas</w:t>
            </w:r>
            <w:r w:rsidR="006C509C">
              <w:rPr>
                <w:rFonts w:eastAsia="Calibri"/>
              </w:rPr>
              <w:t>.</w:t>
            </w:r>
            <w:r w:rsidR="00FB103F" w:rsidRPr="00A92A45">
              <w:t xml:space="preserve"> </w:t>
            </w:r>
          </w:p>
          <w:p w:rsidR="00960DC4" w:rsidRPr="00A92A45" w:rsidRDefault="00960DC4" w:rsidP="00FB103F">
            <w:pPr>
              <w:spacing w:after="0" w:line="240" w:lineRule="auto"/>
              <w:ind w:firstLine="397"/>
              <w:jc w:val="both"/>
            </w:pPr>
            <w:r w:rsidRPr="00A92A45">
              <w:t xml:space="preserve">Saskaņā ar valsts SIA „Latvijas Vides, ģeoloģijas un meteoroloģijas” sagatavoto informāciju 2010.gadā Latvijā bija 22 </w:t>
            </w:r>
            <w:r w:rsidR="00EB2554">
              <w:t xml:space="preserve">lielās sadedzināšanas </w:t>
            </w:r>
            <w:r w:rsidRPr="00A92A45">
              <w:t xml:space="preserve">iekārtas, kuru kopēja ievadīta nomināla jauda </w:t>
            </w:r>
            <w:r w:rsidR="00EB2554">
              <w:t>ir lielāka vai vienāda ar 50 MW un ~ 440 sadedzināšanas iekārtas, kas klasificējamas kā vidējās sadedzināšanas iekārtas ar jaudu zem 50 MW.</w:t>
            </w:r>
          </w:p>
          <w:p w:rsidR="003A61B2" w:rsidRPr="00A92A45" w:rsidRDefault="00236B29" w:rsidP="003A61B2">
            <w:pPr>
              <w:spacing w:after="0" w:line="240" w:lineRule="auto"/>
              <w:ind w:firstLine="397"/>
              <w:jc w:val="both"/>
              <w:rPr>
                <w:rFonts w:eastAsia="Times New Roman"/>
                <w:lang w:eastAsia="lv-LV"/>
              </w:rPr>
            </w:pPr>
            <w:r w:rsidRPr="00A92A45">
              <w:rPr>
                <w:rFonts w:eastAsia="Times New Roman"/>
                <w:lang w:eastAsia="lv-LV"/>
              </w:rPr>
              <w:t>2) kontroles institūcija – Valsts vides dienests</w:t>
            </w:r>
            <w:r w:rsidR="003A61B2" w:rsidRPr="00A92A45">
              <w:rPr>
                <w:rFonts w:eastAsia="Times New Roman"/>
                <w:lang w:eastAsia="lv-LV"/>
              </w:rPr>
              <w:t>.</w:t>
            </w:r>
          </w:p>
        </w:tc>
      </w:tr>
      <w:tr w:rsidR="00B30CCA" w:rsidRPr="00A92A45" w:rsidTr="001F0A7D">
        <w:trPr>
          <w:trHeight w:val="523"/>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2.</w:t>
            </w:r>
          </w:p>
        </w:tc>
        <w:tc>
          <w:tcPr>
            <w:tcW w:w="3465"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Citas sabiedrības grupas (bez mērķgrupas), kuras tiesiskais regulējums arī ietekmē vai varētu ietekmēt</w:t>
            </w:r>
          </w:p>
        </w:tc>
        <w:tc>
          <w:tcPr>
            <w:tcW w:w="5117" w:type="dxa"/>
            <w:tcBorders>
              <w:top w:val="outset" w:sz="6" w:space="0" w:color="auto"/>
              <w:left w:val="outset" w:sz="6" w:space="0" w:color="auto"/>
              <w:bottom w:val="outset" w:sz="6" w:space="0" w:color="auto"/>
              <w:right w:val="outset" w:sz="6" w:space="0" w:color="auto"/>
            </w:tcBorders>
            <w:hideMark/>
          </w:tcPr>
          <w:p w:rsidR="00233C13" w:rsidRPr="00A92A45" w:rsidRDefault="00B30CCA" w:rsidP="00126575">
            <w:pPr>
              <w:spacing w:after="0" w:line="240" w:lineRule="auto"/>
              <w:rPr>
                <w:rFonts w:eastAsia="Calibri"/>
              </w:rPr>
            </w:pPr>
            <w:r w:rsidRPr="00A92A45">
              <w:rPr>
                <w:rFonts w:eastAsia="Times New Roman"/>
                <w:lang w:eastAsia="lv-LV"/>
              </w:rPr>
              <w:t> </w:t>
            </w:r>
            <w:r w:rsidR="009C57BE" w:rsidRPr="00A92A45">
              <w:rPr>
                <w:rFonts w:eastAsia="Calibri"/>
              </w:rPr>
              <w:t>Sabiedrība, kur</w:t>
            </w:r>
            <w:r w:rsidR="00126575" w:rsidRPr="00A92A45">
              <w:rPr>
                <w:rFonts w:eastAsia="Calibri"/>
              </w:rPr>
              <w:t>as</w:t>
            </w:r>
            <w:r w:rsidR="00A84B50" w:rsidRPr="00A92A45">
              <w:rPr>
                <w:rFonts w:eastAsia="Calibri"/>
              </w:rPr>
              <w:t xml:space="preserve"> indivīdiem tiek nodrošinātas iespējas dzīvot kvalitatīvā vidē</w:t>
            </w:r>
            <w:r w:rsidR="0074370C" w:rsidRPr="00A92A45">
              <w:rPr>
                <w:rFonts w:eastAsia="Calibri"/>
              </w:rPr>
              <w:t>.</w:t>
            </w:r>
          </w:p>
        </w:tc>
      </w:tr>
      <w:tr w:rsidR="00B30CCA" w:rsidRPr="00A92A45" w:rsidTr="001F0A7D">
        <w:trPr>
          <w:trHeight w:val="517"/>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3.</w:t>
            </w:r>
          </w:p>
        </w:tc>
        <w:tc>
          <w:tcPr>
            <w:tcW w:w="3465"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Tiesiskā regulējuma finansiālā ietekme</w:t>
            </w:r>
          </w:p>
        </w:tc>
        <w:tc>
          <w:tcPr>
            <w:tcW w:w="5117" w:type="dxa"/>
            <w:tcBorders>
              <w:top w:val="outset" w:sz="6" w:space="0" w:color="auto"/>
              <w:left w:val="outset" w:sz="6" w:space="0" w:color="auto"/>
              <w:bottom w:val="outset" w:sz="6" w:space="0" w:color="auto"/>
              <w:right w:val="outset" w:sz="6" w:space="0" w:color="auto"/>
            </w:tcBorders>
            <w:hideMark/>
          </w:tcPr>
          <w:p w:rsidR="00B30CCA" w:rsidRPr="00A92A45" w:rsidRDefault="00B30CCA" w:rsidP="00070DB2">
            <w:pPr>
              <w:spacing w:after="0" w:line="240" w:lineRule="auto"/>
              <w:rPr>
                <w:rFonts w:eastAsia="Times New Roman"/>
                <w:lang w:eastAsia="lv-LV"/>
              </w:rPr>
            </w:pPr>
            <w:r w:rsidRPr="00A92A45">
              <w:rPr>
                <w:rFonts w:eastAsia="Times New Roman"/>
                <w:lang w:eastAsia="lv-LV"/>
              </w:rPr>
              <w:t> </w:t>
            </w:r>
            <w:r w:rsidR="00E65E73" w:rsidRPr="00E65E73">
              <w:rPr>
                <w:bCs/>
                <w:iCs/>
              </w:rPr>
              <w:t>Projekts šo jomu neskar</w:t>
            </w:r>
          </w:p>
        </w:tc>
      </w:tr>
      <w:tr w:rsidR="00B30CCA" w:rsidRPr="00A92A45" w:rsidTr="001F0A7D">
        <w:trPr>
          <w:trHeight w:val="517"/>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4.</w:t>
            </w:r>
          </w:p>
        </w:tc>
        <w:tc>
          <w:tcPr>
            <w:tcW w:w="3465"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Tiesiskā regulējuma nefinansiālā ietekme</w:t>
            </w:r>
          </w:p>
        </w:tc>
        <w:tc>
          <w:tcPr>
            <w:tcW w:w="5117" w:type="dxa"/>
            <w:tcBorders>
              <w:top w:val="outset" w:sz="6" w:space="0" w:color="auto"/>
              <w:left w:val="outset" w:sz="6" w:space="0" w:color="auto"/>
              <w:bottom w:val="outset" w:sz="6" w:space="0" w:color="auto"/>
              <w:right w:val="outset" w:sz="6" w:space="0" w:color="auto"/>
            </w:tcBorders>
            <w:hideMark/>
          </w:tcPr>
          <w:p w:rsidR="00B30CCA" w:rsidRPr="00A92A45" w:rsidRDefault="00B30CCA" w:rsidP="00070DB2">
            <w:pPr>
              <w:spacing w:after="0" w:line="240" w:lineRule="auto"/>
              <w:rPr>
                <w:rFonts w:eastAsia="Times New Roman"/>
                <w:color w:val="C00000"/>
                <w:lang w:eastAsia="lv-LV"/>
              </w:rPr>
            </w:pPr>
            <w:r w:rsidRPr="00A92A45">
              <w:rPr>
                <w:rFonts w:eastAsia="Times New Roman"/>
                <w:lang w:eastAsia="lv-LV"/>
              </w:rPr>
              <w:t> </w:t>
            </w:r>
            <w:r w:rsidR="00233C13" w:rsidRPr="00A92A45">
              <w:rPr>
                <w:rFonts w:eastAsia="Calibri"/>
              </w:rPr>
              <w:t xml:space="preserve">Noteikumu projektā minēto prasību izpilde nodrošinās </w:t>
            </w:r>
            <w:r w:rsidR="00233C13" w:rsidRPr="00A92A45">
              <w:t xml:space="preserve">vides un </w:t>
            </w:r>
            <w:r w:rsidR="00233C13" w:rsidRPr="00A92A45">
              <w:rPr>
                <w:rFonts w:eastAsia="Calibri"/>
              </w:rPr>
              <w:t>sabiedrības veselības aizsardzību.</w:t>
            </w:r>
            <w:r w:rsidR="0074370C" w:rsidRPr="00A92A45">
              <w:t xml:space="preserve"> </w:t>
            </w:r>
          </w:p>
        </w:tc>
      </w:tr>
      <w:tr w:rsidR="00B30CCA" w:rsidRPr="00A92A45" w:rsidTr="001F0A7D">
        <w:trPr>
          <w:trHeight w:val="531"/>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5.</w:t>
            </w:r>
          </w:p>
        </w:tc>
        <w:tc>
          <w:tcPr>
            <w:tcW w:w="3465"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Administratīvās procedūras raksturojums</w:t>
            </w:r>
          </w:p>
        </w:tc>
        <w:tc>
          <w:tcPr>
            <w:tcW w:w="5117" w:type="dxa"/>
            <w:tcBorders>
              <w:top w:val="outset" w:sz="6" w:space="0" w:color="auto"/>
              <w:left w:val="outset" w:sz="6" w:space="0" w:color="auto"/>
              <w:bottom w:val="outset" w:sz="6" w:space="0" w:color="auto"/>
              <w:right w:val="outset" w:sz="6" w:space="0" w:color="auto"/>
            </w:tcBorders>
            <w:hideMark/>
          </w:tcPr>
          <w:p w:rsidR="00B30CCA" w:rsidRPr="00A92A45" w:rsidRDefault="00B30CCA" w:rsidP="00070DB2">
            <w:pPr>
              <w:spacing w:after="0" w:line="240" w:lineRule="auto"/>
              <w:rPr>
                <w:rFonts w:eastAsia="Times New Roman"/>
                <w:lang w:eastAsia="lv-LV"/>
              </w:rPr>
            </w:pPr>
            <w:r w:rsidRPr="00A92A45">
              <w:rPr>
                <w:rFonts w:eastAsia="Times New Roman"/>
                <w:lang w:eastAsia="lv-LV"/>
              </w:rPr>
              <w:t> </w:t>
            </w:r>
            <w:r w:rsidR="00E65E73" w:rsidRPr="00E65E73">
              <w:rPr>
                <w:bCs/>
                <w:iCs/>
              </w:rPr>
              <w:t>Projekts šo jomu neskar</w:t>
            </w:r>
          </w:p>
        </w:tc>
      </w:tr>
      <w:tr w:rsidR="00B30CCA" w:rsidRPr="00A92A45" w:rsidTr="001F0A7D">
        <w:trPr>
          <w:trHeight w:val="357"/>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6.</w:t>
            </w:r>
          </w:p>
        </w:tc>
        <w:tc>
          <w:tcPr>
            <w:tcW w:w="3465"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Administratīvo izmaksu monetārs novērtējums</w:t>
            </w:r>
          </w:p>
        </w:tc>
        <w:tc>
          <w:tcPr>
            <w:tcW w:w="5117" w:type="dxa"/>
            <w:tcBorders>
              <w:top w:val="outset" w:sz="6" w:space="0" w:color="auto"/>
              <w:left w:val="outset" w:sz="6" w:space="0" w:color="auto"/>
              <w:bottom w:val="outset" w:sz="6" w:space="0" w:color="auto"/>
              <w:right w:val="outset" w:sz="6" w:space="0" w:color="auto"/>
            </w:tcBorders>
            <w:hideMark/>
          </w:tcPr>
          <w:p w:rsidR="00B30CCA" w:rsidRPr="00A92A45" w:rsidRDefault="00B30CCA" w:rsidP="00070DB2">
            <w:pPr>
              <w:spacing w:after="0" w:line="240" w:lineRule="auto"/>
              <w:rPr>
                <w:rFonts w:eastAsia="Times New Roman"/>
                <w:lang w:eastAsia="lv-LV"/>
              </w:rPr>
            </w:pPr>
            <w:r w:rsidRPr="00A92A45">
              <w:rPr>
                <w:rFonts w:eastAsia="Times New Roman"/>
                <w:lang w:eastAsia="lv-LV"/>
              </w:rPr>
              <w:t> </w:t>
            </w:r>
            <w:r w:rsidR="00E65E73" w:rsidRPr="00E65E73">
              <w:rPr>
                <w:bCs/>
                <w:iCs/>
              </w:rPr>
              <w:t>Projekts šo jomu neskar</w:t>
            </w:r>
          </w:p>
        </w:tc>
      </w:tr>
      <w:tr w:rsidR="00B30CCA" w:rsidRPr="00A92A45" w:rsidTr="001F0A7D">
        <w:trPr>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7.</w:t>
            </w:r>
          </w:p>
        </w:tc>
        <w:tc>
          <w:tcPr>
            <w:tcW w:w="3465"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Cita informācija</w:t>
            </w:r>
          </w:p>
        </w:tc>
        <w:tc>
          <w:tcPr>
            <w:tcW w:w="5117" w:type="dxa"/>
            <w:tcBorders>
              <w:top w:val="outset" w:sz="6" w:space="0" w:color="auto"/>
              <w:left w:val="outset" w:sz="6" w:space="0" w:color="auto"/>
              <w:bottom w:val="outset" w:sz="6" w:space="0" w:color="auto"/>
              <w:right w:val="outset" w:sz="6" w:space="0" w:color="auto"/>
            </w:tcBorders>
            <w:hideMark/>
          </w:tcPr>
          <w:p w:rsidR="00B30CCA" w:rsidRPr="00A92A45" w:rsidRDefault="00B30CCA" w:rsidP="00070DB2">
            <w:pPr>
              <w:spacing w:after="0" w:line="240" w:lineRule="auto"/>
              <w:rPr>
                <w:rFonts w:eastAsia="Times New Roman"/>
                <w:lang w:eastAsia="lv-LV"/>
              </w:rPr>
            </w:pPr>
            <w:r w:rsidRPr="00A92A45">
              <w:rPr>
                <w:rFonts w:eastAsia="Times New Roman"/>
                <w:lang w:eastAsia="lv-LV"/>
              </w:rPr>
              <w:t> </w:t>
            </w:r>
            <w:r w:rsidR="00F9519C" w:rsidRPr="00A92A45">
              <w:rPr>
                <w:rFonts w:eastAsia="Times New Roman"/>
                <w:lang w:eastAsia="lv-LV"/>
              </w:rPr>
              <w:t>Nav</w:t>
            </w:r>
          </w:p>
        </w:tc>
      </w:tr>
    </w:tbl>
    <w:p w:rsidR="00B30CCA" w:rsidRPr="004067CA" w:rsidRDefault="00B30CCA" w:rsidP="002129E1">
      <w:pPr>
        <w:spacing w:before="75" w:after="75" w:line="240" w:lineRule="auto"/>
        <w:ind w:firstLine="375"/>
        <w:jc w:val="both"/>
        <w:rPr>
          <w:rFonts w:eastAsia="Times New Roman"/>
          <w:sz w:val="28"/>
          <w:szCs w:val="28"/>
          <w:lang w:eastAsia="lv-LV"/>
        </w:rPr>
      </w:pPr>
      <w:r w:rsidRPr="004067CA">
        <w:rPr>
          <w:rFonts w:eastAsia="Times New Roman"/>
          <w:sz w:val="28"/>
          <w:szCs w:val="28"/>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
        <w:gridCol w:w="3260"/>
        <w:gridCol w:w="5400"/>
      </w:tblGrid>
      <w:tr w:rsidR="00B30CCA" w:rsidRPr="00A92A45" w:rsidTr="00062C97">
        <w:trPr>
          <w:tblCellSpacing w:w="0" w:type="dxa"/>
        </w:trPr>
        <w:tc>
          <w:tcPr>
            <w:tcW w:w="9101" w:type="dxa"/>
            <w:gridSpan w:val="3"/>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150" w:after="150" w:line="240" w:lineRule="auto"/>
              <w:jc w:val="center"/>
              <w:rPr>
                <w:rFonts w:eastAsia="Times New Roman"/>
                <w:b/>
                <w:bCs/>
                <w:lang w:eastAsia="lv-LV"/>
              </w:rPr>
            </w:pPr>
            <w:r w:rsidRPr="00A92A45">
              <w:rPr>
                <w:rFonts w:eastAsia="Times New Roman"/>
                <w:b/>
                <w:bCs/>
                <w:lang w:eastAsia="lv-LV"/>
              </w:rPr>
              <w:t> IV. Tiesību akta projekta ietekme uz spēkā esošo tiesību normu sistēmu</w:t>
            </w:r>
          </w:p>
        </w:tc>
      </w:tr>
      <w:tr w:rsidR="00B30CCA" w:rsidRPr="00A92A45" w:rsidTr="002F2CCC">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1.</w:t>
            </w:r>
          </w:p>
        </w:tc>
        <w:tc>
          <w:tcPr>
            <w:tcW w:w="3260"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Nepieciešamie saistītie tiesību aktu projekti</w:t>
            </w:r>
          </w:p>
        </w:tc>
        <w:tc>
          <w:tcPr>
            <w:tcW w:w="5400" w:type="dxa"/>
            <w:tcBorders>
              <w:top w:val="outset" w:sz="6" w:space="0" w:color="auto"/>
              <w:left w:val="outset" w:sz="6" w:space="0" w:color="auto"/>
              <w:bottom w:val="outset" w:sz="6" w:space="0" w:color="auto"/>
              <w:right w:val="outset" w:sz="6" w:space="0" w:color="auto"/>
            </w:tcBorders>
            <w:hideMark/>
          </w:tcPr>
          <w:p w:rsidR="00062C97" w:rsidRPr="00A92A45" w:rsidRDefault="00B30CCA" w:rsidP="005322A2">
            <w:pPr>
              <w:spacing w:before="75" w:after="75" w:line="240" w:lineRule="auto"/>
              <w:ind w:firstLine="397"/>
              <w:jc w:val="both"/>
              <w:rPr>
                <w:rFonts w:eastAsia="Times New Roman"/>
                <w:lang w:eastAsia="lv-LV"/>
              </w:rPr>
            </w:pPr>
            <w:r w:rsidRPr="00A92A45">
              <w:rPr>
                <w:rFonts w:eastAsia="Times New Roman"/>
                <w:lang w:eastAsia="lv-LV"/>
              </w:rPr>
              <w:t> </w:t>
            </w:r>
            <w:r w:rsidR="00062C97" w:rsidRPr="00A92A45">
              <w:rPr>
                <w:rFonts w:eastAsia="Times New Roman"/>
                <w:lang w:eastAsia="lv-LV"/>
              </w:rPr>
              <w:t xml:space="preserve">1) </w:t>
            </w:r>
            <w:r w:rsidR="0036610B" w:rsidRPr="00A92A45">
              <w:rPr>
                <w:rFonts w:eastAsia="Times New Roman"/>
                <w:lang w:eastAsia="lv-LV"/>
              </w:rPr>
              <w:t>Jāveic g</w:t>
            </w:r>
            <w:r w:rsidR="00DA6B5E" w:rsidRPr="00A92A45">
              <w:rPr>
                <w:rFonts w:eastAsia="Times New Roman"/>
                <w:lang w:eastAsia="lv-LV"/>
              </w:rPr>
              <w:t>rozījumi</w:t>
            </w:r>
            <w:r w:rsidR="00BF3A2C" w:rsidRPr="00A92A45">
              <w:rPr>
                <w:rFonts w:eastAsia="Times New Roman"/>
                <w:lang w:eastAsia="lv-LV"/>
              </w:rPr>
              <w:t xml:space="preserve"> likumā „Par piesārņojumu”</w:t>
            </w:r>
            <w:r w:rsidR="00062C97" w:rsidRPr="00A92A45">
              <w:rPr>
                <w:rFonts w:eastAsia="Times New Roman"/>
                <w:lang w:eastAsia="lv-LV"/>
              </w:rPr>
              <w:t xml:space="preserve">, </w:t>
            </w:r>
            <w:r w:rsidR="00344D89" w:rsidRPr="00A92A45">
              <w:rPr>
                <w:rFonts w:eastAsia="Times New Roman"/>
                <w:lang w:eastAsia="lv-LV"/>
              </w:rPr>
              <w:t xml:space="preserve">lai </w:t>
            </w:r>
            <w:r w:rsidR="007A2D9F" w:rsidRPr="00A92A45">
              <w:rPr>
                <w:rFonts w:eastAsia="Times New Roman"/>
                <w:lang w:eastAsia="lv-LV"/>
              </w:rPr>
              <w:t>tajā ietvertu pilnvarojumu Ministru kabinetam izdot šos noteikumus</w:t>
            </w:r>
            <w:r w:rsidR="00DA6B5E" w:rsidRPr="00A92A45">
              <w:rPr>
                <w:rFonts w:eastAsia="Times New Roman"/>
                <w:lang w:eastAsia="lv-LV"/>
              </w:rPr>
              <w:t xml:space="preserve"> (Izsludināti 03.05.2012. Valsts sekretāru sanāksmē, </w:t>
            </w:r>
            <w:r w:rsidR="00533DA9" w:rsidRPr="00A92A45">
              <w:rPr>
                <w:rFonts w:eastAsia="Times New Roman"/>
                <w:lang w:eastAsia="lv-LV"/>
              </w:rPr>
              <w:t xml:space="preserve">Protokols Nr.18, </w:t>
            </w:r>
            <w:bookmarkStart w:id="4" w:name="9"/>
            <w:r w:rsidR="00533DA9" w:rsidRPr="00A92A45">
              <w:t>9.§</w:t>
            </w:r>
            <w:bookmarkEnd w:id="4"/>
            <w:r w:rsidR="006756F9">
              <w:t xml:space="preserve">, </w:t>
            </w:r>
            <w:r w:rsidR="00D83577" w:rsidRPr="00A92A45">
              <w:t>atbildīgā par izstrādi – VARAM, termiņš – 2013.gada 7.janvāris)</w:t>
            </w:r>
            <w:r w:rsidR="00533DA9" w:rsidRPr="00A92A45">
              <w:t>;</w:t>
            </w:r>
          </w:p>
          <w:p w:rsidR="00062C97" w:rsidRPr="00A92A45" w:rsidRDefault="002F2CCC" w:rsidP="0036610B">
            <w:pPr>
              <w:autoSpaceDE w:val="0"/>
              <w:autoSpaceDN w:val="0"/>
              <w:adjustRightInd w:val="0"/>
              <w:spacing w:after="0" w:line="240" w:lineRule="auto"/>
              <w:ind w:firstLine="397"/>
              <w:jc w:val="both"/>
              <w:rPr>
                <w:bCs/>
              </w:rPr>
            </w:pPr>
            <w:r w:rsidRPr="00A92A45">
              <w:rPr>
                <w:rFonts w:eastAsia="Times New Roman"/>
                <w:lang w:eastAsia="lv-LV"/>
              </w:rPr>
              <w:t>2</w:t>
            </w:r>
            <w:r w:rsidR="00062C97" w:rsidRPr="00A92A45">
              <w:rPr>
                <w:rFonts w:eastAsia="Times New Roman"/>
                <w:lang w:eastAsia="lv-LV"/>
              </w:rPr>
              <w:t xml:space="preserve">) </w:t>
            </w:r>
            <w:r w:rsidR="0036610B" w:rsidRPr="00A92A45">
              <w:rPr>
                <w:rFonts w:eastAsia="Times New Roman"/>
                <w:lang w:eastAsia="lv-LV"/>
              </w:rPr>
              <w:t>Jāveic g</w:t>
            </w:r>
            <w:r w:rsidR="00DA6B5E" w:rsidRPr="00A92A45">
              <w:rPr>
                <w:rFonts w:eastAsia="Times New Roman"/>
                <w:lang w:eastAsia="lv-LV"/>
              </w:rPr>
              <w:t>rozījumi Ministru kabineta 2010.gada 30.novembra noteikumos Nr.</w:t>
            </w:r>
            <w:r w:rsidR="00062C97" w:rsidRPr="00A92A45">
              <w:rPr>
                <w:rFonts w:eastAsia="Times New Roman"/>
                <w:lang w:eastAsia="lv-LV"/>
              </w:rPr>
              <w:t>1082</w:t>
            </w:r>
            <w:r w:rsidR="00DA6B5E" w:rsidRPr="00A92A45">
              <w:rPr>
                <w:rFonts w:eastAsia="Times New Roman"/>
                <w:lang w:eastAsia="lv-LV"/>
              </w:rPr>
              <w:t xml:space="preserve"> „</w:t>
            </w:r>
            <w:r w:rsidR="00DA6B5E" w:rsidRPr="00A92A45">
              <w:rPr>
                <w:bCs/>
              </w:rPr>
              <w:t xml:space="preserve">Kārtība, kādā piesakāmas A, B un C kategorijas piesārņojošas </w:t>
            </w:r>
            <w:r w:rsidR="00DA6B5E" w:rsidRPr="00A92A45">
              <w:rPr>
                <w:bCs/>
              </w:rPr>
              <w:lastRenderedPageBreak/>
              <w:t>darbības un izsniedzamas atļaujas A un B kategorijas piesārņojošo darbību veikšanai”</w:t>
            </w:r>
            <w:r w:rsidR="005322A2" w:rsidRPr="00A92A45">
              <w:rPr>
                <w:bCs/>
              </w:rPr>
              <w:t xml:space="preserve"> 3.pielikuma 17.2. un 17.4.apakšpunktā,</w:t>
            </w:r>
            <w:r w:rsidR="0036610B" w:rsidRPr="00A92A45">
              <w:rPr>
                <w:bCs/>
              </w:rPr>
              <w:t xml:space="preserve"> kurā jāsniedz</w:t>
            </w:r>
            <w:r w:rsidR="00DA6B5E" w:rsidRPr="00A92A45">
              <w:rPr>
                <w:bCs/>
              </w:rPr>
              <w:t xml:space="preserve"> atsauce uz šiem noteikumiem</w:t>
            </w:r>
            <w:r w:rsidR="00D83577" w:rsidRPr="00A92A45">
              <w:rPr>
                <w:bCs/>
              </w:rPr>
              <w:t xml:space="preserve"> (</w:t>
            </w:r>
            <w:r w:rsidR="006756F9">
              <w:rPr>
                <w:bCs/>
              </w:rPr>
              <w:t>noteikumu projekts ir izstrādes stadijā un to plānots 2012.gadā izslu</w:t>
            </w:r>
            <w:r w:rsidR="00B7733A">
              <w:rPr>
                <w:bCs/>
              </w:rPr>
              <w:t xml:space="preserve">dināt Valsts sekretāru sanāksmē, </w:t>
            </w:r>
            <w:r w:rsidR="00D83577" w:rsidRPr="00A92A45">
              <w:t>atbildīgā par izstrādi – VARAM, termiņš – 2013.gada 7.janvāris)</w:t>
            </w:r>
            <w:r w:rsidR="0036610B" w:rsidRPr="00A92A45">
              <w:rPr>
                <w:bCs/>
              </w:rPr>
              <w:t>;</w:t>
            </w:r>
          </w:p>
          <w:p w:rsidR="0036610B" w:rsidRPr="00F131A4" w:rsidRDefault="002F2CCC" w:rsidP="0036610B">
            <w:pPr>
              <w:autoSpaceDE w:val="0"/>
              <w:autoSpaceDN w:val="0"/>
              <w:adjustRightInd w:val="0"/>
              <w:spacing w:after="0" w:line="240" w:lineRule="auto"/>
              <w:ind w:firstLine="397"/>
              <w:jc w:val="both"/>
              <w:rPr>
                <w:bCs/>
              </w:rPr>
            </w:pPr>
            <w:r w:rsidRPr="00A92A45">
              <w:rPr>
                <w:bCs/>
              </w:rPr>
              <w:t>3</w:t>
            </w:r>
            <w:r w:rsidR="0036610B" w:rsidRPr="00A92A45">
              <w:rPr>
                <w:bCs/>
              </w:rPr>
              <w:t>) Jāatzīst par spēku zaudējušiem Ministru kabineta 2002.</w:t>
            </w:r>
            <w:r w:rsidR="0036610B" w:rsidRPr="00F131A4">
              <w:rPr>
                <w:bCs/>
              </w:rPr>
              <w:t>gada 20.augusta noteikumus Nr.379 „Kārtība, kādā novēršama, ierobežojama un kontrolējama gaisu piesārņojošo vielu emisija no stacionāriem piesārņojuma avotiem”</w:t>
            </w:r>
            <w:r w:rsidR="00D83577" w:rsidRPr="00F131A4">
              <w:rPr>
                <w:bCs/>
              </w:rPr>
              <w:t xml:space="preserve"> </w:t>
            </w:r>
            <w:r w:rsidR="00D83577" w:rsidRPr="00F131A4">
              <w:t>(atbildīgā par izstrādi – VARAM, termiņš – 2013.gada 7.janvāris)</w:t>
            </w:r>
            <w:r w:rsidR="0036610B" w:rsidRPr="00F131A4">
              <w:rPr>
                <w:bCs/>
              </w:rPr>
              <w:t>.</w:t>
            </w:r>
          </w:p>
          <w:p w:rsidR="001B0CD8" w:rsidRPr="001B0CD8" w:rsidRDefault="001B0CD8" w:rsidP="000C01C2">
            <w:pPr>
              <w:autoSpaceDE w:val="0"/>
              <w:autoSpaceDN w:val="0"/>
              <w:adjustRightInd w:val="0"/>
              <w:spacing w:after="0" w:line="240" w:lineRule="auto"/>
              <w:ind w:firstLine="397"/>
              <w:jc w:val="both"/>
              <w:rPr>
                <w:rFonts w:ascii="TimesNewRomanPS-BoldMT" w:hAnsi="TimesNewRomanPS-BoldMT" w:cs="TimesNewRomanPS-BoldMT"/>
                <w:b/>
                <w:bCs/>
              </w:rPr>
            </w:pPr>
            <w:r w:rsidRPr="00F131A4">
              <w:rPr>
                <w:bCs/>
              </w:rPr>
              <w:t xml:space="preserve">4) Jāizstrādā </w:t>
            </w:r>
            <w:r w:rsidRPr="00F131A4">
              <w:rPr>
                <w:rFonts w:eastAsia="Calibri"/>
              </w:rPr>
              <w:t>Ministru kabineta noteikumu projekts „</w:t>
            </w:r>
            <w:r w:rsidRPr="00F131A4">
              <w:rPr>
                <w:bCs/>
              </w:rPr>
              <w:t xml:space="preserve">Noteikumi par gaistošo organisko savienojumu emisijas ierobežošanu no iekārtām, kurās izmanto organiskos šķīdinātājus” (izsludināts VSS 01.11.12., protokols Nr.40, </w:t>
            </w:r>
            <w:bookmarkStart w:id="5" w:name="23"/>
            <w:r w:rsidRPr="00F131A4">
              <w:t>23.§</w:t>
            </w:r>
            <w:bookmarkEnd w:id="5"/>
            <w:r w:rsidR="002F4814" w:rsidRPr="00F131A4">
              <w:t>, atbildīgā par izstrādi – VARAM</w:t>
            </w:r>
            <w:r w:rsidRPr="00F131A4">
              <w:rPr>
                <w:bCs/>
              </w:rPr>
              <w:t>)</w:t>
            </w:r>
            <w:r w:rsidR="00F131A4">
              <w:rPr>
                <w:bCs/>
              </w:rPr>
              <w:t>.</w:t>
            </w:r>
          </w:p>
        </w:tc>
      </w:tr>
      <w:tr w:rsidR="00B30CCA" w:rsidRPr="00A92A45" w:rsidTr="002F2CCC">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lastRenderedPageBreak/>
              <w:t> 2.</w:t>
            </w:r>
          </w:p>
        </w:tc>
        <w:tc>
          <w:tcPr>
            <w:tcW w:w="3260"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Cita informācija</w:t>
            </w:r>
          </w:p>
        </w:tc>
        <w:tc>
          <w:tcPr>
            <w:tcW w:w="5400"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Nav</w:t>
            </w:r>
          </w:p>
        </w:tc>
      </w:tr>
    </w:tbl>
    <w:p w:rsidR="00B30CCA" w:rsidRPr="004067CA" w:rsidRDefault="00B30CCA" w:rsidP="00B30CCA">
      <w:pPr>
        <w:spacing w:before="75" w:after="75" w:line="240" w:lineRule="auto"/>
        <w:rPr>
          <w:rFonts w:eastAsia="Times New Roman"/>
          <w:sz w:val="28"/>
          <w:szCs w:val="28"/>
          <w:lang w:eastAsia="lv-LV"/>
        </w:rPr>
      </w:pPr>
      <w:r w:rsidRPr="004067CA">
        <w:rPr>
          <w:rFonts w:eastAsia="Times New Roman"/>
          <w:sz w:val="28"/>
          <w:szCs w:val="28"/>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
        <w:gridCol w:w="3827"/>
        <w:gridCol w:w="4833"/>
      </w:tblGrid>
      <w:tr w:rsidR="00B30CCA" w:rsidRPr="00A92A45" w:rsidTr="00395BDF">
        <w:trPr>
          <w:tblCellSpacing w:w="0" w:type="dxa"/>
        </w:trPr>
        <w:tc>
          <w:tcPr>
            <w:tcW w:w="9101" w:type="dxa"/>
            <w:gridSpan w:val="3"/>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150" w:after="150" w:line="240" w:lineRule="auto"/>
              <w:jc w:val="center"/>
              <w:rPr>
                <w:rFonts w:eastAsia="Times New Roman"/>
                <w:b/>
                <w:bCs/>
                <w:lang w:eastAsia="lv-LV"/>
              </w:rPr>
            </w:pPr>
            <w:r w:rsidRPr="00A92A45">
              <w:rPr>
                <w:rFonts w:eastAsia="Times New Roman"/>
                <w:b/>
                <w:bCs/>
                <w:lang w:eastAsia="lv-LV"/>
              </w:rPr>
              <w:t> V. Tiesību akta projekta atbilstība Latvijas Republikas starptautiskajām saistībām</w:t>
            </w:r>
          </w:p>
        </w:tc>
      </w:tr>
      <w:tr w:rsidR="00B30CCA" w:rsidRPr="00A92A45" w:rsidTr="00395BDF">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1.</w:t>
            </w:r>
          </w:p>
        </w:tc>
        <w:tc>
          <w:tcPr>
            <w:tcW w:w="3827"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Saistības pret Eiropas Savienību</w:t>
            </w:r>
          </w:p>
        </w:tc>
        <w:tc>
          <w:tcPr>
            <w:tcW w:w="4833" w:type="dxa"/>
            <w:tcBorders>
              <w:top w:val="outset" w:sz="6" w:space="0" w:color="auto"/>
              <w:left w:val="outset" w:sz="6" w:space="0" w:color="auto"/>
              <w:bottom w:val="outset" w:sz="6" w:space="0" w:color="auto"/>
              <w:right w:val="outset" w:sz="6" w:space="0" w:color="auto"/>
            </w:tcBorders>
            <w:hideMark/>
          </w:tcPr>
          <w:p w:rsidR="004109D0" w:rsidRPr="00F131A4" w:rsidRDefault="007C78FB" w:rsidP="007C78FB">
            <w:pPr>
              <w:spacing w:before="75" w:after="75" w:line="240" w:lineRule="auto"/>
              <w:jc w:val="both"/>
            </w:pPr>
            <w:r>
              <w:t>1)</w:t>
            </w:r>
            <w:r w:rsidR="00573715" w:rsidRPr="00A92A45">
              <w:t xml:space="preserve">Eiropas Parlamenta un Padomes 2010.gada 24.novembra Direktīva 2010/75/ES par rūpnieciskajām emisijām (piesārņojuma integrēta novēršana un kontrole) </w:t>
            </w:r>
            <w:r w:rsidR="004109D0" w:rsidRPr="00A92A45">
              <w:t>III</w:t>
            </w:r>
            <w:r w:rsidR="00573715" w:rsidRPr="00A92A45">
              <w:t xml:space="preserve"> nodaļa – </w:t>
            </w:r>
            <w:r w:rsidR="004109D0" w:rsidRPr="00A92A45">
              <w:t xml:space="preserve">īpaši noteikumi </w:t>
            </w:r>
            <w:r w:rsidR="004109D0" w:rsidRPr="00F131A4">
              <w:t>par sadedzināšanas iekārtām</w:t>
            </w:r>
            <w:r w:rsidR="008209FD" w:rsidRPr="00F131A4">
              <w:t xml:space="preserve">. </w:t>
            </w:r>
          </w:p>
          <w:p w:rsidR="008209FD" w:rsidRPr="00F131A4" w:rsidRDefault="008209FD" w:rsidP="00AF3AE0">
            <w:pPr>
              <w:spacing w:before="75" w:after="75" w:line="240" w:lineRule="auto"/>
              <w:jc w:val="both"/>
            </w:pPr>
            <w:r w:rsidRPr="00F131A4">
              <w:t>Direktīvas prasības jāpārņem līdz 2013.gada 7.janvārim.</w:t>
            </w:r>
          </w:p>
          <w:p w:rsidR="007C78FB" w:rsidRPr="007C78FB" w:rsidRDefault="007C78FB" w:rsidP="007C78FB">
            <w:pPr>
              <w:spacing w:before="75" w:after="75" w:line="240" w:lineRule="auto"/>
              <w:jc w:val="both"/>
              <w:rPr>
                <w:b/>
              </w:rPr>
            </w:pPr>
            <w:r w:rsidRPr="00F131A4">
              <w:t xml:space="preserve">2) </w:t>
            </w:r>
            <w:r w:rsidR="00F46BB2" w:rsidRPr="00F131A4">
              <w:t xml:space="preserve">Eiropas Parlamenta un Padomes 2009.gada 23.aprīļa direktīvas </w:t>
            </w:r>
            <w:r w:rsidR="00F46BB2" w:rsidRPr="00F131A4">
              <w:rPr>
                <w:color w:val="40407C"/>
                <w:u w:val="single"/>
              </w:rPr>
              <w:t>2009/31/EK</w:t>
            </w:r>
            <w:r w:rsidR="00F46BB2" w:rsidRPr="00F131A4">
              <w:t xml:space="preserve"> par oglekļa dioksīda ģeoloģisko uzglabāšanu un grozījumiem Padomes Direktīvā 85/337/EEK, Eiropas Parlamenta un Padomes Direktīvās 2000/60/EK, 2001/80/EK, 2004/35/EK, 2006/12/EK, 2008/1/EK un Regulā (EK) Nr.1013/2006.</w:t>
            </w:r>
          </w:p>
        </w:tc>
      </w:tr>
      <w:tr w:rsidR="00B30CCA" w:rsidRPr="00A92A45" w:rsidTr="00395BDF">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2.</w:t>
            </w:r>
          </w:p>
        </w:tc>
        <w:tc>
          <w:tcPr>
            <w:tcW w:w="3827"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Citas starptautiskās saistības</w:t>
            </w:r>
          </w:p>
        </w:tc>
        <w:tc>
          <w:tcPr>
            <w:tcW w:w="4833" w:type="dxa"/>
            <w:tcBorders>
              <w:top w:val="outset" w:sz="6" w:space="0" w:color="auto"/>
              <w:left w:val="outset" w:sz="6" w:space="0" w:color="auto"/>
              <w:bottom w:val="outset" w:sz="6" w:space="0" w:color="auto"/>
              <w:right w:val="outset" w:sz="6" w:space="0" w:color="auto"/>
            </w:tcBorders>
            <w:hideMark/>
          </w:tcPr>
          <w:p w:rsidR="00B30CCA" w:rsidRPr="00A92A45" w:rsidRDefault="00B30CCA" w:rsidP="00A80D0F">
            <w:pPr>
              <w:spacing w:before="75" w:after="75" w:line="240" w:lineRule="auto"/>
              <w:jc w:val="both"/>
              <w:rPr>
                <w:rFonts w:eastAsia="Times New Roman"/>
                <w:lang w:eastAsia="lv-LV"/>
              </w:rPr>
            </w:pPr>
            <w:r w:rsidRPr="00A92A45">
              <w:rPr>
                <w:rFonts w:eastAsia="Times New Roman"/>
                <w:lang w:eastAsia="lv-LV"/>
              </w:rPr>
              <w:t> </w:t>
            </w:r>
            <w:r w:rsidR="00604B76" w:rsidRPr="00A92A45">
              <w:t xml:space="preserve">1979.gada Ženēvas Konvencija „Par robežšķērsojošo gaisa piesārņošanu lielos attālumos samazināšanu un ierobežošanu” </w:t>
            </w:r>
            <w:r w:rsidR="00445DEB" w:rsidRPr="00A92A45">
              <w:t>un tās 1999.</w:t>
            </w:r>
            <w:r w:rsidR="00604B76" w:rsidRPr="00A92A45">
              <w:t>gada Gēteborgas protokol</w:t>
            </w:r>
            <w:r w:rsidR="00445DEB" w:rsidRPr="00A92A45">
              <w:t>s</w:t>
            </w:r>
            <w:r w:rsidR="00604B76" w:rsidRPr="00A92A45">
              <w:t xml:space="preserve"> </w:t>
            </w:r>
            <w:r w:rsidR="00604B76" w:rsidRPr="00A92A45">
              <w:rPr>
                <w:rFonts w:eastAsia="Times New Roman"/>
                <w:lang w:eastAsia="lv-LV"/>
              </w:rPr>
              <w:t xml:space="preserve">“Par paskābināšanas, eitrofikācijas un </w:t>
            </w:r>
            <w:proofErr w:type="spellStart"/>
            <w:r w:rsidR="00604B76" w:rsidRPr="00A92A45">
              <w:rPr>
                <w:rFonts w:eastAsia="Times New Roman"/>
                <w:lang w:eastAsia="lv-LV"/>
              </w:rPr>
              <w:t>piezemes</w:t>
            </w:r>
            <w:proofErr w:type="spellEnd"/>
            <w:r w:rsidR="00604B76" w:rsidRPr="00A92A45">
              <w:rPr>
                <w:rFonts w:eastAsia="Times New Roman"/>
                <w:lang w:eastAsia="lv-LV"/>
              </w:rPr>
              <w:t xml:space="preserve"> ozona līmeņa samazināšanu”.</w:t>
            </w:r>
          </w:p>
        </w:tc>
      </w:tr>
      <w:tr w:rsidR="00B30CCA" w:rsidRPr="00A92A45" w:rsidTr="00395BDF">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3.</w:t>
            </w:r>
          </w:p>
        </w:tc>
        <w:tc>
          <w:tcPr>
            <w:tcW w:w="3827"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Cita informācija</w:t>
            </w:r>
          </w:p>
        </w:tc>
        <w:tc>
          <w:tcPr>
            <w:tcW w:w="4833" w:type="dxa"/>
            <w:tcBorders>
              <w:top w:val="outset" w:sz="6" w:space="0" w:color="auto"/>
              <w:left w:val="outset" w:sz="6" w:space="0" w:color="auto"/>
              <w:bottom w:val="outset" w:sz="6" w:space="0" w:color="auto"/>
              <w:right w:val="outset" w:sz="6" w:space="0" w:color="auto"/>
            </w:tcBorders>
            <w:hideMark/>
          </w:tcPr>
          <w:p w:rsidR="00B30CCA" w:rsidRPr="00A92A45" w:rsidRDefault="00B30CCA" w:rsidP="00E952DE">
            <w:pPr>
              <w:spacing w:before="75" w:after="75" w:line="240" w:lineRule="auto"/>
              <w:jc w:val="both"/>
              <w:rPr>
                <w:rFonts w:eastAsia="Times New Roman"/>
                <w:lang w:eastAsia="lv-LV"/>
              </w:rPr>
            </w:pPr>
            <w:r w:rsidRPr="00A92A45">
              <w:rPr>
                <w:rFonts w:eastAsia="Times New Roman"/>
                <w:lang w:eastAsia="lv-LV"/>
              </w:rPr>
              <w:t> </w:t>
            </w:r>
            <w:r w:rsidR="00342D82">
              <w:rPr>
                <w:rFonts w:eastAsia="Times New Roman"/>
                <w:lang w:eastAsia="lv-LV"/>
              </w:rPr>
              <w:t xml:space="preserve">Noteikumu projektā iekļautas arī </w:t>
            </w:r>
            <w:r w:rsidR="00342D82" w:rsidRPr="008E0A22">
              <w:rPr>
                <w:rStyle w:val="Strong"/>
                <w:b w:val="0"/>
              </w:rPr>
              <w:t>Eiropas Komisijas 2012. gada 7. maija īstenošanas lēmum</w:t>
            </w:r>
            <w:r w:rsidR="00342D82">
              <w:rPr>
                <w:rStyle w:val="Strong"/>
                <w:b w:val="0"/>
              </w:rPr>
              <w:t>a</w:t>
            </w:r>
            <w:r w:rsidR="00342D82" w:rsidRPr="008E0A22">
              <w:rPr>
                <w:rStyle w:val="Strong"/>
                <w:b w:val="0"/>
              </w:rPr>
              <w:t xml:space="preserve"> Nr.2012/249/ES par palaišanas un </w:t>
            </w:r>
            <w:r w:rsidR="00342D82" w:rsidRPr="008E0A22">
              <w:rPr>
                <w:rStyle w:val="Strong"/>
                <w:b w:val="0"/>
              </w:rPr>
              <w:lastRenderedPageBreak/>
              <w:t>apturēšanas periodu noteikšanu Eiropas Parlamenta un Padomes Direktīvas 2010/75/ES par rūpnieciskajām emisijām nolūkos</w:t>
            </w:r>
            <w:r w:rsidR="00E952DE">
              <w:rPr>
                <w:rStyle w:val="Strong"/>
                <w:b w:val="0"/>
              </w:rPr>
              <w:t xml:space="preserve"> minētās normas</w:t>
            </w:r>
            <w:r w:rsidR="00342D82" w:rsidRPr="008E0A22">
              <w:rPr>
                <w:rStyle w:val="Strong"/>
                <w:b w:val="0"/>
              </w:rPr>
              <w:t>.</w:t>
            </w:r>
          </w:p>
        </w:tc>
      </w:tr>
    </w:tbl>
    <w:p w:rsidR="00B30CCA" w:rsidRPr="004067CA" w:rsidRDefault="00B30CCA" w:rsidP="00B30CCA">
      <w:pPr>
        <w:spacing w:before="75" w:after="75" w:line="240" w:lineRule="auto"/>
        <w:ind w:firstLine="375"/>
        <w:jc w:val="both"/>
        <w:rPr>
          <w:rFonts w:eastAsia="Times New Roman"/>
          <w:sz w:val="28"/>
          <w:szCs w:val="28"/>
          <w:lang w:eastAsia="lv-LV"/>
        </w:rPr>
      </w:pPr>
      <w:r w:rsidRPr="004067CA">
        <w:rPr>
          <w:rFonts w:eastAsia="Times New Roman"/>
          <w:sz w:val="28"/>
          <w:szCs w:val="28"/>
          <w:lang w:eastAsia="lv-LV"/>
        </w:rPr>
        <w:lastRenderedPageBreak/>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00"/>
        <w:gridCol w:w="566"/>
        <w:gridCol w:w="1418"/>
        <w:gridCol w:w="140"/>
        <w:gridCol w:w="284"/>
        <w:gridCol w:w="1704"/>
        <w:gridCol w:w="198"/>
        <w:gridCol w:w="226"/>
        <w:gridCol w:w="2565"/>
      </w:tblGrid>
      <w:tr w:rsidR="00B30CCA" w:rsidRPr="00A92A45" w:rsidTr="0070628C">
        <w:trPr>
          <w:trHeight w:val="523"/>
          <w:tblCellSpacing w:w="0" w:type="dxa"/>
        </w:trPr>
        <w:tc>
          <w:tcPr>
            <w:tcW w:w="5000" w:type="pct"/>
            <w:gridSpan w:val="9"/>
            <w:tcBorders>
              <w:top w:val="outset" w:sz="6" w:space="0" w:color="auto"/>
              <w:left w:val="outset" w:sz="6" w:space="0" w:color="auto"/>
              <w:bottom w:val="outset" w:sz="6" w:space="0" w:color="auto"/>
              <w:right w:val="outset" w:sz="6" w:space="0" w:color="auto"/>
            </w:tcBorders>
            <w:vAlign w:val="center"/>
            <w:hideMark/>
          </w:tcPr>
          <w:p w:rsidR="00B30CCA" w:rsidRPr="00A92A45" w:rsidRDefault="00B30CCA" w:rsidP="00B30CCA">
            <w:pPr>
              <w:spacing w:before="150" w:after="150" w:line="240" w:lineRule="auto"/>
              <w:jc w:val="center"/>
              <w:rPr>
                <w:rFonts w:eastAsia="Times New Roman"/>
                <w:b/>
                <w:bCs/>
                <w:lang w:eastAsia="lv-LV"/>
              </w:rPr>
            </w:pPr>
            <w:r w:rsidRPr="00A92A45">
              <w:rPr>
                <w:rFonts w:eastAsia="Times New Roman"/>
                <w:b/>
                <w:bCs/>
                <w:lang w:eastAsia="lv-LV"/>
              </w:rPr>
              <w:t> 1.tabula</w:t>
            </w:r>
          </w:p>
          <w:p w:rsidR="00B30CCA" w:rsidRPr="00A92A45" w:rsidRDefault="00B30CCA" w:rsidP="00B30CCA">
            <w:pPr>
              <w:spacing w:before="150" w:after="150" w:line="240" w:lineRule="auto"/>
              <w:jc w:val="center"/>
              <w:rPr>
                <w:rFonts w:eastAsia="Times New Roman"/>
                <w:b/>
                <w:bCs/>
                <w:lang w:eastAsia="lv-LV"/>
              </w:rPr>
            </w:pPr>
            <w:r w:rsidRPr="00A92A45">
              <w:rPr>
                <w:rFonts w:eastAsia="Times New Roman"/>
                <w:b/>
                <w:bCs/>
                <w:lang w:eastAsia="lv-LV"/>
              </w:rPr>
              <w:t>Tiesību akta projekta atbilstība ES tiesību aktiem</w:t>
            </w:r>
          </w:p>
        </w:tc>
      </w:tr>
      <w:tr w:rsidR="00B30CCA" w:rsidRPr="00A92A45" w:rsidTr="0070628C">
        <w:trPr>
          <w:trHeight w:val="165"/>
          <w:tblCellSpacing w:w="0" w:type="dxa"/>
        </w:trPr>
        <w:tc>
          <w:tcPr>
            <w:tcW w:w="1410" w:type="pct"/>
            <w:gridSpan w:val="2"/>
            <w:tcBorders>
              <w:top w:val="outset" w:sz="6" w:space="0" w:color="auto"/>
              <w:left w:val="outset" w:sz="6" w:space="0" w:color="auto"/>
              <w:bottom w:val="outset" w:sz="6" w:space="0" w:color="auto"/>
              <w:right w:val="outset" w:sz="6" w:space="0" w:color="auto"/>
            </w:tcBorders>
            <w:vAlign w:val="center"/>
            <w:hideMark/>
          </w:tcPr>
          <w:p w:rsidR="00B30CCA" w:rsidRPr="00A92A45" w:rsidRDefault="00B30CCA" w:rsidP="00B30CCA">
            <w:pPr>
              <w:spacing w:before="75" w:after="75" w:line="165" w:lineRule="atLeast"/>
              <w:jc w:val="center"/>
              <w:rPr>
                <w:rFonts w:eastAsia="Times New Roman"/>
                <w:lang w:eastAsia="lv-LV"/>
              </w:rPr>
            </w:pPr>
            <w:r w:rsidRPr="00A92A45">
              <w:rPr>
                <w:rFonts w:eastAsia="Times New Roman"/>
                <w:lang w:eastAsia="lv-LV"/>
              </w:rPr>
              <w:t> A</w:t>
            </w:r>
          </w:p>
        </w:tc>
        <w:tc>
          <w:tcPr>
            <w:tcW w:w="1012" w:type="pct"/>
            <w:gridSpan w:val="3"/>
            <w:tcBorders>
              <w:top w:val="outset" w:sz="6" w:space="0" w:color="auto"/>
              <w:left w:val="outset" w:sz="6" w:space="0" w:color="auto"/>
              <w:bottom w:val="outset" w:sz="6" w:space="0" w:color="auto"/>
              <w:right w:val="outset" w:sz="6" w:space="0" w:color="auto"/>
            </w:tcBorders>
            <w:vAlign w:val="center"/>
            <w:hideMark/>
          </w:tcPr>
          <w:p w:rsidR="00B30CCA" w:rsidRPr="00A92A45" w:rsidRDefault="00B30CCA" w:rsidP="00B30CCA">
            <w:pPr>
              <w:spacing w:before="75" w:after="75" w:line="165" w:lineRule="atLeast"/>
              <w:jc w:val="center"/>
              <w:rPr>
                <w:rFonts w:eastAsia="Times New Roman"/>
                <w:lang w:eastAsia="lv-LV"/>
              </w:rPr>
            </w:pPr>
            <w:r w:rsidRPr="00A92A45">
              <w:rPr>
                <w:rFonts w:eastAsia="Times New Roman"/>
                <w:lang w:eastAsia="lv-LV"/>
              </w:rPr>
              <w:t> B</w:t>
            </w: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rsidR="00B30CCA" w:rsidRPr="00A92A45" w:rsidRDefault="00B30CCA" w:rsidP="00B30CCA">
            <w:pPr>
              <w:spacing w:before="75" w:after="75" w:line="165" w:lineRule="atLeast"/>
              <w:jc w:val="center"/>
              <w:rPr>
                <w:rFonts w:eastAsia="Times New Roman"/>
                <w:lang w:eastAsia="lv-LV"/>
              </w:rPr>
            </w:pPr>
            <w:r w:rsidRPr="00A92A45">
              <w:rPr>
                <w:rFonts w:eastAsia="Times New Roman"/>
                <w:lang w:eastAsia="lv-LV"/>
              </w:rPr>
              <w:t> C</w:t>
            </w:r>
          </w:p>
        </w:tc>
        <w:tc>
          <w:tcPr>
            <w:tcW w:w="1533" w:type="pct"/>
            <w:gridSpan w:val="2"/>
            <w:tcBorders>
              <w:top w:val="outset" w:sz="6" w:space="0" w:color="auto"/>
              <w:left w:val="outset" w:sz="6" w:space="0" w:color="auto"/>
              <w:bottom w:val="outset" w:sz="6" w:space="0" w:color="auto"/>
              <w:right w:val="outset" w:sz="6" w:space="0" w:color="auto"/>
            </w:tcBorders>
            <w:vAlign w:val="center"/>
            <w:hideMark/>
          </w:tcPr>
          <w:p w:rsidR="00B30CCA" w:rsidRPr="00A92A45" w:rsidRDefault="00B30CCA" w:rsidP="00B30CCA">
            <w:pPr>
              <w:spacing w:before="75" w:after="75" w:line="165" w:lineRule="atLeast"/>
              <w:jc w:val="center"/>
              <w:rPr>
                <w:rFonts w:eastAsia="Times New Roman"/>
                <w:lang w:eastAsia="lv-LV"/>
              </w:rPr>
            </w:pPr>
            <w:r w:rsidRPr="00A92A45">
              <w:rPr>
                <w:rFonts w:eastAsia="Times New Roman"/>
                <w:lang w:eastAsia="lv-LV"/>
              </w:rPr>
              <w:t> D</w:t>
            </w:r>
          </w:p>
        </w:tc>
      </w:tr>
      <w:tr w:rsidR="00B30CCA" w:rsidRPr="00A92A45" w:rsidTr="0070628C">
        <w:trPr>
          <w:trHeight w:val="2138"/>
          <w:tblCellSpacing w:w="0" w:type="dxa"/>
        </w:trPr>
        <w:tc>
          <w:tcPr>
            <w:tcW w:w="1410" w:type="pct"/>
            <w:gridSpan w:val="2"/>
            <w:tcBorders>
              <w:top w:val="outset" w:sz="6" w:space="0" w:color="auto"/>
              <w:left w:val="outset" w:sz="6" w:space="0" w:color="auto"/>
              <w:bottom w:val="outset" w:sz="6" w:space="0" w:color="auto"/>
              <w:right w:val="outset" w:sz="6" w:space="0" w:color="auto"/>
            </w:tcBorders>
            <w:hideMark/>
          </w:tcPr>
          <w:p w:rsidR="00B30CCA" w:rsidRPr="00A92A45" w:rsidRDefault="00B30CCA" w:rsidP="002351D9">
            <w:pPr>
              <w:spacing w:before="75" w:after="75" w:line="240" w:lineRule="auto"/>
              <w:rPr>
                <w:rFonts w:eastAsia="Times New Roman"/>
                <w:lang w:eastAsia="lv-LV"/>
              </w:rPr>
            </w:pPr>
            <w:r w:rsidRPr="00A92A45">
              <w:rPr>
                <w:rFonts w:eastAsia="Times New Roman"/>
                <w:lang w:eastAsia="lv-LV"/>
              </w:rPr>
              <w:t> Attiecīgā ES tiesību akta panta numurs (uzskaitot katru tiesību akta</w:t>
            </w:r>
            <w:r w:rsidRPr="00A92A45">
              <w:rPr>
                <w:rFonts w:eastAsia="Times New Roman"/>
                <w:lang w:eastAsia="lv-LV"/>
              </w:rPr>
              <w:br/>
              <w:t>vienību – pantu, daļu, punktu, apakšpunktu</w:t>
            </w:r>
            <w:r w:rsidR="002351D9" w:rsidRPr="00A92A45">
              <w:rPr>
                <w:rFonts w:eastAsia="Times New Roman"/>
                <w:lang w:eastAsia="lv-LV"/>
              </w:rPr>
              <w:t>)</w:t>
            </w:r>
          </w:p>
        </w:tc>
        <w:tc>
          <w:tcPr>
            <w:tcW w:w="1012" w:type="pct"/>
            <w:gridSpan w:val="3"/>
            <w:tcBorders>
              <w:top w:val="outset" w:sz="6" w:space="0" w:color="auto"/>
              <w:left w:val="outset" w:sz="6" w:space="0" w:color="auto"/>
              <w:bottom w:val="outset" w:sz="6" w:space="0" w:color="auto"/>
              <w:right w:val="outset" w:sz="6" w:space="0" w:color="auto"/>
            </w:tcBorders>
            <w:hideMark/>
          </w:tcPr>
          <w:p w:rsidR="00B30CCA" w:rsidRPr="00A92A45" w:rsidRDefault="00B30CCA" w:rsidP="002351D9">
            <w:pPr>
              <w:spacing w:before="75" w:after="75" w:line="240" w:lineRule="auto"/>
              <w:rPr>
                <w:rFonts w:eastAsia="Times New Roman"/>
                <w:lang w:eastAsia="lv-LV"/>
              </w:rPr>
            </w:pPr>
            <w:r w:rsidRPr="00A92A45">
              <w:rPr>
                <w:rFonts w:eastAsia="Times New Roman"/>
                <w:lang w:eastAsia="lv-LV"/>
              </w:rPr>
              <w:t> Projekta vienība, kas pārņem vai ievieš katru šīs tabulas A ailē minēto ES tiesību akta vienību</w:t>
            </w:r>
          </w:p>
        </w:tc>
        <w:tc>
          <w:tcPr>
            <w:tcW w:w="1045" w:type="pct"/>
            <w:gridSpan w:val="2"/>
            <w:tcBorders>
              <w:top w:val="outset" w:sz="6" w:space="0" w:color="auto"/>
              <w:left w:val="outset" w:sz="6" w:space="0" w:color="auto"/>
              <w:bottom w:val="outset" w:sz="6" w:space="0" w:color="auto"/>
              <w:right w:val="outset" w:sz="6" w:space="0" w:color="auto"/>
            </w:tcBorders>
            <w:hideMark/>
          </w:tcPr>
          <w:p w:rsidR="00B30CCA" w:rsidRPr="00A92A45" w:rsidRDefault="00B30CCA" w:rsidP="002351D9">
            <w:pPr>
              <w:spacing w:before="75" w:after="75" w:line="240" w:lineRule="auto"/>
              <w:rPr>
                <w:rFonts w:eastAsia="Times New Roman"/>
                <w:lang w:eastAsia="lv-LV"/>
              </w:rPr>
            </w:pPr>
            <w:r w:rsidRPr="00A92A45">
              <w:rPr>
                <w:rFonts w:eastAsia="Times New Roman"/>
                <w:lang w:eastAsia="lv-LV"/>
              </w:rPr>
              <w:t> Informācija par to, vai šīs tabulas A ailē minētās ES tiesību akta vienības tiek pārņemtas vai ieviestas pilnībā vai daļēji.</w:t>
            </w:r>
          </w:p>
        </w:tc>
        <w:tc>
          <w:tcPr>
            <w:tcW w:w="1533" w:type="pct"/>
            <w:gridSpan w:val="2"/>
            <w:tcBorders>
              <w:top w:val="outset" w:sz="6" w:space="0" w:color="auto"/>
              <w:left w:val="outset" w:sz="6" w:space="0" w:color="auto"/>
              <w:bottom w:val="outset" w:sz="6" w:space="0" w:color="auto"/>
              <w:right w:val="outset" w:sz="6" w:space="0" w:color="auto"/>
            </w:tcBorders>
            <w:hideMark/>
          </w:tcPr>
          <w:p w:rsidR="00B30CCA" w:rsidRPr="00A92A45" w:rsidRDefault="00B30CCA" w:rsidP="002351D9">
            <w:pPr>
              <w:spacing w:before="75" w:after="75" w:line="240" w:lineRule="auto"/>
              <w:rPr>
                <w:rFonts w:eastAsia="Times New Roman"/>
                <w:lang w:eastAsia="lv-LV"/>
              </w:rPr>
            </w:pPr>
            <w:r w:rsidRPr="00A92A45">
              <w:rPr>
                <w:rFonts w:eastAsia="Times New Roman"/>
                <w:lang w:eastAsia="lv-LV"/>
              </w:rPr>
              <w:t> Informācija par to, vai šīs tabulas B ailē minētās projekta vienības paredz stingrākas prasības nekā šīs tabulas A ailē minētās ES tiesību akta vienības.</w:t>
            </w:r>
          </w:p>
        </w:tc>
      </w:tr>
      <w:tr w:rsidR="002351D9" w:rsidRPr="00A92A45" w:rsidTr="0070628C">
        <w:trPr>
          <w:trHeight w:val="525"/>
          <w:tblCellSpacing w:w="0" w:type="dxa"/>
        </w:trPr>
        <w:tc>
          <w:tcPr>
            <w:tcW w:w="5000" w:type="pct"/>
            <w:gridSpan w:val="9"/>
            <w:tcBorders>
              <w:top w:val="outset" w:sz="6" w:space="0" w:color="auto"/>
              <w:left w:val="outset" w:sz="6" w:space="0" w:color="auto"/>
              <w:bottom w:val="outset" w:sz="6" w:space="0" w:color="auto"/>
              <w:right w:val="outset" w:sz="6" w:space="0" w:color="auto"/>
            </w:tcBorders>
            <w:hideMark/>
          </w:tcPr>
          <w:p w:rsidR="002351D9" w:rsidRPr="00181694" w:rsidRDefault="002351D9" w:rsidP="00B30CCA">
            <w:pPr>
              <w:spacing w:before="75" w:after="75" w:line="240" w:lineRule="auto"/>
              <w:rPr>
                <w:rFonts w:eastAsia="Times New Roman"/>
                <w:b/>
                <w:lang w:eastAsia="lv-LV"/>
              </w:rPr>
            </w:pPr>
            <w:r w:rsidRPr="00A92A45">
              <w:rPr>
                <w:rFonts w:eastAsia="Times New Roman"/>
                <w:lang w:eastAsia="lv-LV"/>
              </w:rPr>
              <w:t> </w:t>
            </w:r>
            <w:r w:rsidR="00342D82" w:rsidRPr="00181694">
              <w:rPr>
                <w:rFonts w:eastAsia="Times New Roman"/>
                <w:b/>
                <w:lang w:eastAsia="lv-LV"/>
              </w:rPr>
              <w:t xml:space="preserve">Direktīvas 2010/75/ES </w:t>
            </w:r>
            <w:r w:rsidRPr="00181694">
              <w:rPr>
                <w:rFonts w:eastAsia="Times New Roman"/>
                <w:b/>
                <w:lang w:eastAsia="lv-LV"/>
              </w:rPr>
              <w:t>I nodaļa – Kopīgi noteikumi</w:t>
            </w:r>
          </w:p>
        </w:tc>
      </w:tr>
      <w:tr w:rsidR="00375028" w:rsidRPr="00A92A45" w:rsidTr="00B23D97">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375028" w:rsidRPr="00A92A45" w:rsidRDefault="00404398" w:rsidP="00812946">
            <w:pPr>
              <w:spacing w:before="75" w:after="75" w:line="240" w:lineRule="auto"/>
              <w:rPr>
                <w:rFonts w:eastAsia="Times New Roman"/>
                <w:lang w:eastAsia="lv-LV"/>
              </w:rPr>
            </w:pPr>
            <w:r w:rsidRPr="00A92A45">
              <w:t xml:space="preserve">3.panta </w:t>
            </w:r>
            <w:r w:rsidR="00812946" w:rsidRPr="00A92A45">
              <w:t>2</w:t>
            </w:r>
            <w:r w:rsidRPr="00A92A45">
              <w:t>4.punkts</w:t>
            </w:r>
          </w:p>
        </w:tc>
        <w:tc>
          <w:tcPr>
            <w:tcW w:w="1323" w:type="pct"/>
            <w:gridSpan w:val="4"/>
            <w:tcBorders>
              <w:top w:val="outset" w:sz="6" w:space="0" w:color="auto"/>
              <w:left w:val="outset" w:sz="6" w:space="0" w:color="auto"/>
              <w:bottom w:val="outset" w:sz="6" w:space="0" w:color="auto"/>
              <w:right w:val="outset" w:sz="6" w:space="0" w:color="auto"/>
            </w:tcBorders>
            <w:hideMark/>
          </w:tcPr>
          <w:p w:rsidR="00375028" w:rsidRPr="00A92A45" w:rsidRDefault="002062FC" w:rsidP="00992F2B">
            <w:pPr>
              <w:spacing w:before="75" w:after="75" w:line="240" w:lineRule="auto"/>
              <w:rPr>
                <w:rFonts w:eastAsia="Times New Roman"/>
                <w:lang w:eastAsia="lv-LV"/>
              </w:rPr>
            </w:pPr>
            <w:r w:rsidRPr="00A92A45">
              <w:rPr>
                <w:rFonts w:eastAsia="Times New Roman"/>
                <w:lang w:eastAsia="lv-LV"/>
              </w:rPr>
              <w:t>2.</w:t>
            </w:r>
            <w:r w:rsidR="00992F2B">
              <w:rPr>
                <w:rFonts w:eastAsia="Times New Roman"/>
                <w:lang w:eastAsia="lv-LV"/>
              </w:rPr>
              <w:t>8</w:t>
            </w:r>
            <w:r w:rsidRPr="00A92A45">
              <w:rPr>
                <w:rFonts w:eastAsia="Times New Roman"/>
                <w:lang w:eastAsia="lv-LV"/>
              </w:rPr>
              <w:t>.apakšpunkts</w:t>
            </w:r>
          </w:p>
        </w:tc>
        <w:tc>
          <w:tcPr>
            <w:tcW w:w="1045" w:type="pct"/>
            <w:gridSpan w:val="2"/>
            <w:tcBorders>
              <w:top w:val="outset" w:sz="6" w:space="0" w:color="auto"/>
              <w:left w:val="outset" w:sz="6" w:space="0" w:color="auto"/>
              <w:bottom w:val="outset" w:sz="6" w:space="0" w:color="auto"/>
              <w:right w:val="outset" w:sz="6" w:space="0" w:color="auto"/>
            </w:tcBorders>
            <w:hideMark/>
          </w:tcPr>
          <w:p w:rsidR="00375028" w:rsidRPr="00A92A45" w:rsidRDefault="00745F6C" w:rsidP="00B30CCA">
            <w:pPr>
              <w:spacing w:before="75" w:after="75" w:line="240" w:lineRule="auto"/>
              <w:rPr>
                <w:rFonts w:eastAsia="Times New Roman"/>
                <w:lang w:eastAsia="lv-LV"/>
              </w:rPr>
            </w:pPr>
            <w:r w:rsidRPr="00A92A45">
              <w:rPr>
                <w:rFonts w:eastAsia="Times New Roman"/>
                <w:lang w:eastAsia="lv-LV"/>
              </w:rPr>
              <w:t>pārņemts pilnībā</w:t>
            </w:r>
          </w:p>
        </w:tc>
        <w:tc>
          <w:tcPr>
            <w:tcW w:w="1533" w:type="pct"/>
            <w:gridSpan w:val="2"/>
            <w:tcBorders>
              <w:top w:val="outset" w:sz="6" w:space="0" w:color="auto"/>
              <w:left w:val="outset" w:sz="6" w:space="0" w:color="auto"/>
              <w:bottom w:val="outset" w:sz="6" w:space="0" w:color="auto"/>
              <w:right w:val="outset" w:sz="6" w:space="0" w:color="auto"/>
            </w:tcBorders>
            <w:hideMark/>
          </w:tcPr>
          <w:p w:rsidR="00375028" w:rsidRPr="00A92A45" w:rsidRDefault="002351D9" w:rsidP="00025D46">
            <w:pPr>
              <w:spacing w:after="0" w:line="240" w:lineRule="auto"/>
              <w:rPr>
                <w:rFonts w:eastAsia="Times New Roman"/>
                <w:lang w:eastAsia="lv-LV"/>
              </w:rPr>
            </w:pPr>
            <w:r w:rsidRPr="00A92A45">
              <w:rPr>
                <w:rFonts w:eastAsia="Times New Roman"/>
                <w:lang w:eastAsia="lv-LV"/>
              </w:rPr>
              <w:t>neparedz stingrākas prasības</w:t>
            </w:r>
          </w:p>
        </w:tc>
      </w:tr>
      <w:tr w:rsidR="00812946" w:rsidRPr="00A92A45" w:rsidTr="00B23D97">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812946" w:rsidRPr="00A92A45" w:rsidRDefault="00812946" w:rsidP="00812946">
            <w:pPr>
              <w:spacing w:before="75" w:after="75" w:line="240" w:lineRule="auto"/>
            </w:pPr>
            <w:r w:rsidRPr="00A92A45">
              <w:t>3.panta 25.punkts</w:t>
            </w:r>
          </w:p>
        </w:tc>
        <w:tc>
          <w:tcPr>
            <w:tcW w:w="1323" w:type="pct"/>
            <w:gridSpan w:val="4"/>
            <w:tcBorders>
              <w:top w:val="outset" w:sz="6" w:space="0" w:color="auto"/>
              <w:left w:val="outset" w:sz="6" w:space="0" w:color="auto"/>
              <w:bottom w:val="outset" w:sz="6" w:space="0" w:color="auto"/>
              <w:right w:val="outset" w:sz="6" w:space="0" w:color="auto"/>
            </w:tcBorders>
            <w:hideMark/>
          </w:tcPr>
          <w:p w:rsidR="00812946" w:rsidRPr="00A92A45" w:rsidRDefault="00D83695" w:rsidP="00992F2B">
            <w:pPr>
              <w:spacing w:before="75" w:after="75" w:line="240" w:lineRule="auto"/>
              <w:rPr>
                <w:rFonts w:eastAsia="Times New Roman"/>
                <w:lang w:eastAsia="lv-LV"/>
              </w:rPr>
            </w:pPr>
            <w:r w:rsidRPr="00A92A45">
              <w:rPr>
                <w:rFonts w:eastAsia="Times New Roman"/>
                <w:lang w:eastAsia="lv-LV"/>
              </w:rPr>
              <w:t>2.</w:t>
            </w:r>
            <w:r w:rsidR="00992F2B">
              <w:rPr>
                <w:rFonts w:eastAsia="Times New Roman"/>
                <w:lang w:eastAsia="lv-LV"/>
              </w:rPr>
              <w:t>10</w:t>
            </w:r>
            <w:r w:rsidRPr="00A92A45">
              <w:rPr>
                <w:rFonts w:eastAsia="Times New Roman"/>
                <w:lang w:eastAsia="lv-LV"/>
              </w:rPr>
              <w:t>.apakšpunkts</w:t>
            </w:r>
          </w:p>
        </w:tc>
        <w:tc>
          <w:tcPr>
            <w:tcW w:w="1045" w:type="pct"/>
            <w:gridSpan w:val="2"/>
            <w:tcBorders>
              <w:top w:val="outset" w:sz="6" w:space="0" w:color="auto"/>
              <w:left w:val="outset" w:sz="6" w:space="0" w:color="auto"/>
              <w:bottom w:val="outset" w:sz="6" w:space="0" w:color="auto"/>
              <w:right w:val="outset" w:sz="6" w:space="0" w:color="auto"/>
            </w:tcBorders>
            <w:hideMark/>
          </w:tcPr>
          <w:p w:rsidR="00812946" w:rsidRPr="00A92A45" w:rsidRDefault="00812946" w:rsidP="00E63F53">
            <w:r w:rsidRPr="00A92A45">
              <w:rPr>
                <w:rFonts w:eastAsia="Times New Roman"/>
                <w:lang w:eastAsia="lv-LV"/>
              </w:rPr>
              <w:t>pārņemts pilnībā</w:t>
            </w:r>
          </w:p>
        </w:tc>
        <w:tc>
          <w:tcPr>
            <w:tcW w:w="1533" w:type="pct"/>
            <w:gridSpan w:val="2"/>
            <w:tcBorders>
              <w:top w:val="outset" w:sz="6" w:space="0" w:color="auto"/>
              <w:left w:val="outset" w:sz="6" w:space="0" w:color="auto"/>
              <w:bottom w:val="outset" w:sz="6" w:space="0" w:color="auto"/>
              <w:right w:val="outset" w:sz="6" w:space="0" w:color="auto"/>
            </w:tcBorders>
            <w:hideMark/>
          </w:tcPr>
          <w:p w:rsidR="00812946" w:rsidRPr="00A92A45" w:rsidRDefault="00812946" w:rsidP="00025D46">
            <w:pPr>
              <w:spacing w:after="0" w:line="240" w:lineRule="auto"/>
            </w:pPr>
            <w:r w:rsidRPr="00A92A45">
              <w:rPr>
                <w:rFonts w:eastAsia="Times New Roman"/>
                <w:lang w:eastAsia="lv-LV"/>
              </w:rPr>
              <w:t>neparedz stingrākas prasības</w:t>
            </w:r>
          </w:p>
        </w:tc>
      </w:tr>
      <w:tr w:rsidR="00812946" w:rsidRPr="00A92A45" w:rsidTr="00B23D97">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812946" w:rsidRPr="00A92A45" w:rsidRDefault="00812946" w:rsidP="00812946">
            <w:pPr>
              <w:spacing w:before="75" w:after="75" w:line="240" w:lineRule="auto"/>
            </w:pPr>
            <w:r w:rsidRPr="00A92A45">
              <w:t>3.panta 26.punkts</w:t>
            </w:r>
          </w:p>
        </w:tc>
        <w:tc>
          <w:tcPr>
            <w:tcW w:w="1323" w:type="pct"/>
            <w:gridSpan w:val="4"/>
            <w:tcBorders>
              <w:top w:val="outset" w:sz="6" w:space="0" w:color="auto"/>
              <w:left w:val="outset" w:sz="6" w:space="0" w:color="auto"/>
              <w:bottom w:val="outset" w:sz="6" w:space="0" w:color="auto"/>
              <w:right w:val="outset" w:sz="6" w:space="0" w:color="auto"/>
            </w:tcBorders>
            <w:hideMark/>
          </w:tcPr>
          <w:p w:rsidR="00812946" w:rsidRPr="00A92A45" w:rsidRDefault="001D6C0C" w:rsidP="00992F2B">
            <w:pPr>
              <w:spacing w:before="75" w:after="75" w:line="240" w:lineRule="auto"/>
              <w:rPr>
                <w:rFonts w:eastAsia="Times New Roman"/>
                <w:lang w:eastAsia="lv-LV"/>
              </w:rPr>
            </w:pPr>
            <w:r w:rsidRPr="00A92A45">
              <w:rPr>
                <w:rFonts w:eastAsia="Times New Roman"/>
                <w:lang w:eastAsia="lv-LV"/>
              </w:rPr>
              <w:t>2.</w:t>
            </w:r>
            <w:r w:rsidR="00992F2B">
              <w:rPr>
                <w:rFonts w:eastAsia="Times New Roman"/>
                <w:lang w:eastAsia="lv-LV"/>
              </w:rPr>
              <w:t>4</w:t>
            </w:r>
            <w:r w:rsidRPr="00A92A45">
              <w:rPr>
                <w:rFonts w:eastAsia="Times New Roman"/>
                <w:lang w:eastAsia="lv-LV"/>
              </w:rPr>
              <w:t>.apakšpunkts</w:t>
            </w:r>
          </w:p>
        </w:tc>
        <w:tc>
          <w:tcPr>
            <w:tcW w:w="1045" w:type="pct"/>
            <w:gridSpan w:val="2"/>
            <w:tcBorders>
              <w:top w:val="outset" w:sz="6" w:space="0" w:color="auto"/>
              <w:left w:val="outset" w:sz="6" w:space="0" w:color="auto"/>
              <w:bottom w:val="outset" w:sz="6" w:space="0" w:color="auto"/>
              <w:right w:val="outset" w:sz="6" w:space="0" w:color="auto"/>
            </w:tcBorders>
            <w:hideMark/>
          </w:tcPr>
          <w:p w:rsidR="00812946" w:rsidRPr="00A92A45" w:rsidRDefault="00812946" w:rsidP="00E63F53">
            <w:r w:rsidRPr="00A92A45">
              <w:rPr>
                <w:rFonts w:eastAsia="Times New Roman"/>
                <w:lang w:eastAsia="lv-LV"/>
              </w:rPr>
              <w:t>pārņemts pilnībā</w:t>
            </w:r>
          </w:p>
        </w:tc>
        <w:tc>
          <w:tcPr>
            <w:tcW w:w="1533" w:type="pct"/>
            <w:gridSpan w:val="2"/>
            <w:tcBorders>
              <w:top w:val="outset" w:sz="6" w:space="0" w:color="auto"/>
              <w:left w:val="outset" w:sz="6" w:space="0" w:color="auto"/>
              <w:bottom w:val="outset" w:sz="6" w:space="0" w:color="auto"/>
              <w:right w:val="outset" w:sz="6" w:space="0" w:color="auto"/>
            </w:tcBorders>
            <w:hideMark/>
          </w:tcPr>
          <w:p w:rsidR="00812946" w:rsidRPr="00A92A45" w:rsidRDefault="00812946" w:rsidP="00025D46">
            <w:pPr>
              <w:spacing w:after="0" w:line="240" w:lineRule="auto"/>
            </w:pPr>
            <w:r w:rsidRPr="00A92A45">
              <w:rPr>
                <w:rFonts w:eastAsia="Times New Roman"/>
                <w:lang w:eastAsia="lv-LV"/>
              </w:rPr>
              <w:t>neparedz stingrākas prasības</w:t>
            </w:r>
          </w:p>
        </w:tc>
      </w:tr>
      <w:tr w:rsidR="00812946" w:rsidRPr="00A92A45" w:rsidTr="00B23D97">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812946" w:rsidRPr="00A92A45" w:rsidRDefault="00812946" w:rsidP="00812946">
            <w:pPr>
              <w:spacing w:before="75" w:after="75" w:line="240" w:lineRule="auto"/>
            </w:pPr>
            <w:r w:rsidRPr="00A92A45">
              <w:t>3.panta 27.punkts</w:t>
            </w:r>
          </w:p>
        </w:tc>
        <w:tc>
          <w:tcPr>
            <w:tcW w:w="1323" w:type="pct"/>
            <w:gridSpan w:val="4"/>
            <w:tcBorders>
              <w:top w:val="outset" w:sz="6" w:space="0" w:color="auto"/>
              <w:left w:val="outset" w:sz="6" w:space="0" w:color="auto"/>
              <w:bottom w:val="outset" w:sz="6" w:space="0" w:color="auto"/>
              <w:right w:val="outset" w:sz="6" w:space="0" w:color="auto"/>
            </w:tcBorders>
            <w:hideMark/>
          </w:tcPr>
          <w:p w:rsidR="00812946" w:rsidRPr="00A92A45" w:rsidRDefault="00D83E3E" w:rsidP="00B30CCA">
            <w:pPr>
              <w:spacing w:before="75" w:after="75" w:line="240" w:lineRule="auto"/>
              <w:rPr>
                <w:rFonts w:eastAsia="Times New Roman"/>
                <w:lang w:eastAsia="lv-LV"/>
              </w:rPr>
            </w:pPr>
            <w:r w:rsidRPr="00A92A45">
              <w:rPr>
                <w:rFonts w:eastAsia="Times New Roman"/>
                <w:lang w:eastAsia="lv-LV"/>
              </w:rPr>
              <w:t>2.2.apakšpunkts</w:t>
            </w:r>
          </w:p>
        </w:tc>
        <w:tc>
          <w:tcPr>
            <w:tcW w:w="1045" w:type="pct"/>
            <w:gridSpan w:val="2"/>
            <w:tcBorders>
              <w:top w:val="outset" w:sz="6" w:space="0" w:color="auto"/>
              <w:left w:val="outset" w:sz="6" w:space="0" w:color="auto"/>
              <w:bottom w:val="outset" w:sz="6" w:space="0" w:color="auto"/>
              <w:right w:val="outset" w:sz="6" w:space="0" w:color="auto"/>
            </w:tcBorders>
            <w:hideMark/>
          </w:tcPr>
          <w:p w:rsidR="00812946" w:rsidRPr="00A92A45" w:rsidRDefault="00812946" w:rsidP="00E63F53">
            <w:r w:rsidRPr="00A92A45">
              <w:rPr>
                <w:rFonts w:eastAsia="Times New Roman"/>
                <w:lang w:eastAsia="lv-LV"/>
              </w:rPr>
              <w:t>pārņemts pilnībā</w:t>
            </w:r>
          </w:p>
        </w:tc>
        <w:tc>
          <w:tcPr>
            <w:tcW w:w="1533" w:type="pct"/>
            <w:gridSpan w:val="2"/>
            <w:tcBorders>
              <w:top w:val="outset" w:sz="6" w:space="0" w:color="auto"/>
              <w:left w:val="outset" w:sz="6" w:space="0" w:color="auto"/>
              <w:bottom w:val="outset" w:sz="6" w:space="0" w:color="auto"/>
              <w:right w:val="outset" w:sz="6" w:space="0" w:color="auto"/>
            </w:tcBorders>
            <w:hideMark/>
          </w:tcPr>
          <w:p w:rsidR="00812946" w:rsidRPr="00A92A45" w:rsidRDefault="00812946" w:rsidP="00025D46">
            <w:pPr>
              <w:spacing w:after="0" w:line="240" w:lineRule="auto"/>
            </w:pPr>
            <w:r w:rsidRPr="00A92A45">
              <w:rPr>
                <w:rFonts w:eastAsia="Times New Roman"/>
                <w:lang w:eastAsia="lv-LV"/>
              </w:rPr>
              <w:t>neparedz stingrākas prasības</w:t>
            </w:r>
          </w:p>
        </w:tc>
      </w:tr>
      <w:tr w:rsidR="002351D9" w:rsidRPr="00A92A45" w:rsidTr="00B23D97">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2351D9" w:rsidRPr="00A92A45" w:rsidRDefault="002351D9" w:rsidP="00812946">
            <w:pPr>
              <w:spacing w:before="75" w:after="75" w:line="240" w:lineRule="auto"/>
              <w:rPr>
                <w:rFonts w:eastAsia="Times New Roman"/>
                <w:lang w:eastAsia="lv-LV"/>
              </w:rPr>
            </w:pPr>
            <w:r w:rsidRPr="00A92A45">
              <w:t xml:space="preserve">3.panta </w:t>
            </w:r>
            <w:r w:rsidR="00812946" w:rsidRPr="00A92A45">
              <w:t>28</w:t>
            </w:r>
            <w:r w:rsidRPr="00A92A45">
              <w:t>.punkts</w:t>
            </w:r>
          </w:p>
        </w:tc>
        <w:tc>
          <w:tcPr>
            <w:tcW w:w="1323" w:type="pct"/>
            <w:gridSpan w:val="4"/>
            <w:tcBorders>
              <w:top w:val="outset" w:sz="6" w:space="0" w:color="auto"/>
              <w:left w:val="outset" w:sz="6" w:space="0" w:color="auto"/>
              <w:bottom w:val="outset" w:sz="6" w:space="0" w:color="auto"/>
              <w:right w:val="outset" w:sz="6" w:space="0" w:color="auto"/>
            </w:tcBorders>
            <w:hideMark/>
          </w:tcPr>
          <w:p w:rsidR="002351D9" w:rsidRPr="00A92A45" w:rsidRDefault="00AA31A1" w:rsidP="00992F2B">
            <w:pPr>
              <w:spacing w:before="75" w:after="75" w:line="240" w:lineRule="auto"/>
              <w:rPr>
                <w:rFonts w:eastAsia="Times New Roman"/>
                <w:lang w:eastAsia="lv-LV"/>
              </w:rPr>
            </w:pPr>
            <w:r w:rsidRPr="00A92A45">
              <w:rPr>
                <w:rFonts w:eastAsia="Times New Roman"/>
                <w:lang w:eastAsia="lv-LV"/>
              </w:rPr>
              <w:t>2.</w:t>
            </w:r>
            <w:r w:rsidR="00992F2B">
              <w:rPr>
                <w:rFonts w:eastAsia="Times New Roman"/>
                <w:lang w:eastAsia="lv-LV"/>
              </w:rPr>
              <w:t>11</w:t>
            </w:r>
            <w:r w:rsidRPr="00A92A45">
              <w:rPr>
                <w:rFonts w:eastAsia="Times New Roman"/>
                <w:lang w:eastAsia="lv-LV"/>
              </w:rPr>
              <w:t>.apakšpunkts</w:t>
            </w:r>
          </w:p>
        </w:tc>
        <w:tc>
          <w:tcPr>
            <w:tcW w:w="1045" w:type="pct"/>
            <w:gridSpan w:val="2"/>
            <w:tcBorders>
              <w:top w:val="outset" w:sz="6" w:space="0" w:color="auto"/>
              <w:left w:val="outset" w:sz="6" w:space="0" w:color="auto"/>
              <w:bottom w:val="outset" w:sz="6" w:space="0" w:color="auto"/>
              <w:right w:val="outset" w:sz="6" w:space="0" w:color="auto"/>
            </w:tcBorders>
            <w:hideMark/>
          </w:tcPr>
          <w:p w:rsidR="002351D9" w:rsidRPr="00A92A45" w:rsidRDefault="002351D9">
            <w:r w:rsidRPr="00A92A45">
              <w:rPr>
                <w:rFonts w:eastAsia="Times New Roman"/>
                <w:lang w:eastAsia="lv-LV"/>
              </w:rPr>
              <w:t>pārņemts pilnībā</w:t>
            </w:r>
          </w:p>
        </w:tc>
        <w:tc>
          <w:tcPr>
            <w:tcW w:w="1533" w:type="pct"/>
            <w:gridSpan w:val="2"/>
            <w:tcBorders>
              <w:top w:val="outset" w:sz="6" w:space="0" w:color="auto"/>
              <w:left w:val="outset" w:sz="6" w:space="0" w:color="auto"/>
              <w:bottom w:val="outset" w:sz="6" w:space="0" w:color="auto"/>
              <w:right w:val="outset" w:sz="6" w:space="0" w:color="auto"/>
            </w:tcBorders>
            <w:hideMark/>
          </w:tcPr>
          <w:p w:rsidR="002351D9" w:rsidRPr="00A92A45" w:rsidRDefault="002351D9" w:rsidP="00025D46">
            <w:pPr>
              <w:spacing w:after="0" w:line="240" w:lineRule="auto"/>
            </w:pPr>
            <w:r w:rsidRPr="00A92A45">
              <w:rPr>
                <w:rFonts w:eastAsia="Times New Roman"/>
                <w:lang w:eastAsia="lv-LV"/>
              </w:rPr>
              <w:t>neparedz stingrākas prasības</w:t>
            </w:r>
          </w:p>
        </w:tc>
      </w:tr>
      <w:tr w:rsidR="002351D9" w:rsidRPr="00A92A45" w:rsidTr="00B23D97">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2351D9" w:rsidRPr="00A92A45" w:rsidRDefault="002351D9" w:rsidP="00812946">
            <w:pPr>
              <w:spacing w:before="75" w:after="75" w:line="240" w:lineRule="auto"/>
              <w:rPr>
                <w:rFonts w:eastAsia="Times New Roman"/>
                <w:lang w:eastAsia="lv-LV"/>
              </w:rPr>
            </w:pPr>
            <w:r w:rsidRPr="00A92A45">
              <w:t xml:space="preserve">3.panta </w:t>
            </w:r>
            <w:r w:rsidR="00812946" w:rsidRPr="00A92A45">
              <w:t>29</w:t>
            </w:r>
            <w:r w:rsidRPr="00A92A45">
              <w:t>.punkts</w:t>
            </w:r>
          </w:p>
        </w:tc>
        <w:tc>
          <w:tcPr>
            <w:tcW w:w="1323" w:type="pct"/>
            <w:gridSpan w:val="4"/>
            <w:tcBorders>
              <w:top w:val="outset" w:sz="6" w:space="0" w:color="auto"/>
              <w:left w:val="outset" w:sz="6" w:space="0" w:color="auto"/>
              <w:bottom w:val="outset" w:sz="6" w:space="0" w:color="auto"/>
              <w:right w:val="outset" w:sz="6" w:space="0" w:color="auto"/>
            </w:tcBorders>
            <w:hideMark/>
          </w:tcPr>
          <w:p w:rsidR="002351D9" w:rsidRPr="00A92A45" w:rsidRDefault="008F1312" w:rsidP="008F1312">
            <w:pPr>
              <w:spacing w:before="75" w:after="75" w:line="240" w:lineRule="auto"/>
              <w:rPr>
                <w:rFonts w:eastAsia="Times New Roman"/>
                <w:lang w:eastAsia="lv-LV"/>
              </w:rPr>
            </w:pPr>
            <w:r w:rsidRPr="00A92A45">
              <w:rPr>
                <w:rFonts w:eastAsia="Times New Roman"/>
                <w:lang w:eastAsia="lv-LV"/>
              </w:rPr>
              <w:t xml:space="preserve">Norma nav pārņemta, jo ir izmantota direktīvā paredzētā rīcības brīvība </w:t>
            </w:r>
          </w:p>
        </w:tc>
        <w:tc>
          <w:tcPr>
            <w:tcW w:w="1045" w:type="pct"/>
            <w:gridSpan w:val="2"/>
            <w:tcBorders>
              <w:top w:val="outset" w:sz="6" w:space="0" w:color="auto"/>
              <w:left w:val="outset" w:sz="6" w:space="0" w:color="auto"/>
              <w:bottom w:val="outset" w:sz="6" w:space="0" w:color="auto"/>
              <w:right w:val="outset" w:sz="6" w:space="0" w:color="auto"/>
            </w:tcBorders>
            <w:hideMark/>
          </w:tcPr>
          <w:p w:rsidR="002351D9" w:rsidRPr="00A92A45" w:rsidRDefault="00A23E65">
            <w:r w:rsidRPr="00A92A45">
              <w:rPr>
                <w:rFonts w:eastAsia="Times New Roman"/>
                <w:lang w:eastAsia="lv-LV"/>
              </w:rPr>
              <w:t>nav pārņemts</w:t>
            </w:r>
          </w:p>
        </w:tc>
        <w:tc>
          <w:tcPr>
            <w:tcW w:w="1533" w:type="pct"/>
            <w:gridSpan w:val="2"/>
            <w:tcBorders>
              <w:top w:val="outset" w:sz="6" w:space="0" w:color="auto"/>
              <w:left w:val="outset" w:sz="6" w:space="0" w:color="auto"/>
              <w:bottom w:val="outset" w:sz="6" w:space="0" w:color="auto"/>
              <w:right w:val="outset" w:sz="6" w:space="0" w:color="auto"/>
            </w:tcBorders>
            <w:hideMark/>
          </w:tcPr>
          <w:p w:rsidR="002351D9" w:rsidRPr="00A92A45" w:rsidRDefault="008F1312" w:rsidP="00025D46">
            <w:pPr>
              <w:spacing w:after="0" w:line="240" w:lineRule="auto"/>
            </w:pPr>
            <w:r w:rsidRPr="00A92A45">
              <w:rPr>
                <w:rFonts w:eastAsia="Times New Roman"/>
                <w:lang w:eastAsia="lv-LV"/>
              </w:rPr>
              <w:t>-</w:t>
            </w:r>
          </w:p>
        </w:tc>
      </w:tr>
      <w:tr w:rsidR="00812946" w:rsidRPr="00A92A45" w:rsidTr="00B23D97">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812946" w:rsidRPr="00A92A45" w:rsidRDefault="00812946" w:rsidP="00812946">
            <w:pPr>
              <w:spacing w:before="75" w:after="75" w:line="240" w:lineRule="auto"/>
            </w:pPr>
            <w:r w:rsidRPr="00A92A45">
              <w:t>3.panta 30.punkts</w:t>
            </w:r>
          </w:p>
        </w:tc>
        <w:tc>
          <w:tcPr>
            <w:tcW w:w="1323" w:type="pct"/>
            <w:gridSpan w:val="4"/>
            <w:tcBorders>
              <w:top w:val="outset" w:sz="6" w:space="0" w:color="auto"/>
              <w:left w:val="outset" w:sz="6" w:space="0" w:color="auto"/>
              <w:bottom w:val="outset" w:sz="6" w:space="0" w:color="auto"/>
              <w:right w:val="outset" w:sz="6" w:space="0" w:color="auto"/>
            </w:tcBorders>
            <w:hideMark/>
          </w:tcPr>
          <w:p w:rsidR="00812946" w:rsidRPr="00A92A45" w:rsidRDefault="009265FE" w:rsidP="00992F2B">
            <w:pPr>
              <w:spacing w:before="75" w:after="75" w:line="240" w:lineRule="auto"/>
              <w:rPr>
                <w:rFonts w:eastAsia="Times New Roman"/>
                <w:lang w:eastAsia="lv-LV"/>
              </w:rPr>
            </w:pPr>
            <w:r w:rsidRPr="00A92A45">
              <w:rPr>
                <w:rFonts w:eastAsia="Times New Roman"/>
                <w:lang w:eastAsia="lv-LV"/>
              </w:rPr>
              <w:t>2.</w:t>
            </w:r>
            <w:r w:rsidR="00992F2B">
              <w:rPr>
                <w:rFonts w:eastAsia="Times New Roman"/>
                <w:lang w:eastAsia="lv-LV"/>
              </w:rPr>
              <w:t>9</w:t>
            </w:r>
            <w:r w:rsidRPr="00A92A45">
              <w:rPr>
                <w:rFonts w:eastAsia="Times New Roman"/>
                <w:lang w:eastAsia="lv-LV"/>
              </w:rPr>
              <w:t>.apakšpunkts</w:t>
            </w:r>
          </w:p>
        </w:tc>
        <w:tc>
          <w:tcPr>
            <w:tcW w:w="1045" w:type="pct"/>
            <w:gridSpan w:val="2"/>
            <w:tcBorders>
              <w:top w:val="outset" w:sz="6" w:space="0" w:color="auto"/>
              <w:left w:val="outset" w:sz="6" w:space="0" w:color="auto"/>
              <w:bottom w:val="outset" w:sz="6" w:space="0" w:color="auto"/>
              <w:right w:val="outset" w:sz="6" w:space="0" w:color="auto"/>
            </w:tcBorders>
            <w:hideMark/>
          </w:tcPr>
          <w:p w:rsidR="00812946" w:rsidRPr="00A92A45" w:rsidRDefault="00812946" w:rsidP="00E63F53">
            <w:r w:rsidRPr="00A92A45">
              <w:rPr>
                <w:rFonts w:eastAsia="Times New Roman"/>
                <w:lang w:eastAsia="lv-LV"/>
              </w:rPr>
              <w:t>pārņemts pilnībā</w:t>
            </w:r>
          </w:p>
        </w:tc>
        <w:tc>
          <w:tcPr>
            <w:tcW w:w="1533" w:type="pct"/>
            <w:gridSpan w:val="2"/>
            <w:tcBorders>
              <w:top w:val="outset" w:sz="6" w:space="0" w:color="auto"/>
              <w:left w:val="outset" w:sz="6" w:space="0" w:color="auto"/>
              <w:bottom w:val="outset" w:sz="6" w:space="0" w:color="auto"/>
              <w:right w:val="outset" w:sz="6" w:space="0" w:color="auto"/>
            </w:tcBorders>
            <w:hideMark/>
          </w:tcPr>
          <w:p w:rsidR="00812946" w:rsidRPr="00A92A45" w:rsidRDefault="00812946" w:rsidP="00025D46">
            <w:pPr>
              <w:spacing w:after="0" w:line="240" w:lineRule="auto"/>
            </w:pPr>
            <w:r w:rsidRPr="00A92A45">
              <w:rPr>
                <w:rFonts w:eastAsia="Times New Roman"/>
                <w:lang w:eastAsia="lv-LV"/>
              </w:rPr>
              <w:t>neparedz stingrākas prasības</w:t>
            </w:r>
          </w:p>
        </w:tc>
      </w:tr>
      <w:tr w:rsidR="00812946" w:rsidRPr="00A92A45" w:rsidTr="00B23D97">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812946" w:rsidRPr="00A92A45" w:rsidRDefault="00812946" w:rsidP="00812946">
            <w:pPr>
              <w:spacing w:before="75" w:after="75" w:line="240" w:lineRule="auto"/>
            </w:pPr>
            <w:r w:rsidRPr="00A92A45">
              <w:t>3.panta 31.punkts</w:t>
            </w:r>
          </w:p>
        </w:tc>
        <w:tc>
          <w:tcPr>
            <w:tcW w:w="1323" w:type="pct"/>
            <w:gridSpan w:val="4"/>
            <w:tcBorders>
              <w:top w:val="outset" w:sz="6" w:space="0" w:color="auto"/>
              <w:left w:val="outset" w:sz="6" w:space="0" w:color="auto"/>
              <w:bottom w:val="outset" w:sz="6" w:space="0" w:color="auto"/>
              <w:right w:val="outset" w:sz="6" w:space="0" w:color="auto"/>
            </w:tcBorders>
            <w:hideMark/>
          </w:tcPr>
          <w:p w:rsidR="00812946" w:rsidRPr="00A92A45" w:rsidRDefault="009650EA" w:rsidP="00B30CCA">
            <w:pPr>
              <w:spacing w:before="75" w:after="75" w:line="240" w:lineRule="auto"/>
              <w:rPr>
                <w:rFonts w:eastAsia="Times New Roman"/>
                <w:lang w:eastAsia="lv-LV"/>
              </w:rPr>
            </w:pPr>
            <w:r w:rsidRPr="00A92A45">
              <w:rPr>
                <w:rFonts w:eastAsia="Times New Roman"/>
                <w:lang w:eastAsia="lv-LV"/>
              </w:rPr>
              <w:t>2.1.apakšpunkts</w:t>
            </w:r>
          </w:p>
        </w:tc>
        <w:tc>
          <w:tcPr>
            <w:tcW w:w="1045" w:type="pct"/>
            <w:gridSpan w:val="2"/>
            <w:tcBorders>
              <w:top w:val="outset" w:sz="6" w:space="0" w:color="auto"/>
              <w:left w:val="outset" w:sz="6" w:space="0" w:color="auto"/>
              <w:bottom w:val="outset" w:sz="6" w:space="0" w:color="auto"/>
              <w:right w:val="outset" w:sz="6" w:space="0" w:color="auto"/>
            </w:tcBorders>
            <w:hideMark/>
          </w:tcPr>
          <w:p w:rsidR="00812946" w:rsidRPr="00A92A45" w:rsidRDefault="00812946" w:rsidP="00E63F53">
            <w:r w:rsidRPr="00A92A45">
              <w:rPr>
                <w:rFonts w:eastAsia="Times New Roman"/>
                <w:lang w:eastAsia="lv-LV"/>
              </w:rPr>
              <w:t>pārņemts pilnībā</w:t>
            </w:r>
          </w:p>
        </w:tc>
        <w:tc>
          <w:tcPr>
            <w:tcW w:w="1533" w:type="pct"/>
            <w:gridSpan w:val="2"/>
            <w:tcBorders>
              <w:top w:val="outset" w:sz="6" w:space="0" w:color="auto"/>
              <w:left w:val="outset" w:sz="6" w:space="0" w:color="auto"/>
              <w:bottom w:val="outset" w:sz="6" w:space="0" w:color="auto"/>
              <w:right w:val="outset" w:sz="6" w:space="0" w:color="auto"/>
            </w:tcBorders>
            <w:hideMark/>
          </w:tcPr>
          <w:p w:rsidR="00812946" w:rsidRPr="00A92A45" w:rsidRDefault="00812946" w:rsidP="00025D46">
            <w:pPr>
              <w:spacing w:after="0" w:line="240" w:lineRule="auto"/>
            </w:pPr>
            <w:r w:rsidRPr="00A92A45">
              <w:rPr>
                <w:rFonts w:eastAsia="Times New Roman"/>
                <w:lang w:eastAsia="lv-LV"/>
              </w:rPr>
              <w:t>neparedz stingrākas prasības</w:t>
            </w:r>
          </w:p>
        </w:tc>
      </w:tr>
      <w:tr w:rsidR="00812946" w:rsidRPr="00A92A45" w:rsidTr="00B23D97">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812946" w:rsidRPr="00A92A45" w:rsidRDefault="00812946" w:rsidP="00812946">
            <w:pPr>
              <w:spacing w:before="75" w:after="75" w:line="240" w:lineRule="auto"/>
            </w:pPr>
            <w:r w:rsidRPr="00A92A45">
              <w:t>3.panta 32.punkts</w:t>
            </w:r>
          </w:p>
        </w:tc>
        <w:tc>
          <w:tcPr>
            <w:tcW w:w="1323" w:type="pct"/>
            <w:gridSpan w:val="4"/>
            <w:tcBorders>
              <w:top w:val="outset" w:sz="6" w:space="0" w:color="auto"/>
              <w:left w:val="outset" w:sz="6" w:space="0" w:color="auto"/>
              <w:bottom w:val="outset" w:sz="6" w:space="0" w:color="auto"/>
              <w:right w:val="outset" w:sz="6" w:space="0" w:color="auto"/>
            </w:tcBorders>
            <w:hideMark/>
          </w:tcPr>
          <w:p w:rsidR="00812946" w:rsidRPr="00A92A45" w:rsidRDefault="00CC3FE1" w:rsidP="00992F2B">
            <w:pPr>
              <w:spacing w:before="75" w:after="75" w:line="240" w:lineRule="auto"/>
              <w:rPr>
                <w:rFonts w:eastAsia="Times New Roman"/>
                <w:lang w:eastAsia="lv-LV"/>
              </w:rPr>
            </w:pPr>
            <w:r w:rsidRPr="00A92A45">
              <w:rPr>
                <w:rFonts w:eastAsia="Times New Roman"/>
                <w:lang w:eastAsia="lv-LV"/>
              </w:rPr>
              <w:t>2.</w:t>
            </w:r>
            <w:r w:rsidR="00992F2B">
              <w:rPr>
                <w:rFonts w:eastAsia="Times New Roman"/>
                <w:lang w:eastAsia="lv-LV"/>
              </w:rPr>
              <w:t>7</w:t>
            </w:r>
            <w:r w:rsidRPr="00A92A45">
              <w:rPr>
                <w:rFonts w:eastAsia="Times New Roman"/>
                <w:lang w:eastAsia="lv-LV"/>
              </w:rPr>
              <w:t>.apakšpunkts</w:t>
            </w:r>
          </w:p>
        </w:tc>
        <w:tc>
          <w:tcPr>
            <w:tcW w:w="1045" w:type="pct"/>
            <w:gridSpan w:val="2"/>
            <w:tcBorders>
              <w:top w:val="outset" w:sz="6" w:space="0" w:color="auto"/>
              <w:left w:val="outset" w:sz="6" w:space="0" w:color="auto"/>
              <w:bottom w:val="outset" w:sz="6" w:space="0" w:color="auto"/>
              <w:right w:val="outset" w:sz="6" w:space="0" w:color="auto"/>
            </w:tcBorders>
            <w:hideMark/>
          </w:tcPr>
          <w:p w:rsidR="00812946" w:rsidRPr="00A92A45" w:rsidRDefault="00812946" w:rsidP="00E63F53">
            <w:r w:rsidRPr="00A92A45">
              <w:rPr>
                <w:rFonts w:eastAsia="Times New Roman"/>
                <w:lang w:eastAsia="lv-LV"/>
              </w:rPr>
              <w:t>pārņemts pilnībā</w:t>
            </w:r>
          </w:p>
        </w:tc>
        <w:tc>
          <w:tcPr>
            <w:tcW w:w="1533" w:type="pct"/>
            <w:gridSpan w:val="2"/>
            <w:tcBorders>
              <w:top w:val="outset" w:sz="6" w:space="0" w:color="auto"/>
              <w:left w:val="outset" w:sz="6" w:space="0" w:color="auto"/>
              <w:bottom w:val="outset" w:sz="6" w:space="0" w:color="auto"/>
              <w:right w:val="outset" w:sz="6" w:space="0" w:color="auto"/>
            </w:tcBorders>
            <w:hideMark/>
          </w:tcPr>
          <w:p w:rsidR="00812946" w:rsidRPr="00A92A45" w:rsidRDefault="00812946" w:rsidP="00025D46">
            <w:pPr>
              <w:spacing w:after="0" w:line="240" w:lineRule="auto"/>
            </w:pPr>
            <w:r w:rsidRPr="00A92A45">
              <w:rPr>
                <w:rFonts w:eastAsia="Times New Roman"/>
                <w:lang w:eastAsia="lv-LV"/>
              </w:rPr>
              <w:t>neparedz stingrākas prasības</w:t>
            </w:r>
          </w:p>
        </w:tc>
      </w:tr>
      <w:tr w:rsidR="00812946" w:rsidRPr="00A92A45" w:rsidTr="00B23D97">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812946" w:rsidRPr="00A92A45" w:rsidRDefault="00812946" w:rsidP="00812946">
            <w:pPr>
              <w:spacing w:before="75" w:after="75" w:line="240" w:lineRule="auto"/>
            </w:pPr>
            <w:r w:rsidRPr="00A92A45">
              <w:t>3.panta 33.punkts</w:t>
            </w:r>
          </w:p>
        </w:tc>
        <w:tc>
          <w:tcPr>
            <w:tcW w:w="1323" w:type="pct"/>
            <w:gridSpan w:val="4"/>
            <w:tcBorders>
              <w:top w:val="outset" w:sz="6" w:space="0" w:color="auto"/>
              <w:left w:val="outset" w:sz="6" w:space="0" w:color="auto"/>
              <w:bottom w:val="outset" w:sz="6" w:space="0" w:color="auto"/>
              <w:right w:val="outset" w:sz="6" w:space="0" w:color="auto"/>
            </w:tcBorders>
            <w:hideMark/>
          </w:tcPr>
          <w:p w:rsidR="00812946" w:rsidRPr="00A92A45" w:rsidRDefault="00A95D96" w:rsidP="00992F2B">
            <w:pPr>
              <w:spacing w:before="75" w:after="75" w:line="240" w:lineRule="auto"/>
              <w:rPr>
                <w:rFonts w:eastAsia="Times New Roman"/>
                <w:lang w:eastAsia="lv-LV"/>
              </w:rPr>
            </w:pPr>
            <w:r w:rsidRPr="00A92A45">
              <w:rPr>
                <w:rFonts w:eastAsia="Times New Roman"/>
                <w:lang w:eastAsia="lv-LV"/>
              </w:rPr>
              <w:t>2.</w:t>
            </w:r>
            <w:r w:rsidR="00992F2B">
              <w:rPr>
                <w:rFonts w:eastAsia="Times New Roman"/>
                <w:lang w:eastAsia="lv-LV"/>
              </w:rPr>
              <w:t>6</w:t>
            </w:r>
            <w:r w:rsidRPr="00A92A45">
              <w:rPr>
                <w:rFonts w:eastAsia="Times New Roman"/>
                <w:lang w:eastAsia="lv-LV"/>
              </w:rPr>
              <w:t>.apakšpunkts</w:t>
            </w:r>
          </w:p>
        </w:tc>
        <w:tc>
          <w:tcPr>
            <w:tcW w:w="1045" w:type="pct"/>
            <w:gridSpan w:val="2"/>
            <w:tcBorders>
              <w:top w:val="outset" w:sz="6" w:space="0" w:color="auto"/>
              <w:left w:val="outset" w:sz="6" w:space="0" w:color="auto"/>
              <w:bottom w:val="outset" w:sz="6" w:space="0" w:color="auto"/>
              <w:right w:val="outset" w:sz="6" w:space="0" w:color="auto"/>
            </w:tcBorders>
            <w:hideMark/>
          </w:tcPr>
          <w:p w:rsidR="00812946" w:rsidRPr="00A92A45" w:rsidRDefault="00812946" w:rsidP="00E63F53">
            <w:r w:rsidRPr="00A92A45">
              <w:rPr>
                <w:rFonts w:eastAsia="Times New Roman"/>
                <w:lang w:eastAsia="lv-LV"/>
              </w:rPr>
              <w:t>pārņemts pilnībā</w:t>
            </w:r>
          </w:p>
        </w:tc>
        <w:tc>
          <w:tcPr>
            <w:tcW w:w="1533" w:type="pct"/>
            <w:gridSpan w:val="2"/>
            <w:tcBorders>
              <w:top w:val="outset" w:sz="6" w:space="0" w:color="auto"/>
              <w:left w:val="outset" w:sz="6" w:space="0" w:color="auto"/>
              <w:bottom w:val="outset" w:sz="6" w:space="0" w:color="auto"/>
              <w:right w:val="outset" w:sz="6" w:space="0" w:color="auto"/>
            </w:tcBorders>
            <w:hideMark/>
          </w:tcPr>
          <w:p w:rsidR="00812946" w:rsidRPr="00A92A45" w:rsidRDefault="00812946" w:rsidP="00025D46">
            <w:pPr>
              <w:spacing w:after="0" w:line="240" w:lineRule="auto"/>
            </w:pPr>
            <w:r w:rsidRPr="00A92A45">
              <w:rPr>
                <w:rFonts w:eastAsia="Times New Roman"/>
                <w:lang w:eastAsia="lv-LV"/>
              </w:rPr>
              <w:t>neparedz stingrākas prasības</w:t>
            </w:r>
          </w:p>
        </w:tc>
      </w:tr>
      <w:tr w:rsidR="00812946" w:rsidRPr="00A92A45" w:rsidTr="00B23D97">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812946" w:rsidRPr="00A92A45" w:rsidRDefault="00812946" w:rsidP="00812946">
            <w:pPr>
              <w:spacing w:before="75" w:after="75" w:line="240" w:lineRule="auto"/>
            </w:pPr>
            <w:r w:rsidRPr="00A92A45">
              <w:t>3.panta 34.punkts</w:t>
            </w:r>
          </w:p>
        </w:tc>
        <w:tc>
          <w:tcPr>
            <w:tcW w:w="1323" w:type="pct"/>
            <w:gridSpan w:val="4"/>
            <w:tcBorders>
              <w:top w:val="outset" w:sz="6" w:space="0" w:color="auto"/>
              <w:left w:val="outset" w:sz="6" w:space="0" w:color="auto"/>
              <w:bottom w:val="outset" w:sz="6" w:space="0" w:color="auto"/>
              <w:right w:val="outset" w:sz="6" w:space="0" w:color="auto"/>
            </w:tcBorders>
            <w:hideMark/>
          </w:tcPr>
          <w:p w:rsidR="00812946" w:rsidRPr="00A92A45" w:rsidRDefault="00AE2613" w:rsidP="00992F2B">
            <w:pPr>
              <w:spacing w:before="75" w:after="75" w:line="240" w:lineRule="auto"/>
              <w:rPr>
                <w:rFonts w:eastAsia="Times New Roman"/>
                <w:lang w:eastAsia="lv-LV"/>
              </w:rPr>
            </w:pPr>
            <w:r w:rsidRPr="00A92A45">
              <w:rPr>
                <w:rFonts w:eastAsia="Times New Roman"/>
                <w:lang w:eastAsia="lv-LV"/>
              </w:rPr>
              <w:t>2.</w:t>
            </w:r>
            <w:r w:rsidR="00992F2B">
              <w:rPr>
                <w:rFonts w:eastAsia="Times New Roman"/>
                <w:lang w:eastAsia="lv-LV"/>
              </w:rPr>
              <w:t>5</w:t>
            </w:r>
            <w:r w:rsidRPr="00A92A45">
              <w:rPr>
                <w:rFonts w:eastAsia="Times New Roman"/>
                <w:lang w:eastAsia="lv-LV"/>
              </w:rPr>
              <w:t>.apakšpunkts</w:t>
            </w:r>
          </w:p>
        </w:tc>
        <w:tc>
          <w:tcPr>
            <w:tcW w:w="1045" w:type="pct"/>
            <w:gridSpan w:val="2"/>
            <w:tcBorders>
              <w:top w:val="outset" w:sz="6" w:space="0" w:color="auto"/>
              <w:left w:val="outset" w:sz="6" w:space="0" w:color="auto"/>
              <w:bottom w:val="outset" w:sz="6" w:space="0" w:color="auto"/>
              <w:right w:val="outset" w:sz="6" w:space="0" w:color="auto"/>
            </w:tcBorders>
            <w:hideMark/>
          </w:tcPr>
          <w:p w:rsidR="00812946" w:rsidRPr="00A92A45" w:rsidRDefault="00812946" w:rsidP="00E63F53">
            <w:r w:rsidRPr="00A92A45">
              <w:rPr>
                <w:rFonts w:eastAsia="Times New Roman"/>
                <w:lang w:eastAsia="lv-LV"/>
              </w:rPr>
              <w:t>pārņemts pilnībā</w:t>
            </w:r>
          </w:p>
        </w:tc>
        <w:tc>
          <w:tcPr>
            <w:tcW w:w="1533" w:type="pct"/>
            <w:gridSpan w:val="2"/>
            <w:tcBorders>
              <w:top w:val="outset" w:sz="6" w:space="0" w:color="auto"/>
              <w:left w:val="outset" w:sz="6" w:space="0" w:color="auto"/>
              <w:bottom w:val="outset" w:sz="6" w:space="0" w:color="auto"/>
              <w:right w:val="outset" w:sz="6" w:space="0" w:color="auto"/>
            </w:tcBorders>
            <w:hideMark/>
          </w:tcPr>
          <w:p w:rsidR="00812946" w:rsidRPr="00A92A45" w:rsidRDefault="00812946" w:rsidP="00025D46">
            <w:pPr>
              <w:spacing w:after="0" w:line="240" w:lineRule="auto"/>
            </w:pPr>
            <w:r w:rsidRPr="00A92A45">
              <w:rPr>
                <w:rFonts w:eastAsia="Times New Roman"/>
                <w:lang w:eastAsia="lv-LV"/>
              </w:rPr>
              <w:t>neparedz stingrākas prasības</w:t>
            </w:r>
          </w:p>
        </w:tc>
      </w:tr>
      <w:tr w:rsidR="00812946" w:rsidRPr="00A92A45" w:rsidTr="00B23D97">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812946" w:rsidRPr="00A92A45" w:rsidRDefault="00812946" w:rsidP="00812946">
            <w:pPr>
              <w:spacing w:before="75" w:after="75" w:line="240" w:lineRule="auto"/>
            </w:pPr>
            <w:r w:rsidRPr="00A92A45">
              <w:t>3.panta 35.punkts</w:t>
            </w:r>
          </w:p>
        </w:tc>
        <w:tc>
          <w:tcPr>
            <w:tcW w:w="1323" w:type="pct"/>
            <w:gridSpan w:val="4"/>
            <w:tcBorders>
              <w:top w:val="outset" w:sz="6" w:space="0" w:color="auto"/>
              <w:left w:val="outset" w:sz="6" w:space="0" w:color="auto"/>
              <w:bottom w:val="outset" w:sz="6" w:space="0" w:color="auto"/>
              <w:right w:val="outset" w:sz="6" w:space="0" w:color="auto"/>
            </w:tcBorders>
            <w:hideMark/>
          </w:tcPr>
          <w:p w:rsidR="00812946" w:rsidRPr="00A92A45" w:rsidRDefault="007D0936" w:rsidP="00B30CCA">
            <w:pPr>
              <w:spacing w:before="75" w:after="75" w:line="240" w:lineRule="auto"/>
              <w:rPr>
                <w:rFonts w:eastAsia="Times New Roman"/>
                <w:lang w:eastAsia="lv-LV"/>
              </w:rPr>
            </w:pPr>
            <w:r w:rsidRPr="00A92A45">
              <w:rPr>
                <w:rFonts w:eastAsia="Times New Roman"/>
                <w:lang w:eastAsia="lv-LV"/>
              </w:rPr>
              <w:t>2.3.apakšpunkts</w:t>
            </w:r>
          </w:p>
        </w:tc>
        <w:tc>
          <w:tcPr>
            <w:tcW w:w="1045" w:type="pct"/>
            <w:gridSpan w:val="2"/>
            <w:tcBorders>
              <w:top w:val="outset" w:sz="6" w:space="0" w:color="auto"/>
              <w:left w:val="outset" w:sz="6" w:space="0" w:color="auto"/>
              <w:bottom w:val="outset" w:sz="6" w:space="0" w:color="auto"/>
              <w:right w:val="outset" w:sz="6" w:space="0" w:color="auto"/>
            </w:tcBorders>
            <w:hideMark/>
          </w:tcPr>
          <w:p w:rsidR="00812946" w:rsidRPr="00A92A45" w:rsidRDefault="00812946" w:rsidP="00E63F53">
            <w:r w:rsidRPr="00A92A45">
              <w:rPr>
                <w:rFonts w:eastAsia="Times New Roman"/>
                <w:lang w:eastAsia="lv-LV"/>
              </w:rPr>
              <w:t>pārņemts pilnībā</w:t>
            </w:r>
          </w:p>
        </w:tc>
        <w:tc>
          <w:tcPr>
            <w:tcW w:w="1533" w:type="pct"/>
            <w:gridSpan w:val="2"/>
            <w:tcBorders>
              <w:top w:val="outset" w:sz="6" w:space="0" w:color="auto"/>
              <w:left w:val="outset" w:sz="6" w:space="0" w:color="auto"/>
              <w:bottom w:val="outset" w:sz="6" w:space="0" w:color="auto"/>
              <w:right w:val="outset" w:sz="6" w:space="0" w:color="auto"/>
            </w:tcBorders>
            <w:hideMark/>
          </w:tcPr>
          <w:p w:rsidR="00812946" w:rsidRPr="00A92A45" w:rsidRDefault="00812946" w:rsidP="00025D46">
            <w:pPr>
              <w:spacing w:after="0" w:line="240" w:lineRule="auto"/>
            </w:pPr>
            <w:r w:rsidRPr="00A92A45">
              <w:rPr>
                <w:rFonts w:eastAsia="Times New Roman"/>
                <w:lang w:eastAsia="lv-LV"/>
              </w:rPr>
              <w:t>neparedz stingrākas prasības</w:t>
            </w:r>
          </w:p>
        </w:tc>
      </w:tr>
      <w:tr w:rsidR="00812946" w:rsidRPr="00A92A45" w:rsidTr="0078033A">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812946" w:rsidRPr="00A92A45" w:rsidRDefault="00812946" w:rsidP="0078033A">
            <w:pPr>
              <w:spacing w:before="75" w:after="75" w:line="240" w:lineRule="auto"/>
            </w:pPr>
            <w:r w:rsidRPr="00A92A45">
              <w:t>3.panta 36.punkts</w:t>
            </w:r>
          </w:p>
        </w:tc>
        <w:tc>
          <w:tcPr>
            <w:tcW w:w="1323" w:type="pct"/>
            <w:gridSpan w:val="4"/>
            <w:tcBorders>
              <w:top w:val="outset" w:sz="6" w:space="0" w:color="auto"/>
              <w:left w:val="outset" w:sz="6" w:space="0" w:color="auto"/>
              <w:bottom w:val="outset" w:sz="6" w:space="0" w:color="auto"/>
              <w:right w:val="outset" w:sz="6" w:space="0" w:color="auto"/>
            </w:tcBorders>
            <w:hideMark/>
          </w:tcPr>
          <w:p w:rsidR="00812946" w:rsidRPr="00A92A45" w:rsidRDefault="00DA7CFE" w:rsidP="0078033A">
            <w:pPr>
              <w:spacing w:before="75" w:after="75" w:line="240" w:lineRule="auto"/>
              <w:rPr>
                <w:rFonts w:eastAsia="Times New Roman"/>
                <w:lang w:eastAsia="lv-LV"/>
              </w:rPr>
            </w:pPr>
            <w:r w:rsidRPr="00A92A45">
              <w:rPr>
                <w:rFonts w:eastAsia="Times New Roman"/>
                <w:lang w:eastAsia="lv-LV"/>
              </w:rPr>
              <w:t xml:space="preserve">Norma nav pārņemta, jo ir izmantota direktīvā </w:t>
            </w:r>
            <w:r w:rsidRPr="00A92A45">
              <w:rPr>
                <w:rFonts w:eastAsia="Times New Roman"/>
                <w:lang w:eastAsia="lv-LV"/>
              </w:rPr>
              <w:lastRenderedPageBreak/>
              <w:t xml:space="preserve">paredzētā rīcības brīvība </w:t>
            </w:r>
          </w:p>
        </w:tc>
        <w:tc>
          <w:tcPr>
            <w:tcW w:w="1045" w:type="pct"/>
            <w:gridSpan w:val="2"/>
            <w:tcBorders>
              <w:top w:val="outset" w:sz="6" w:space="0" w:color="auto"/>
              <w:left w:val="outset" w:sz="6" w:space="0" w:color="auto"/>
              <w:bottom w:val="outset" w:sz="6" w:space="0" w:color="auto"/>
              <w:right w:val="outset" w:sz="6" w:space="0" w:color="auto"/>
            </w:tcBorders>
            <w:hideMark/>
          </w:tcPr>
          <w:p w:rsidR="00812946" w:rsidRPr="00A92A45" w:rsidRDefault="00A23E65" w:rsidP="0078033A">
            <w:r w:rsidRPr="00A92A45">
              <w:rPr>
                <w:rFonts w:eastAsia="Times New Roman"/>
                <w:lang w:eastAsia="lv-LV"/>
              </w:rPr>
              <w:lastRenderedPageBreak/>
              <w:t>nav pārņemts</w:t>
            </w:r>
          </w:p>
        </w:tc>
        <w:tc>
          <w:tcPr>
            <w:tcW w:w="1533" w:type="pct"/>
            <w:gridSpan w:val="2"/>
            <w:tcBorders>
              <w:top w:val="outset" w:sz="6" w:space="0" w:color="auto"/>
              <w:left w:val="outset" w:sz="6" w:space="0" w:color="auto"/>
              <w:bottom w:val="outset" w:sz="6" w:space="0" w:color="auto"/>
              <w:right w:val="outset" w:sz="6" w:space="0" w:color="auto"/>
            </w:tcBorders>
            <w:hideMark/>
          </w:tcPr>
          <w:p w:rsidR="00812946" w:rsidRPr="00A92A45" w:rsidRDefault="00DA7CFE" w:rsidP="0078033A">
            <w:r w:rsidRPr="00A92A45">
              <w:rPr>
                <w:rFonts w:eastAsia="Times New Roman"/>
                <w:lang w:eastAsia="lv-LV"/>
              </w:rPr>
              <w:t>-</w:t>
            </w:r>
          </w:p>
        </w:tc>
      </w:tr>
      <w:tr w:rsidR="002351D9" w:rsidRPr="00A92A45" w:rsidTr="00025D46">
        <w:trPr>
          <w:trHeight w:val="947"/>
          <w:tblCellSpacing w:w="0" w:type="dxa"/>
        </w:trPr>
        <w:tc>
          <w:tcPr>
            <w:tcW w:w="5000" w:type="pct"/>
            <w:gridSpan w:val="9"/>
            <w:tcBorders>
              <w:top w:val="outset" w:sz="6" w:space="0" w:color="auto"/>
              <w:left w:val="outset" w:sz="6" w:space="0" w:color="auto"/>
              <w:bottom w:val="outset" w:sz="6" w:space="0" w:color="auto"/>
              <w:right w:val="outset" w:sz="6" w:space="0" w:color="auto"/>
            </w:tcBorders>
            <w:vAlign w:val="center"/>
            <w:hideMark/>
          </w:tcPr>
          <w:p w:rsidR="002351D9" w:rsidRPr="00181694" w:rsidRDefault="00504B46" w:rsidP="002351D9">
            <w:pPr>
              <w:rPr>
                <w:b/>
              </w:rPr>
            </w:pPr>
            <w:r w:rsidRPr="00181694">
              <w:rPr>
                <w:rFonts w:eastAsia="Times New Roman"/>
                <w:b/>
                <w:lang w:eastAsia="lv-LV"/>
              </w:rPr>
              <w:lastRenderedPageBreak/>
              <w:t xml:space="preserve">Direktīvas 2010/75/ES </w:t>
            </w:r>
            <w:r w:rsidR="002351D9" w:rsidRPr="00181694">
              <w:rPr>
                <w:rFonts w:eastAsia="Times New Roman"/>
                <w:b/>
                <w:lang w:eastAsia="lv-LV"/>
              </w:rPr>
              <w:t xml:space="preserve">III nodaļa – Īpaši noteikumi par iekārtām un darbībām, kurās izmanto organiskos šķīdinātājus </w:t>
            </w:r>
          </w:p>
        </w:tc>
      </w:tr>
      <w:tr w:rsidR="002351D9" w:rsidRPr="00A92A45" w:rsidTr="00BD64AD">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2351D9" w:rsidRPr="00A92A45" w:rsidRDefault="00E2296D" w:rsidP="00375028">
            <w:pPr>
              <w:spacing w:before="75" w:after="75" w:line="240" w:lineRule="auto"/>
              <w:rPr>
                <w:rFonts w:eastAsia="Times New Roman"/>
                <w:lang w:eastAsia="lv-LV"/>
              </w:rPr>
            </w:pPr>
            <w:r w:rsidRPr="00A92A45">
              <w:rPr>
                <w:rFonts w:eastAsia="Times New Roman"/>
                <w:lang w:eastAsia="lv-LV"/>
              </w:rPr>
              <w:t>28.pants</w:t>
            </w:r>
          </w:p>
        </w:tc>
        <w:tc>
          <w:tcPr>
            <w:tcW w:w="1090" w:type="pct"/>
            <w:gridSpan w:val="2"/>
            <w:tcBorders>
              <w:top w:val="outset" w:sz="6" w:space="0" w:color="auto"/>
              <w:left w:val="outset" w:sz="6" w:space="0" w:color="auto"/>
              <w:bottom w:val="outset" w:sz="6" w:space="0" w:color="auto"/>
              <w:right w:val="outset" w:sz="6" w:space="0" w:color="auto"/>
            </w:tcBorders>
            <w:hideMark/>
          </w:tcPr>
          <w:p w:rsidR="002351D9" w:rsidRPr="00A92A45" w:rsidRDefault="00556EE9" w:rsidP="00931711">
            <w:pPr>
              <w:spacing w:before="75" w:after="75" w:line="240" w:lineRule="auto"/>
              <w:rPr>
                <w:rFonts w:eastAsia="Times New Roman"/>
                <w:lang w:eastAsia="lv-LV"/>
              </w:rPr>
            </w:pPr>
            <w:r w:rsidRPr="00A92A45">
              <w:rPr>
                <w:rFonts w:eastAsia="Times New Roman"/>
                <w:lang w:eastAsia="lv-LV"/>
              </w:rPr>
              <w:t>3</w:t>
            </w:r>
            <w:r w:rsidR="00EE7725" w:rsidRPr="00A92A45">
              <w:rPr>
                <w:rFonts w:eastAsia="Times New Roman"/>
                <w:lang w:eastAsia="lv-LV"/>
              </w:rPr>
              <w:t>.punkts</w:t>
            </w:r>
          </w:p>
        </w:tc>
        <w:tc>
          <w:tcPr>
            <w:tcW w:w="1169"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 w:rsidRPr="00A92A45">
              <w:rPr>
                <w:rFonts w:eastAsia="Times New Roman"/>
                <w:lang w:eastAsia="lv-LV"/>
              </w:rPr>
              <w:t>pārņemts pilnībā</w:t>
            </w:r>
          </w:p>
        </w:tc>
        <w:tc>
          <w:tcPr>
            <w:tcW w:w="1642" w:type="pct"/>
            <w:gridSpan w:val="3"/>
            <w:tcBorders>
              <w:top w:val="outset" w:sz="6" w:space="0" w:color="auto"/>
              <w:left w:val="outset" w:sz="6" w:space="0" w:color="auto"/>
              <w:bottom w:val="outset" w:sz="6" w:space="0" w:color="auto"/>
              <w:right w:val="outset" w:sz="6" w:space="0" w:color="auto"/>
            </w:tcBorders>
            <w:hideMark/>
          </w:tcPr>
          <w:p w:rsidR="00467844" w:rsidRPr="00F131A4" w:rsidRDefault="00467844" w:rsidP="008D62B4">
            <w:pPr>
              <w:spacing w:after="0" w:line="240" w:lineRule="auto"/>
              <w:jc w:val="both"/>
              <w:rPr>
                <w:rFonts w:eastAsia="Times New Roman"/>
                <w:lang w:eastAsia="lv-LV"/>
              </w:rPr>
            </w:pPr>
            <w:r w:rsidRPr="00F131A4">
              <w:rPr>
                <w:rFonts w:eastAsia="Times New Roman"/>
                <w:lang w:eastAsia="lv-LV"/>
              </w:rPr>
              <w:t xml:space="preserve">Attiecībā uz lielajām sadedzināšanas iekārtām ar </w:t>
            </w:r>
            <w:r w:rsidR="001F34A8" w:rsidRPr="00F131A4">
              <w:rPr>
                <w:rFonts w:eastAsia="Times New Roman"/>
                <w:lang w:eastAsia="lv-LV"/>
              </w:rPr>
              <w:t>nominālo ievadīto siltum</w:t>
            </w:r>
            <w:r w:rsidRPr="00F131A4">
              <w:rPr>
                <w:rFonts w:eastAsia="Times New Roman"/>
                <w:lang w:eastAsia="lv-LV"/>
              </w:rPr>
              <w:t>jaudu virs 50 MW noteikumu projektā nav noteiktas stingrākas prasības.</w:t>
            </w:r>
          </w:p>
          <w:p w:rsidR="002351D9" w:rsidRPr="00F131A4" w:rsidRDefault="00A00CD7" w:rsidP="008D62B4">
            <w:pPr>
              <w:spacing w:after="0" w:line="240" w:lineRule="auto"/>
              <w:jc w:val="both"/>
              <w:rPr>
                <w:rFonts w:eastAsia="Times New Roman"/>
                <w:lang w:eastAsia="lv-LV"/>
              </w:rPr>
            </w:pPr>
            <w:r w:rsidRPr="00F131A4">
              <w:rPr>
                <w:rFonts w:eastAsia="Times New Roman"/>
                <w:lang w:eastAsia="lv-LV"/>
              </w:rPr>
              <w:t>Noteikum</w:t>
            </w:r>
            <w:r w:rsidR="00D07F31" w:rsidRPr="00F131A4">
              <w:rPr>
                <w:rFonts w:eastAsia="Times New Roman"/>
                <w:lang w:eastAsia="lv-LV"/>
              </w:rPr>
              <w:t xml:space="preserve">u projektā </w:t>
            </w:r>
            <w:r w:rsidR="00467844" w:rsidRPr="00F131A4">
              <w:rPr>
                <w:rFonts w:eastAsia="Times New Roman"/>
                <w:lang w:eastAsia="lv-LV"/>
              </w:rPr>
              <w:t>papildus Direktīvā 2010/75/ES ietvertajam regulējumam noteiktas</w:t>
            </w:r>
            <w:r w:rsidR="00D07F31" w:rsidRPr="00F131A4">
              <w:rPr>
                <w:rFonts w:eastAsia="Times New Roman"/>
                <w:lang w:eastAsia="lv-LV"/>
              </w:rPr>
              <w:t xml:space="preserve"> prasības </w:t>
            </w:r>
            <w:r w:rsidR="00467844" w:rsidRPr="00F131A4">
              <w:rPr>
                <w:rFonts w:eastAsia="Times New Roman"/>
                <w:lang w:eastAsia="lv-LV"/>
              </w:rPr>
              <w:t xml:space="preserve">arī </w:t>
            </w:r>
            <w:r w:rsidR="00D07F31" w:rsidRPr="00F131A4">
              <w:rPr>
                <w:rFonts w:eastAsia="Times New Roman"/>
                <w:lang w:eastAsia="lv-LV"/>
              </w:rPr>
              <w:t xml:space="preserve">attiecībā uz pieļaujamo emisiju līmeni </w:t>
            </w:r>
            <w:r w:rsidR="00467844" w:rsidRPr="00F131A4">
              <w:rPr>
                <w:rFonts w:eastAsia="Times New Roman"/>
                <w:lang w:eastAsia="lv-LV"/>
              </w:rPr>
              <w:t>no</w:t>
            </w:r>
            <w:r w:rsidR="001A127C" w:rsidRPr="00F131A4">
              <w:rPr>
                <w:rFonts w:eastAsia="Times New Roman"/>
                <w:lang w:eastAsia="lv-LV"/>
              </w:rPr>
              <w:t xml:space="preserve"> vidējām</w:t>
            </w:r>
            <w:r w:rsidR="00D07F31" w:rsidRPr="00F131A4">
              <w:rPr>
                <w:rFonts w:eastAsia="Times New Roman"/>
                <w:lang w:eastAsia="lv-LV"/>
              </w:rPr>
              <w:t xml:space="preserve"> sadedzināšanas</w:t>
            </w:r>
            <w:r w:rsidRPr="00F131A4">
              <w:rPr>
                <w:rFonts w:eastAsia="Times New Roman"/>
                <w:lang w:eastAsia="lv-LV"/>
              </w:rPr>
              <w:t xml:space="preserve"> iekārtām</w:t>
            </w:r>
            <w:r w:rsidR="001A127C" w:rsidRPr="00F131A4">
              <w:rPr>
                <w:rFonts w:eastAsia="Times New Roman"/>
                <w:lang w:eastAsia="lv-LV"/>
              </w:rPr>
              <w:t xml:space="preserve"> jeb iekārtām</w:t>
            </w:r>
            <w:r w:rsidRPr="00F131A4">
              <w:rPr>
                <w:rFonts w:eastAsia="Times New Roman"/>
                <w:lang w:eastAsia="lv-LV"/>
              </w:rPr>
              <w:t xml:space="preserve"> ar </w:t>
            </w:r>
            <w:r w:rsidR="001F34A8" w:rsidRPr="00F131A4">
              <w:rPr>
                <w:rFonts w:eastAsia="Times New Roman"/>
                <w:lang w:eastAsia="lv-LV"/>
              </w:rPr>
              <w:t>nominālo ievadīto siltum</w:t>
            </w:r>
            <w:r w:rsidRPr="00F131A4">
              <w:rPr>
                <w:rFonts w:eastAsia="Times New Roman"/>
                <w:lang w:eastAsia="lv-LV"/>
              </w:rPr>
              <w:t>jaudu zem 50 MW.</w:t>
            </w:r>
          </w:p>
          <w:p w:rsidR="000F27C4" w:rsidRPr="00F131A4" w:rsidRDefault="000F27C4" w:rsidP="008D62B4">
            <w:pPr>
              <w:spacing w:after="0" w:line="240" w:lineRule="auto"/>
              <w:jc w:val="both"/>
              <w:rPr>
                <w:rFonts w:eastAsia="Times New Roman"/>
                <w:lang w:eastAsia="lv-LV"/>
              </w:rPr>
            </w:pPr>
            <w:r w:rsidRPr="00F131A4">
              <w:rPr>
                <w:rFonts w:eastAsia="Times New Roman"/>
                <w:lang w:eastAsia="lv-LV"/>
              </w:rPr>
              <w:t xml:space="preserve">Lai aizsargātu sabiedrības veselību, kā arī vidi nepieciešams noteikt prasības arī attiecībā uz vidējām sadedzināšanas iekārtām. </w:t>
            </w:r>
          </w:p>
          <w:p w:rsidR="000F27C4" w:rsidRPr="00F131A4" w:rsidRDefault="000F27C4" w:rsidP="008D62B4">
            <w:pPr>
              <w:spacing w:after="0" w:line="240" w:lineRule="auto"/>
              <w:jc w:val="both"/>
              <w:rPr>
                <w:rFonts w:eastAsia="Times New Roman"/>
                <w:lang w:eastAsia="lv-LV"/>
              </w:rPr>
            </w:pPr>
            <w:r w:rsidRPr="00F131A4">
              <w:rPr>
                <w:rFonts w:eastAsia="Times New Roman"/>
                <w:lang w:eastAsia="lv-LV"/>
              </w:rPr>
              <w:t>Šādas prasības ir spēkā no 2002.gada un ar šo noteikumu projektu vidējām sadedzināšanas iekārtām nav noteiktas stingrākas prasības.</w:t>
            </w:r>
          </w:p>
          <w:p w:rsidR="00A00CD7" w:rsidRPr="00A92A45" w:rsidRDefault="000F27C4" w:rsidP="001A127C">
            <w:pPr>
              <w:spacing w:after="0" w:line="240" w:lineRule="auto"/>
              <w:jc w:val="both"/>
            </w:pPr>
            <w:r>
              <w:rPr>
                <w:rFonts w:eastAsia="Times New Roman"/>
                <w:color w:val="FF0000"/>
                <w:lang w:eastAsia="lv-LV"/>
              </w:rPr>
              <w:t xml:space="preserve">  </w:t>
            </w:r>
          </w:p>
        </w:tc>
      </w:tr>
      <w:tr w:rsidR="002351D9" w:rsidRPr="00A92A45" w:rsidTr="00BD64AD">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2351D9" w:rsidRPr="00A92A45" w:rsidRDefault="000B73BF" w:rsidP="00375028">
            <w:pPr>
              <w:spacing w:before="75" w:after="75" w:line="240" w:lineRule="auto"/>
              <w:rPr>
                <w:rFonts w:eastAsia="Times New Roman"/>
                <w:lang w:eastAsia="lv-LV"/>
              </w:rPr>
            </w:pPr>
            <w:r w:rsidRPr="00A92A45">
              <w:rPr>
                <w:rFonts w:eastAsia="Times New Roman"/>
                <w:lang w:eastAsia="lv-LV"/>
              </w:rPr>
              <w:t>29.panta 1.</w:t>
            </w:r>
            <w:r w:rsidR="00A1058F" w:rsidRPr="00A92A45">
              <w:rPr>
                <w:rFonts w:eastAsia="Times New Roman"/>
                <w:lang w:eastAsia="lv-LV"/>
              </w:rPr>
              <w:t xml:space="preserve"> un 2.punkts</w:t>
            </w:r>
          </w:p>
        </w:tc>
        <w:tc>
          <w:tcPr>
            <w:tcW w:w="1090" w:type="pct"/>
            <w:gridSpan w:val="2"/>
            <w:tcBorders>
              <w:top w:val="outset" w:sz="6" w:space="0" w:color="auto"/>
              <w:left w:val="outset" w:sz="6" w:space="0" w:color="auto"/>
              <w:bottom w:val="outset" w:sz="6" w:space="0" w:color="auto"/>
              <w:right w:val="outset" w:sz="6" w:space="0" w:color="auto"/>
            </w:tcBorders>
            <w:hideMark/>
          </w:tcPr>
          <w:p w:rsidR="002351D9" w:rsidRPr="004B1470" w:rsidRDefault="00A1058F" w:rsidP="00B30CCA">
            <w:pPr>
              <w:spacing w:before="75" w:after="75" w:line="240" w:lineRule="auto"/>
              <w:rPr>
                <w:rFonts w:eastAsia="Times New Roman"/>
                <w:lang w:eastAsia="lv-LV"/>
              </w:rPr>
            </w:pPr>
            <w:r w:rsidRPr="004B1470">
              <w:rPr>
                <w:rFonts w:eastAsia="Times New Roman"/>
                <w:lang w:eastAsia="lv-LV"/>
              </w:rPr>
              <w:t>9.punkts</w:t>
            </w:r>
          </w:p>
        </w:tc>
        <w:tc>
          <w:tcPr>
            <w:tcW w:w="1169"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 w:rsidRPr="00A92A45">
              <w:rPr>
                <w:rFonts w:eastAsia="Times New Roman"/>
                <w:lang w:eastAsia="lv-LV"/>
              </w:rPr>
              <w:t>pārņemts pilnībā</w:t>
            </w:r>
          </w:p>
        </w:tc>
        <w:tc>
          <w:tcPr>
            <w:tcW w:w="1642"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sidP="00025D46">
            <w:pPr>
              <w:spacing w:after="0" w:line="240" w:lineRule="auto"/>
            </w:pPr>
            <w:r w:rsidRPr="00A92A45">
              <w:rPr>
                <w:rFonts w:eastAsia="Times New Roman"/>
                <w:lang w:eastAsia="lv-LV"/>
              </w:rPr>
              <w:t>neparedz stingrākas prasības</w:t>
            </w:r>
          </w:p>
        </w:tc>
      </w:tr>
      <w:tr w:rsidR="002351D9" w:rsidRPr="00A92A45" w:rsidTr="00BD64AD">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2351D9" w:rsidRPr="00A92A45" w:rsidRDefault="000B73BF" w:rsidP="000B73BF">
            <w:pPr>
              <w:spacing w:before="75" w:after="75" w:line="240" w:lineRule="auto"/>
              <w:rPr>
                <w:rFonts w:eastAsia="Times New Roman"/>
                <w:lang w:eastAsia="lv-LV"/>
              </w:rPr>
            </w:pPr>
            <w:r w:rsidRPr="00A92A45">
              <w:rPr>
                <w:rFonts w:eastAsia="Times New Roman"/>
                <w:lang w:eastAsia="lv-LV"/>
              </w:rPr>
              <w:t>29.panta 3.punkts</w:t>
            </w:r>
          </w:p>
        </w:tc>
        <w:tc>
          <w:tcPr>
            <w:tcW w:w="1090" w:type="pct"/>
            <w:gridSpan w:val="2"/>
            <w:tcBorders>
              <w:top w:val="outset" w:sz="6" w:space="0" w:color="auto"/>
              <w:left w:val="outset" w:sz="6" w:space="0" w:color="auto"/>
              <w:bottom w:val="outset" w:sz="6" w:space="0" w:color="auto"/>
              <w:right w:val="outset" w:sz="6" w:space="0" w:color="auto"/>
            </w:tcBorders>
            <w:hideMark/>
          </w:tcPr>
          <w:p w:rsidR="002351D9" w:rsidRPr="004B1470" w:rsidRDefault="00536E1D" w:rsidP="00B30CCA">
            <w:pPr>
              <w:spacing w:before="75" w:after="75" w:line="240" w:lineRule="auto"/>
              <w:rPr>
                <w:rFonts w:eastAsia="Times New Roman"/>
                <w:lang w:eastAsia="lv-LV"/>
              </w:rPr>
            </w:pPr>
            <w:r w:rsidRPr="004B1470">
              <w:rPr>
                <w:rFonts w:eastAsia="Times New Roman"/>
                <w:lang w:eastAsia="lv-LV"/>
              </w:rPr>
              <w:t>10.punkts</w:t>
            </w:r>
          </w:p>
        </w:tc>
        <w:tc>
          <w:tcPr>
            <w:tcW w:w="1169"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 w:rsidRPr="00A92A45">
              <w:rPr>
                <w:rFonts w:eastAsia="Times New Roman"/>
                <w:lang w:eastAsia="lv-LV"/>
              </w:rPr>
              <w:t>pārņemts pilnībā</w:t>
            </w:r>
          </w:p>
        </w:tc>
        <w:tc>
          <w:tcPr>
            <w:tcW w:w="1642"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sidP="00025D46">
            <w:pPr>
              <w:spacing w:after="0" w:line="240" w:lineRule="auto"/>
            </w:pPr>
            <w:r w:rsidRPr="00A92A45">
              <w:rPr>
                <w:rFonts w:eastAsia="Times New Roman"/>
                <w:lang w:eastAsia="lv-LV"/>
              </w:rPr>
              <w:t>neparedz stingrākas prasības</w:t>
            </w:r>
          </w:p>
        </w:tc>
      </w:tr>
      <w:tr w:rsidR="002351D9" w:rsidRPr="00A92A45" w:rsidTr="00BD64AD">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2351D9" w:rsidRPr="00A92A45" w:rsidRDefault="000B73BF" w:rsidP="00375028">
            <w:pPr>
              <w:spacing w:before="75" w:after="75" w:line="240" w:lineRule="auto"/>
              <w:rPr>
                <w:rFonts w:eastAsia="Times New Roman"/>
                <w:lang w:eastAsia="lv-LV"/>
              </w:rPr>
            </w:pPr>
            <w:r w:rsidRPr="00A92A45">
              <w:rPr>
                <w:rFonts w:eastAsia="Times New Roman"/>
                <w:lang w:eastAsia="lv-LV"/>
              </w:rPr>
              <w:t>30.panta 1.punkts</w:t>
            </w:r>
          </w:p>
        </w:tc>
        <w:tc>
          <w:tcPr>
            <w:tcW w:w="1090" w:type="pct"/>
            <w:gridSpan w:val="2"/>
            <w:tcBorders>
              <w:top w:val="outset" w:sz="6" w:space="0" w:color="auto"/>
              <w:left w:val="outset" w:sz="6" w:space="0" w:color="auto"/>
              <w:bottom w:val="outset" w:sz="6" w:space="0" w:color="auto"/>
              <w:right w:val="outset" w:sz="6" w:space="0" w:color="auto"/>
            </w:tcBorders>
            <w:hideMark/>
          </w:tcPr>
          <w:p w:rsidR="002351D9" w:rsidRPr="004B1470" w:rsidRDefault="00DC2B1C" w:rsidP="00DC2B1C">
            <w:pPr>
              <w:spacing w:before="75" w:after="75" w:line="240" w:lineRule="auto"/>
              <w:rPr>
                <w:rFonts w:eastAsia="Times New Roman"/>
                <w:lang w:eastAsia="lv-LV"/>
              </w:rPr>
            </w:pPr>
            <w:r w:rsidRPr="004B1470">
              <w:rPr>
                <w:rFonts w:eastAsia="Times New Roman"/>
                <w:lang w:eastAsia="lv-LV"/>
              </w:rPr>
              <w:t>55</w:t>
            </w:r>
            <w:r w:rsidR="0026140D" w:rsidRPr="004B1470">
              <w:rPr>
                <w:rFonts w:eastAsia="Times New Roman"/>
                <w:lang w:eastAsia="lv-LV"/>
              </w:rPr>
              <w:t>.punkts</w:t>
            </w:r>
          </w:p>
        </w:tc>
        <w:tc>
          <w:tcPr>
            <w:tcW w:w="1169"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 w:rsidRPr="00A92A45">
              <w:rPr>
                <w:rFonts w:eastAsia="Times New Roman"/>
                <w:lang w:eastAsia="lv-LV"/>
              </w:rPr>
              <w:t>pārņemts pilnībā</w:t>
            </w:r>
          </w:p>
        </w:tc>
        <w:tc>
          <w:tcPr>
            <w:tcW w:w="1642"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sidP="00025D46">
            <w:pPr>
              <w:spacing w:after="0" w:line="240" w:lineRule="auto"/>
            </w:pPr>
            <w:r w:rsidRPr="00A92A45">
              <w:rPr>
                <w:rFonts w:eastAsia="Times New Roman"/>
                <w:lang w:eastAsia="lv-LV"/>
              </w:rPr>
              <w:t>neparedz stingrākas prasības</w:t>
            </w:r>
          </w:p>
        </w:tc>
      </w:tr>
      <w:tr w:rsidR="002351D9" w:rsidRPr="00A92A45" w:rsidTr="00BD64AD">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2351D9" w:rsidRPr="00A92A45" w:rsidRDefault="000B73BF" w:rsidP="000B73BF">
            <w:pPr>
              <w:spacing w:before="75" w:after="75" w:line="240" w:lineRule="auto"/>
              <w:rPr>
                <w:rFonts w:eastAsia="Times New Roman"/>
                <w:lang w:eastAsia="lv-LV"/>
              </w:rPr>
            </w:pPr>
            <w:r w:rsidRPr="00A92A45">
              <w:rPr>
                <w:rFonts w:eastAsia="Times New Roman"/>
                <w:lang w:eastAsia="lv-LV"/>
              </w:rPr>
              <w:t>30.panta 2.punkts</w:t>
            </w:r>
          </w:p>
        </w:tc>
        <w:tc>
          <w:tcPr>
            <w:tcW w:w="1090" w:type="pct"/>
            <w:gridSpan w:val="2"/>
            <w:tcBorders>
              <w:top w:val="outset" w:sz="6" w:space="0" w:color="auto"/>
              <w:left w:val="outset" w:sz="6" w:space="0" w:color="auto"/>
              <w:bottom w:val="outset" w:sz="6" w:space="0" w:color="auto"/>
              <w:right w:val="outset" w:sz="6" w:space="0" w:color="auto"/>
            </w:tcBorders>
            <w:hideMark/>
          </w:tcPr>
          <w:p w:rsidR="002351D9" w:rsidRPr="004B1470" w:rsidRDefault="003E7B7B" w:rsidP="00B30CCA">
            <w:pPr>
              <w:spacing w:before="75" w:after="75" w:line="240" w:lineRule="auto"/>
              <w:rPr>
                <w:rFonts w:eastAsia="Times New Roman"/>
                <w:lang w:eastAsia="lv-LV"/>
              </w:rPr>
            </w:pPr>
            <w:r w:rsidRPr="004B1470">
              <w:rPr>
                <w:rFonts w:eastAsia="Times New Roman"/>
                <w:lang w:eastAsia="lv-LV"/>
              </w:rPr>
              <w:t>6.punkts</w:t>
            </w:r>
          </w:p>
        </w:tc>
        <w:tc>
          <w:tcPr>
            <w:tcW w:w="1169"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 w:rsidRPr="00A92A45">
              <w:rPr>
                <w:rFonts w:eastAsia="Times New Roman"/>
                <w:lang w:eastAsia="lv-LV"/>
              </w:rPr>
              <w:t>pārņemts pilnībā</w:t>
            </w:r>
          </w:p>
        </w:tc>
        <w:tc>
          <w:tcPr>
            <w:tcW w:w="1642"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sidP="00025D46">
            <w:pPr>
              <w:spacing w:after="0" w:line="240" w:lineRule="auto"/>
            </w:pPr>
            <w:r w:rsidRPr="00A92A45">
              <w:rPr>
                <w:rFonts w:eastAsia="Times New Roman"/>
                <w:lang w:eastAsia="lv-LV"/>
              </w:rPr>
              <w:t>neparedz stingrākas prasības</w:t>
            </w:r>
          </w:p>
        </w:tc>
      </w:tr>
      <w:tr w:rsidR="002351D9" w:rsidRPr="00A92A45" w:rsidTr="00BD64AD">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2351D9" w:rsidRPr="00A92A45" w:rsidRDefault="000B73BF" w:rsidP="000B73BF">
            <w:pPr>
              <w:spacing w:before="75" w:after="75" w:line="240" w:lineRule="auto"/>
              <w:rPr>
                <w:rFonts w:eastAsia="Times New Roman"/>
                <w:lang w:eastAsia="lv-LV"/>
              </w:rPr>
            </w:pPr>
            <w:r w:rsidRPr="00A92A45">
              <w:rPr>
                <w:rFonts w:eastAsia="Times New Roman"/>
                <w:lang w:eastAsia="lv-LV"/>
              </w:rPr>
              <w:t>30.panta 3.punkts</w:t>
            </w:r>
          </w:p>
        </w:tc>
        <w:tc>
          <w:tcPr>
            <w:tcW w:w="1090" w:type="pct"/>
            <w:gridSpan w:val="2"/>
            <w:tcBorders>
              <w:top w:val="outset" w:sz="6" w:space="0" w:color="auto"/>
              <w:left w:val="outset" w:sz="6" w:space="0" w:color="auto"/>
              <w:bottom w:val="outset" w:sz="6" w:space="0" w:color="auto"/>
              <w:right w:val="outset" w:sz="6" w:space="0" w:color="auto"/>
            </w:tcBorders>
            <w:hideMark/>
          </w:tcPr>
          <w:p w:rsidR="002351D9" w:rsidRPr="004B1470" w:rsidRDefault="00A94342" w:rsidP="00B30CCA">
            <w:pPr>
              <w:spacing w:before="75" w:after="75" w:line="240" w:lineRule="auto"/>
              <w:rPr>
                <w:rFonts w:eastAsia="Times New Roman"/>
                <w:lang w:eastAsia="lv-LV"/>
              </w:rPr>
            </w:pPr>
            <w:r w:rsidRPr="004B1470">
              <w:rPr>
                <w:rFonts w:eastAsia="Times New Roman"/>
                <w:lang w:eastAsia="lv-LV"/>
              </w:rPr>
              <w:t>7.punkts</w:t>
            </w:r>
          </w:p>
        </w:tc>
        <w:tc>
          <w:tcPr>
            <w:tcW w:w="1169"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 w:rsidRPr="00A92A45">
              <w:rPr>
                <w:rFonts w:eastAsia="Times New Roman"/>
                <w:lang w:eastAsia="lv-LV"/>
              </w:rPr>
              <w:t>pārņemts pilnībā</w:t>
            </w:r>
          </w:p>
        </w:tc>
        <w:tc>
          <w:tcPr>
            <w:tcW w:w="1642"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sidP="00025D46">
            <w:pPr>
              <w:spacing w:after="0" w:line="240" w:lineRule="auto"/>
            </w:pPr>
            <w:r w:rsidRPr="00A92A45">
              <w:rPr>
                <w:rFonts w:eastAsia="Times New Roman"/>
                <w:lang w:eastAsia="lv-LV"/>
              </w:rPr>
              <w:t>neparedz stingrākas prasības</w:t>
            </w:r>
          </w:p>
        </w:tc>
      </w:tr>
      <w:tr w:rsidR="002351D9" w:rsidRPr="00A92A45" w:rsidTr="00BD64AD">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2351D9" w:rsidRPr="00A92A45" w:rsidRDefault="000B73BF" w:rsidP="000B73BF">
            <w:pPr>
              <w:spacing w:before="75" w:after="75" w:line="240" w:lineRule="auto"/>
              <w:rPr>
                <w:rFonts w:eastAsia="Times New Roman"/>
                <w:lang w:eastAsia="lv-LV"/>
              </w:rPr>
            </w:pPr>
            <w:r w:rsidRPr="00A92A45">
              <w:rPr>
                <w:rFonts w:eastAsia="Times New Roman"/>
                <w:lang w:eastAsia="lv-LV"/>
              </w:rPr>
              <w:t>30.panta 4.punkts</w:t>
            </w:r>
          </w:p>
        </w:tc>
        <w:tc>
          <w:tcPr>
            <w:tcW w:w="1090" w:type="pct"/>
            <w:gridSpan w:val="2"/>
            <w:tcBorders>
              <w:top w:val="outset" w:sz="6" w:space="0" w:color="auto"/>
              <w:left w:val="outset" w:sz="6" w:space="0" w:color="auto"/>
              <w:bottom w:val="outset" w:sz="6" w:space="0" w:color="auto"/>
              <w:right w:val="outset" w:sz="6" w:space="0" w:color="auto"/>
            </w:tcBorders>
            <w:hideMark/>
          </w:tcPr>
          <w:p w:rsidR="002351D9" w:rsidRPr="004B1470" w:rsidRDefault="00B55407" w:rsidP="00992F2B">
            <w:pPr>
              <w:spacing w:before="75" w:after="75" w:line="240" w:lineRule="auto"/>
              <w:rPr>
                <w:rFonts w:eastAsia="Times New Roman"/>
                <w:lang w:eastAsia="lv-LV"/>
              </w:rPr>
            </w:pPr>
            <w:r w:rsidRPr="004B1470">
              <w:rPr>
                <w:rFonts w:eastAsia="Times New Roman"/>
                <w:lang w:eastAsia="lv-LV"/>
              </w:rPr>
              <w:t>1</w:t>
            </w:r>
            <w:r w:rsidR="00CA59E7" w:rsidRPr="004B1470">
              <w:rPr>
                <w:rFonts w:eastAsia="Times New Roman"/>
                <w:lang w:eastAsia="lv-LV"/>
              </w:rPr>
              <w:t>1.</w:t>
            </w:r>
            <w:r w:rsidR="00992F2B" w:rsidRPr="004B1470">
              <w:rPr>
                <w:rFonts w:eastAsia="Times New Roman"/>
                <w:lang w:eastAsia="lv-LV"/>
              </w:rPr>
              <w:t>, 12.</w:t>
            </w:r>
            <w:r w:rsidR="00CA59E7" w:rsidRPr="004B1470">
              <w:rPr>
                <w:rFonts w:eastAsia="Times New Roman"/>
                <w:lang w:eastAsia="lv-LV"/>
              </w:rPr>
              <w:t>punkts un 2.</w:t>
            </w:r>
            <w:r w:rsidR="00992F2B" w:rsidRPr="004B1470">
              <w:rPr>
                <w:rFonts w:eastAsia="Times New Roman"/>
                <w:lang w:eastAsia="lv-LV"/>
              </w:rPr>
              <w:t xml:space="preserve">pielikums </w:t>
            </w:r>
          </w:p>
        </w:tc>
        <w:tc>
          <w:tcPr>
            <w:tcW w:w="1169"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 w:rsidRPr="00A92A45">
              <w:rPr>
                <w:rFonts w:eastAsia="Times New Roman"/>
                <w:lang w:eastAsia="lv-LV"/>
              </w:rPr>
              <w:t>pārņemts pilnībā</w:t>
            </w:r>
          </w:p>
        </w:tc>
        <w:tc>
          <w:tcPr>
            <w:tcW w:w="1642"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sidP="00025D46">
            <w:pPr>
              <w:spacing w:after="0" w:line="240" w:lineRule="auto"/>
            </w:pPr>
            <w:r w:rsidRPr="00A92A45">
              <w:rPr>
                <w:rFonts w:eastAsia="Times New Roman"/>
                <w:lang w:eastAsia="lv-LV"/>
              </w:rPr>
              <w:t>neparedz stingrākas prasības</w:t>
            </w:r>
          </w:p>
        </w:tc>
      </w:tr>
      <w:tr w:rsidR="002351D9" w:rsidRPr="00A92A45" w:rsidTr="00BD64AD">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2351D9" w:rsidRPr="00A92A45" w:rsidRDefault="000B73BF" w:rsidP="000B73BF">
            <w:pPr>
              <w:spacing w:before="75" w:after="75" w:line="240" w:lineRule="auto"/>
              <w:rPr>
                <w:rFonts w:eastAsia="Times New Roman"/>
                <w:lang w:eastAsia="lv-LV"/>
              </w:rPr>
            </w:pPr>
            <w:r w:rsidRPr="00A92A45">
              <w:rPr>
                <w:rFonts w:eastAsia="Times New Roman"/>
                <w:lang w:eastAsia="lv-LV"/>
              </w:rPr>
              <w:t>30.panta 5.punkts</w:t>
            </w:r>
          </w:p>
        </w:tc>
        <w:tc>
          <w:tcPr>
            <w:tcW w:w="1090" w:type="pct"/>
            <w:gridSpan w:val="2"/>
            <w:tcBorders>
              <w:top w:val="outset" w:sz="6" w:space="0" w:color="auto"/>
              <w:left w:val="outset" w:sz="6" w:space="0" w:color="auto"/>
              <w:bottom w:val="outset" w:sz="6" w:space="0" w:color="auto"/>
              <w:right w:val="outset" w:sz="6" w:space="0" w:color="auto"/>
            </w:tcBorders>
            <w:hideMark/>
          </w:tcPr>
          <w:p w:rsidR="002351D9" w:rsidRPr="004B1470" w:rsidRDefault="00992F2B" w:rsidP="00DC2B1C">
            <w:pPr>
              <w:spacing w:before="75" w:after="75" w:line="240" w:lineRule="auto"/>
              <w:rPr>
                <w:rFonts w:eastAsia="Times New Roman"/>
                <w:lang w:eastAsia="lv-LV"/>
              </w:rPr>
            </w:pPr>
            <w:r w:rsidRPr="004B1470">
              <w:rPr>
                <w:rFonts w:eastAsia="Times New Roman"/>
                <w:lang w:eastAsia="lv-LV"/>
              </w:rPr>
              <w:t>20</w:t>
            </w:r>
            <w:r w:rsidR="00BD68F4" w:rsidRPr="004B1470">
              <w:rPr>
                <w:rFonts w:eastAsia="Times New Roman"/>
                <w:lang w:eastAsia="lv-LV"/>
              </w:rPr>
              <w:t>.</w:t>
            </w:r>
            <w:r w:rsidR="00134C27" w:rsidRPr="004B1470">
              <w:rPr>
                <w:rFonts w:eastAsia="Times New Roman"/>
                <w:lang w:eastAsia="lv-LV"/>
              </w:rPr>
              <w:t xml:space="preserve">, </w:t>
            </w:r>
            <w:r w:rsidRPr="004B1470">
              <w:rPr>
                <w:rFonts w:eastAsia="Times New Roman"/>
                <w:lang w:eastAsia="lv-LV"/>
              </w:rPr>
              <w:t>21</w:t>
            </w:r>
            <w:r w:rsidR="00134C27" w:rsidRPr="004B1470">
              <w:rPr>
                <w:rFonts w:eastAsia="Times New Roman"/>
                <w:lang w:eastAsia="lv-LV"/>
              </w:rPr>
              <w:t>.</w:t>
            </w:r>
            <w:r w:rsidR="00DC2B1C" w:rsidRPr="004B1470">
              <w:rPr>
                <w:rFonts w:eastAsia="Times New Roman"/>
                <w:lang w:eastAsia="lv-LV"/>
              </w:rPr>
              <w:t>, 24</w:t>
            </w:r>
            <w:r w:rsidR="00CE345F" w:rsidRPr="004B1470">
              <w:rPr>
                <w:rFonts w:eastAsia="Times New Roman"/>
                <w:lang w:eastAsia="lv-LV"/>
              </w:rPr>
              <w:t>.</w:t>
            </w:r>
            <w:r w:rsidR="00EB7525" w:rsidRPr="004B1470">
              <w:rPr>
                <w:rFonts w:eastAsia="Times New Roman"/>
                <w:lang w:eastAsia="lv-LV"/>
              </w:rPr>
              <w:t xml:space="preserve"> un</w:t>
            </w:r>
            <w:r w:rsidR="00C974AF" w:rsidRPr="004B1470">
              <w:rPr>
                <w:rFonts w:eastAsia="Times New Roman"/>
                <w:lang w:eastAsia="lv-LV"/>
              </w:rPr>
              <w:t xml:space="preserve"> </w:t>
            </w:r>
            <w:r w:rsidR="00DC2B1C" w:rsidRPr="004B1470">
              <w:rPr>
                <w:rFonts w:eastAsia="Times New Roman"/>
                <w:lang w:eastAsia="lv-LV"/>
              </w:rPr>
              <w:t>75</w:t>
            </w:r>
            <w:r w:rsidR="00C974AF" w:rsidRPr="004B1470">
              <w:rPr>
                <w:rFonts w:eastAsia="Times New Roman"/>
                <w:lang w:eastAsia="lv-LV"/>
              </w:rPr>
              <w:t>.</w:t>
            </w:r>
            <w:r w:rsidR="00BD68F4" w:rsidRPr="004B1470">
              <w:rPr>
                <w:rFonts w:eastAsia="Times New Roman"/>
                <w:lang w:eastAsia="lv-LV"/>
              </w:rPr>
              <w:t>punkts</w:t>
            </w:r>
          </w:p>
        </w:tc>
        <w:tc>
          <w:tcPr>
            <w:tcW w:w="1169"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 w:rsidRPr="00A92A45">
              <w:rPr>
                <w:rFonts w:eastAsia="Times New Roman"/>
                <w:lang w:eastAsia="lv-LV"/>
              </w:rPr>
              <w:t>pārņemts pilnībā</w:t>
            </w:r>
          </w:p>
        </w:tc>
        <w:tc>
          <w:tcPr>
            <w:tcW w:w="1642"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sidP="00025D46">
            <w:pPr>
              <w:spacing w:after="0" w:line="240" w:lineRule="auto"/>
            </w:pPr>
            <w:r w:rsidRPr="00A92A45">
              <w:rPr>
                <w:rFonts w:eastAsia="Times New Roman"/>
                <w:lang w:eastAsia="lv-LV"/>
              </w:rPr>
              <w:t>neparedz stingrākas prasības</w:t>
            </w:r>
          </w:p>
        </w:tc>
      </w:tr>
      <w:tr w:rsidR="002351D9" w:rsidRPr="00A92A45" w:rsidTr="00BD64AD">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2351D9" w:rsidRPr="00A92A45" w:rsidRDefault="000B73BF" w:rsidP="000B73BF">
            <w:pPr>
              <w:spacing w:before="75" w:after="75" w:line="240" w:lineRule="auto"/>
              <w:rPr>
                <w:rFonts w:eastAsia="Times New Roman"/>
                <w:lang w:eastAsia="lv-LV"/>
              </w:rPr>
            </w:pPr>
            <w:r w:rsidRPr="00A92A45">
              <w:rPr>
                <w:rFonts w:eastAsia="Times New Roman"/>
                <w:lang w:eastAsia="lv-LV"/>
              </w:rPr>
              <w:t>30.panta 6.punkts</w:t>
            </w:r>
          </w:p>
        </w:tc>
        <w:tc>
          <w:tcPr>
            <w:tcW w:w="1090" w:type="pct"/>
            <w:gridSpan w:val="2"/>
            <w:tcBorders>
              <w:top w:val="outset" w:sz="6" w:space="0" w:color="auto"/>
              <w:left w:val="outset" w:sz="6" w:space="0" w:color="auto"/>
              <w:bottom w:val="outset" w:sz="6" w:space="0" w:color="auto"/>
              <w:right w:val="outset" w:sz="6" w:space="0" w:color="auto"/>
            </w:tcBorders>
            <w:hideMark/>
          </w:tcPr>
          <w:p w:rsidR="002351D9" w:rsidRPr="004B1470" w:rsidRDefault="00992F2B" w:rsidP="00DC2B1C">
            <w:pPr>
              <w:spacing w:before="75" w:after="75" w:line="240" w:lineRule="auto"/>
              <w:rPr>
                <w:rFonts w:eastAsia="Times New Roman"/>
                <w:lang w:eastAsia="lv-LV"/>
              </w:rPr>
            </w:pPr>
            <w:r w:rsidRPr="004B1470">
              <w:rPr>
                <w:rFonts w:eastAsia="Times New Roman"/>
                <w:lang w:eastAsia="lv-LV"/>
              </w:rPr>
              <w:t>22</w:t>
            </w:r>
            <w:r w:rsidR="00134C27" w:rsidRPr="004B1470">
              <w:rPr>
                <w:rFonts w:eastAsia="Times New Roman"/>
                <w:lang w:eastAsia="lv-LV"/>
              </w:rPr>
              <w:t xml:space="preserve">, </w:t>
            </w:r>
            <w:r w:rsidR="00DC2B1C" w:rsidRPr="004B1470">
              <w:rPr>
                <w:rFonts w:eastAsia="Times New Roman"/>
                <w:lang w:eastAsia="lv-LV"/>
              </w:rPr>
              <w:t>23</w:t>
            </w:r>
            <w:r w:rsidR="00C974AF" w:rsidRPr="004B1470">
              <w:rPr>
                <w:rFonts w:eastAsia="Times New Roman"/>
                <w:lang w:eastAsia="lv-LV"/>
              </w:rPr>
              <w:t>.</w:t>
            </w:r>
            <w:r w:rsidR="00DC2B1C" w:rsidRPr="004B1470">
              <w:rPr>
                <w:rFonts w:eastAsia="Times New Roman"/>
                <w:lang w:eastAsia="lv-LV"/>
              </w:rPr>
              <w:t>, 24</w:t>
            </w:r>
            <w:r w:rsidR="00CE345F" w:rsidRPr="004B1470">
              <w:rPr>
                <w:rFonts w:eastAsia="Times New Roman"/>
                <w:lang w:eastAsia="lv-LV"/>
              </w:rPr>
              <w:t>.</w:t>
            </w:r>
            <w:r w:rsidR="00C974AF" w:rsidRPr="004B1470">
              <w:rPr>
                <w:rFonts w:eastAsia="Times New Roman"/>
                <w:lang w:eastAsia="lv-LV"/>
              </w:rPr>
              <w:t xml:space="preserve"> un </w:t>
            </w:r>
            <w:r w:rsidR="00DC2B1C" w:rsidRPr="004B1470">
              <w:rPr>
                <w:rFonts w:eastAsia="Times New Roman"/>
                <w:lang w:eastAsia="lv-LV"/>
              </w:rPr>
              <w:t>75</w:t>
            </w:r>
            <w:r w:rsidR="00B019DA" w:rsidRPr="004B1470">
              <w:rPr>
                <w:rFonts w:eastAsia="Times New Roman"/>
                <w:lang w:eastAsia="lv-LV"/>
              </w:rPr>
              <w:t>.punkts</w:t>
            </w:r>
          </w:p>
        </w:tc>
        <w:tc>
          <w:tcPr>
            <w:tcW w:w="1169"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 w:rsidRPr="00A92A45">
              <w:rPr>
                <w:rFonts w:eastAsia="Times New Roman"/>
                <w:lang w:eastAsia="lv-LV"/>
              </w:rPr>
              <w:t>pārņemts pilnībā</w:t>
            </w:r>
          </w:p>
        </w:tc>
        <w:tc>
          <w:tcPr>
            <w:tcW w:w="1642"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sidP="00025D46">
            <w:pPr>
              <w:spacing w:after="0" w:line="240" w:lineRule="auto"/>
            </w:pPr>
            <w:r w:rsidRPr="00A92A45">
              <w:rPr>
                <w:rFonts w:eastAsia="Times New Roman"/>
                <w:lang w:eastAsia="lv-LV"/>
              </w:rPr>
              <w:t>neparedz stingrākas prasības</w:t>
            </w:r>
          </w:p>
        </w:tc>
      </w:tr>
      <w:tr w:rsidR="002351D9" w:rsidRPr="00A92A45" w:rsidTr="00BD64AD">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2351D9" w:rsidRPr="00A92A45" w:rsidRDefault="000B73BF" w:rsidP="000B73BF">
            <w:pPr>
              <w:spacing w:before="75" w:after="75" w:line="240" w:lineRule="auto"/>
              <w:rPr>
                <w:rFonts w:eastAsia="Times New Roman"/>
                <w:lang w:eastAsia="lv-LV"/>
              </w:rPr>
            </w:pPr>
            <w:r w:rsidRPr="00A92A45">
              <w:rPr>
                <w:rFonts w:eastAsia="Times New Roman"/>
                <w:lang w:eastAsia="lv-LV"/>
              </w:rPr>
              <w:lastRenderedPageBreak/>
              <w:t>30.panta 7.punkta 1.teikums</w:t>
            </w:r>
          </w:p>
        </w:tc>
        <w:tc>
          <w:tcPr>
            <w:tcW w:w="1090" w:type="pct"/>
            <w:gridSpan w:val="2"/>
            <w:tcBorders>
              <w:top w:val="outset" w:sz="6" w:space="0" w:color="auto"/>
              <w:left w:val="outset" w:sz="6" w:space="0" w:color="auto"/>
              <w:bottom w:val="outset" w:sz="6" w:space="0" w:color="auto"/>
              <w:right w:val="outset" w:sz="6" w:space="0" w:color="auto"/>
            </w:tcBorders>
            <w:hideMark/>
          </w:tcPr>
          <w:p w:rsidR="002351D9" w:rsidRPr="004B1470" w:rsidRDefault="00992F2B" w:rsidP="00B30CCA">
            <w:pPr>
              <w:spacing w:before="75" w:after="75" w:line="240" w:lineRule="auto"/>
              <w:rPr>
                <w:rFonts w:eastAsia="Times New Roman"/>
                <w:lang w:eastAsia="lv-LV"/>
              </w:rPr>
            </w:pPr>
            <w:r w:rsidRPr="004B1470">
              <w:rPr>
                <w:rFonts w:eastAsia="Times New Roman"/>
                <w:lang w:eastAsia="lv-LV"/>
              </w:rPr>
              <w:t>13</w:t>
            </w:r>
            <w:r w:rsidR="00103181" w:rsidRPr="004B1470">
              <w:rPr>
                <w:rFonts w:eastAsia="Times New Roman"/>
                <w:lang w:eastAsia="lv-LV"/>
              </w:rPr>
              <w:t>.punkts</w:t>
            </w:r>
          </w:p>
        </w:tc>
        <w:tc>
          <w:tcPr>
            <w:tcW w:w="1169"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 w:rsidRPr="00A92A45">
              <w:rPr>
                <w:rFonts w:eastAsia="Times New Roman"/>
                <w:lang w:eastAsia="lv-LV"/>
              </w:rPr>
              <w:t>pārņemts pilnībā</w:t>
            </w:r>
          </w:p>
        </w:tc>
        <w:tc>
          <w:tcPr>
            <w:tcW w:w="1642"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sidP="00025D46">
            <w:pPr>
              <w:spacing w:after="0" w:line="240" w:lineRule="auto"/>
            </w:pPr>
            <w:r w:rsidRPr="00A92A45">
              <w:rPr>
                <w:rFonts w:eastAsia="Times New Roman"/>
                <w:lang w:eastAsia="lv-LV"/>
              </w:rPr>
              <w:t>neparedz stingrākas prasības</w:t>
            </w:r>
          </w:p>
        </w:tc>
      </w:tr>
      <w:tr w:rsidR="002351D9" w:rsidRPr="00A92A45" w:rsidTr="00BD64AD">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2351D9" w:rsidRPr="00A92A45" w:rsidRDefault="000B73BF" w:rsidP="000B73BF">
            <w:pPr>
              <w:spacing w:before="75" w:after="75" w:line="240" w:lineRule="auto"/>
              <w:rPr>
                <w:rFonts w:eastAsia="Times New Roman"/>
                <w:lang w:eastAsia="lv-LV"/>
              </w:rPr>
            </w:pPr>
            <w:r w:rsidRPr="00A92A45">
              <w:rPr>
                <w:rFonts w:eastAsia="Times New Roman"/>
                <w:lang w:eastAsia="lv-LV"/>
              </w:rPr>
              <w:t>30.panta 7.punkta 2.teikums</w:t>
            </w:r>
          </w:p>
        </w:tc>
        <w:tc>
          <w:tcPr>
            <w:tcW w:w="1090" w:type="pct"/>
            <w:gridSpan w:val="2"/>
            <w:tcBorders>
              <w:top w:val="outset" w:sz="6" w:space="0" w:color="auto"/>
              <w:left w:val="outset" w:sz="6" w:space="0" w:color="auto"/>
              <w:bottom w:val="outset" w:sz="6" w:space="0" w:color="auto"/>
              <w:right w:val="outset" w:sz="6" w:space="0" w:color="auto"/>
            </w:tcBorders>
            <w:hideMark/>
          </w:tcPr>
          <w:p w:rsidR="002351D9" w:rsidRPr="004B1470" w:rsidRDefault="00992F2B" w:rsidP="00B30CCA">
            <w:pPr>
              <w:spacing w:before="75" w:after="75" w:line="240" w:lineRule="auto"/>
              <w:rPr>
                <w:rFonts w:eastAsia="Times New Roman"/>
                <w:lang w:eastAsia="lv-LV"/>
              </w:rPr>
            </w:pPr>
            <w:r w:rsidRPr="004B1470">
              <w:rPr>
                <w:rFonts w:eastAsia="Times New Roman"/>
                <w:lang w:eastAsia="lv-LV"/>
              </w:rPr>
              <w:t>14</w:t>
            </w:r>
            <w:r w:rsidR="0029541E" w:rsidRPr="004B1470">
              <w:rPr>
                <w:rFonts w:eastAsia="Times New Roman"/>
                <w:lang w:eastAsia="lv-LV"/>
              </w:rPr>
              <w:t>.punkts</w:t>
            </w:r>
          </w:p>
        </w:tc>
        <w:tc>
          <w:tcPr>
            <w:tcW w:w="1169"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 w:rsidRPr="00A92A45">
              <w:rPr>
                <w:rFonts w:eastAsia="Times New Roman"/>
                <w:lang w:eastAsia="lv-LV"/>
              </w:rPr>
              <w:t>pārņemts pilnībā</w:t>
            </w:r>
          </w:p>
        </w:tc>
        <w:tc>
          <w:tcPr>
            <w:tcW w:w="1642"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sidP="00025D46">
            <w:pPr>
              <w:spacing w:after="0" w:line="240" w:lineRule="auto"/>
            </w:pPr>
            <w:r w:rsidRPr="00A92A45">
              <w:rPr>
                <w:rFonts w:eastAsia="Times New Roman"/>
                <w:lang w:eastAsia="lv-LV"/>
              </w:rPr>
              <w:t>neparedz stingrākas prasības</w:t>
            </w:r>
          </w:p>
        </w:tc>
      </w:tr>
      <w:tr w:rsidR="00C64234" w:rsidRPr="00A92A45" w:rsidTr="00BD64AD">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C64234" w:rsidRPr="00A92A45" w:rsidRDefault="00C64234" w:rsidP="000B73BF">
            <w:pPr>
              <w:spacing w:before="75" w:after="75" w:line="240" w:lineRule="auto"/>
              <w:rPr>
                <w:rFonts w:eastAsia="Times New Roman"/>
                <w:lang w:eastAsia="lv-LV"/>
              </w:rPr>
            </w:pPr>
            <w:r w:rsidRPr="00A92A45">
              <w:rPr>
                <w:rFonts w:eastAsia="Times New Roman"/>
                <w:lang w:eastAsia="lv-LV"/>
              </w:rPr>
              <w:t>30.panta 8.punkts</w:t>
            </w:r>
          </w:p>
        </w:tc>
        <w:tc>
          <w:tcPr>
            <w:tcW w:w="1090" w:type="pct"/>
            <w:gridSpan w:val="2"/>
            <w:tcBorders>
              <w:top w:val="outset" w:sz="6" w:space="0" w:color="auto"/>
              <w:left w:val="outset" w:sz="6" w:space="0" w:color="auto"/>
              <w:bottom w:val="outset" w:sz="6" w:space="0" w:color="auto"/>
              <w:right w:val="outset" w:sz="6" w:space="0" w:color="auto"/>
            </w:tcBorders>
            <w:hideMark/>
          </w:tcPr>
          <w:p w:rsidR="00C64234" w:rsidRPr="00A92A45" w:rsidRDefault="00C64234" w:rsidP="00B30CCA">
            <w:pPr>
              <w:spacing w:before="75" w:after="75" w:line="240" w:lineRule="auto"/>
              <w:rPr>
                <w:rFonts w:eastAsia="Times New Roman"/>
                <w:lang w:eastAsia="lv-LV"/>
              </w:rPr>
            </w:pPr>
            <w:r w:rsidRPr="00A92A45">
              <w:rPr>
                <w:rFonts w:eastAsia="Times New Roman"/>
                <w:lang w:eastAsia="lv-LV"/>
              </w:rPr>
              <w:t>5.punkts</w:t>
            </w:r>
          </w:p>
        </w:tc>
        <w:tc>
          <w:tcPr>
            <w:tcW w:w="1169" w:type="pct"/>
            <w:gridSpan w:val="3"/>
            <w:tcBorders>
              <w:top w:val="outset" w:sz="6" w:space="0" w:color="auto"/>
              <w:left w:val="outset" w:sz="6" w:space="0" w:color="auto"/>
              <w:bottom w:val="outset" w:sz="6" w:space="0" w:color="auto"/>
              <w:right w:val="outset" w:sz="6" w:space="0" w:color="auto"/>
            </w:tcBorders>
            <w:hideMark/>
          </w:tcPr>
          <w:p w:rsidR="00C64234" w:rsidRPr="00A92A45" w:rsidRDefault="00C64234" w:rsidP="00E63F53">
            <w:r w:rsidRPr="00A92A45">
              <w:rPr>
                <w:rFonts w:eastAsia="Times New Roman"/>
                <w:lang w:eastAsia="lv-LV"/>
              </w:rPr>
              <w:t>pārņemts pilnībā</w:t>
            </w:r>
          </w:p>
        </w:tc>
        <w:tc>
          <w:tcPr>
            <w:tcW w:w="1642" w:type="pct"/>
            <w:gridSpan w:val="3"/>
            <w:tcBorders>
              <w:top w:val="outset" w:sz="6" w:space="0" w:color="auto"/>
              <w:left w:val="outset" w:sz="6" w:space="0" w:color="auto"/>
              <w:bottom w:val="outset" w:sz="6" w:space="0" w:color="auto"/>
              <w:right w:val="outset" w:sz="6" w:space="0" w:color="auto"/>
            </w:tcBorders>
            <w:hideMark/>
          </w:tcPr>
          <w:p w:rsidR="00C64234" w:rsidRPr="00A92A45" w:rsidRDefault="00C64234" w:rsidP="00025D46">
            <w:pPr>
              <w:spacing w:after="0" w:line="240" w:lineRule="auto"/>
            </w:pPr>
            <w:r w:rsidRPr="00A92A45">
              <w:rPr>
                <w:rFonts w:eastAsia="Times New Roman"/>
                <w:lang w:eastAsia="lv-LV"/>
              </w:rPr>
              <w:t>neparedz stingrākas prasības</w:t>
            </w:r>
          </w:p>
        </w:tc>
      </w:tr>
      <w:tr w:rsidR="005D7E65" w:rsidRPr="00A92A45" w:rsidTr="00BD64AD">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5D7E65" w:rsidRPr="00A92A45" w:rsidRDefault="005D7E65" w:rsidP="000B73BF">
            <w:pPr>
              <w:spacing w:before="75" w:after="75" w:line="240" w:lineRule="auto"/>
              <w:rPr>
                <w:rFonts w:eastAsia="Times New Roman"/>
                <w:lang w:eastAsia="lv-LV"/>
              </w:rPr>
            </w:pPr>
            <w:r w:rsidRPr="00A92A45">
              <w:rPr>
                <w:rFonts w:eastAsia="Times New Roman"/>
                <w:lang w:eastAsia="lv-LV"/>
              </w:rPr>
              <w:t>30.panta 9.punkts</w:t>
            </w:r>
          </w:p>
        </w:tc>
        <w:tc>
          <w:tcPr>
            <w:tcW w:w="1090" w:type="pct"/>
            <w:gridSpan w:val="2"/>
            <w:tcBorders>
              <w:top w:val="outset" w:sz="6" w:space="0" w:color="auto"/>
              <w:left w:val="outset" w:sz="6" w:space="0" w:color="auto"/>
              <w:bottom w:val="outset" w:sz="6" w:space="0" w:color="auto"/>
              <w:right w:val="outset" w:sz="6" w:space="0" w:color="auto"/>
            </w:tcBorders>
            <w:hideMark/>
          </w:tcPr>
          <w:p w:rsidR="005D7E65" w:rsidRPr="00A92A45" w:rsidRDefault="005D7E65" w:rsidP="00B30CCA">
            <w:pPr>
              <w:spacing w:before="75" w:after="75" w:line="240" w:lineRule="auto"/>
              <w:rPr>
                <w:rFonts w:eastAsia="Times New Roman"/>
                <w:lang w:eastAsia="lv-LV"/>
              </w:rPr>
            </w:pPr>
            <w:r w:rsidRPr="00A92A45">
              <w:rPr>
                <w:rFonts w:eastAsia="Times New Roman"/>
                <w:lang w:eastAsia="lv-LV"/>
              </w:rPr>
              <w:t>nav nepieciešams pārņemt</w:t>
            </w:r>
          </w:p>
        </w:tc>
        <w:tc>
          <w:tcPr>
            <w:tcW w:w="1169" w:type="pct"/>
            <w:gridSpan w:val="3"/>
            <w:tcBorders>
              <w:top w:val="outset" w:sz="6" w:space="0" w:color="auto"/>
              <w:left w:val="outset" w:sz="6" w:space="0" w:color="auto"/>
              <w:bottom w:val="outset" w:sz="6" w:space="0" w:color="auto"/>
              <w:right w:val="outset" w:sz="6" w:space="0" w:color="auto"/>
            </w:tcBorders>
            <w:hideMark/>
          </w:tcPr>
          <w:p w:rsidR="005D7E65" w:rsidRPr="00A92A45" w:rsidRDefault="00A23E65">
            <w:pPr>
              <w:rPr>
                <w:rFonts w:eastAsia="Times New Roman"/>
                <w:lang w:eastAsia="lv-LV"/>
              </w:rPr>
            </w:pPr>
            <w:r w:rsidRPr="00A92A45">
              <w:rPr>
                <w:rFonts w:eastAsia="Times New Roman"/>
                <w:lang w:eastAsia="lv-LV"/>
              </w:rPr>
              <w:t>nav pārņemts</w:t>
            </w:r>
          </w:p>
        </w:tc>
        <w:tc>
          <w:tcPr>
            <w:tcW w:w="1642" w:type="pct"/>
            <w:gridSpan w:val="3"/>
            <w:tcBorders>
              <w:top w:val="outset" w:sz="6" w:space="0" w:color="auto"/>
              <w:left w:val="outset" w:sz="6" w:space="0" w:color="auto"/>
              <w:bottom w:val="outset" w:sz="6" w:space="0" w:color="auto"/>
              <w:right w:val="outset" w:sz="6" w:space="0" w:color="auto"/>
            </w:tcBorders>
            <w:hideMark/>
          </w:tcPr>
          <w:p w:rsidR="005D7E65" w:rsidRPr="00A92A45" w:rsidRDefault="005D7E65" w:rsidP="00025D46">
            <w:pPr>
              <w:spacing w:after="0" w:line="240" w:lineRule="auto"/>
              <w:rPr>
                <w:rFonts w:eastAsia="Times New Roman"/>
                <w:lang w:eastAsia="lv-LV"/>
              </w:rPr>
            </w:pPr>
            <w:r w:rsidRPr="00A92A45">
              <w:rPr>
                <w:rFonts w:eastAsia="Times New Roman"/>
                <w:lang w:eastAsia="lv-LV"/>
              </w:rPr>
              <w:t>-</w:t>
            </w:r>
          </w:p>
        </w:tc>
      </w:tr>
      <w:tr w:rsidR="002351D9" w:rsidRPr="00A92A45" w:rsidTr="00BD64AD">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2351D9" w:rsidRPr="00A92A45" w:rsidRDefault="000B73BF" w:rsidP="008F1312">
            <w:pPr>
              <w:spacing w:before="75" w:after="75" w:line="240" w:lineRule="auto"/>
              <w:rPr>
                <w:rFonts w:eastAsia="Times New Roman"/>
                <w:lang w:eastAsia="lv-LV"/>
              </w:rPr>
            </w:pPr>
            <w:r w:rsidRPr="00A92A45">
              <w:rPr>
                <w:rFonts w:eastAsia="Times New Roman"/>
                <w:lang w:eastAsia="lv-LV"/>
              </w:rPr>
              <w:t>31.pant</w:t>
            </w:r>
            <w:r w:rsidR="008F1312" w:rsidRPr="00A92A45">
              <w:rPr>
                <w:rFonts w:eastAsia="Times New Roman"/>
                <w:lang w:eastAsia="lv-LV"/>
              </w:rPr>
              <w:t>s</w:t>
            </w:r>
          </w:p>
        </w:tc>
        <w:tc>
          <w:tcPr>
            <w:tcW w:w="1090" w:type="pct"/>
            <w:gridSpan w:val="2"/>
            <w:tcBorders>
              <w:top w:val="outset" w:sz="6" w:space="0" w:color="auto"/>
              <w:left w:val="outset" w:sz="6" w:space="0" w:color="auto"/>
              <w:bottom w:val="outset" w:sz="6" w:space="0" w:color="auto"/>
              <w:right w:val="outset" w:sz="6" w:space="0" w:color="auto"/>
            </w:tcBorders>
            <w:hideMark/>
          </w:tcPr>
          <w:p w:rsidR="002351D9" w:rsidRPr="00A92A45" w:rsidRDefault="008F1312" w:rsidP="00B30CCA">
            <w:pPr>
              <w:spacing w:before="75" w:after="75" w:line="240" w:lineRule="auto"/>
              <w:rPr>
                <w:rFonts w:eastAsia="Times New Roman"/>
                <w:lang w:eastAsia="lv-LV"/>
              </w:rPr>
            </w:pPr>
            <w:r w:rsidRPr="00A92A45">
              <w:rPr>
                <w:rFonts w:eastAsia="Times New Roman"/>
                <w:lang w:eastAsia="lv-LV"/>
              </w:rPr>
              <w:t xml:space="preserve">Norma nav pārņemta, jo ir izmantota direktīvā paredzētā rīcības brīvība </w:t>
            </w:r>
          </w:p>
        </w:tc>
        <w:tc>
          <w:tcPr>
            <w:tcW w:w="1169"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A23E65">
            <w:r w:rsidRPr="00A92A45">
              <w:rPr>
                <w:rFonts w:eastAsia="Times New Roman"/>
                <w:lang w:eastAsia="lv-LV"/>
              </w:rPr>
              <w:t>nav pārņemts</w:t>
            </w:r>
          </w:p>
        </w:tc>
        <w:tc>
          <w:tcPr>
            <w:tcW w:w="1642"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A23E65" w:rsidP="00025D46">
            <w:pPr>
              <w:spacing w:after="0" w:line="240" w:lineRule="auto"/>
            </w:pPr>
            <w:r w:rsidRPr="00A92A45">
              <w:rPr>
                <w:rFonts w:eastAsia="Times New Roman"/>
                <w:lang w:eastAsia="lv-LV"/>
              </w:rPr>
              <w:t>-</w:t>
            </w:r>
          </w:p>
        </w:tc>
      </w:tr>
      <w:tr w:rsidR="00C870A6" w:rsidRPr="00A92A45" w:rsidTr="00BD64AD">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C870A6" w:rsidRPr="00A92A45" w:rsidRDefault="00C870A6" w:rsidP="00375028">
            <w:pPr>
              <w:spacing w:before="75" w:after="75" w:line="240" w:lineRule="auto"/>
              <w:rPr>
                <w:rFonts w:eastAsia="Times New Roman"/>
                <w:lang w:eastAsia="lv-LV"/>
              </w:rPr>
            </w:pPr>
            <w:r w:rsidRPr="00A92A45">
              <w:rPr>
                <w:rFonts w:eastAsia="Times New Roman"/>
                <w:lang w:eastAsia="lv-LV"/>
              </w:rPr>
              <w:t>32.pants</w:t>
            </w:r>
          </w:p>
        </w:tc>
        <w:tc>
          <w:tcPr>
            <w:tcW w:w="1090" w:type="pct"/>
            <w:gridSpan w:val="2"/>
            <w:tcBorders>
              <w:top w:val="outset" w:sz="6" w:space="0" w:color="auto"/>
              <w:left w:val="outset" w:sz="6" w:space="0" w:color="auto"/>
              <w:bottom w:val="outset" w:sz="6" w:space="0" w:color="auto"/>
              <w:right w:val="outset" w:sz="6" w:space="0" w:color="auto"/>
            </w:tcBorders>
            <w:hideMark/>
          </w:tcPr>
          <w:p w:rsidR="00C870A6" w:rsidRPr="004B1470" w:rsidRDefault="00DA7CFE" w:rsidP="00B30CCA">
            <w:pPr>
              <w:spacing w:before="75" w:after="75" w:line="240" w:lineRule="auto"/>
              <w:rPr>
                <w:rFonts w:eastAsia="Times New Roman"/>
                <w:lang w:eastAsia="lv-LV"/>
              </w:rPr>
            </w:pPr>
            <w:r w:rsidRPr="004B1470">
              <w:rPr>
                <w:rFonts w:eastAsia="Times New Roman"/>
                <w:lang w:eastAsia="lv-LV"/>
              </w:rPr>
              <w:t>Norma nav pārņemta, jo ir izmantota direktīvā paredzētā rīcības brīvība</w:t>
            </w:r>
          </w:p>
        </w:tc>
        <w:tc>
          <w:tcPr>
            <w:tcW w:w="1169" w:type="pct"/>
            <w:gridSpan w:val="3"/>
            <w:tcBorders>
              <w:top w:val="outset" w:sz="6" w:space="0" w:color="auto"/>
              <w:left w:val="outset" w:sz="6" w:space="0" w:color="auto"/>
              <w:bottom w:val="outset" w:sz="6" w:space="0" w:color="auto"/>
              <w:right w:val="outset" w:sz="6" w:space="0" w:color="auto"/>
            </w:tcBorders>
            <w:hideMark/>
          </w:tcPr>
          <w:p w:rsidR="00C870A6" w:rsidRPr="00A92A45" w:rsidRDefault="00A23E65">
            <w:r w:rsidRPr="00A92A45">
              <w:rPr>
                <w:rFonts w:eastAsia="Times New Roman"/>
                <w:lang w:eastAsia="lv-LV"/>
              </w:rPr>
              <w:t>nav pārņemts</w:t>
            </w:r>
          </w:p>
        </w:tc>
        <w:tc>
          <w:tcPr>
            <w:tcW w:w="1642" w:type="pct"/>
            <w:gridSpan w:val="3"/>
            <w:tcBorders>
              <w:top w:val="outset" w:sz="6" w:space="0" w:color="auto"/>
              <w:left w:val="outset" w:sz="6" w:space="0" w:color="auto"/>
              <w:bottom w:val="outset" w:sz="6" w:space="0" w:color="auto"/>
              <w:right w:val="outset" w:sz="6" w:space="0" w:color="auto"/>
            </w:tcBorders>
            <w:hideMark/>
          </w:tcPr>
          <w:p w:rsidR="00C870A6" w:rsidRPr="00A92A45" w:rsidRDefault="00DA7CFE" w:rsidP="00025D46">
            <w:pPr>
              <w:spacing w:after="0" w:line="240" w:lineRule="auto"/>
            </w:pPr>
            <w:r w:rsidRPr="00A92A45">
              <w:rPr>
                <w:rFonts w:eastAsia="Times New Roman"/>
                <w:lang w:eastAsia="lv-LV"/>
              </w:rPr>
              <w:t>-</w:t>
            </w:r>
          </w:p>
        </w:tc>
      </w:tr>
      <w:tr w:rsidR="002351D9" w:rsidRPr="00A92A45" w:rsidTr="00BD64AD">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2351D9" w:rsidRPr="00A92A45" w:rsidRDefault="003766AF" w:rsidP="00375028">
            <w:pPr>
              <w:spacing w:before="75" w:after="75" w:line="240" w:lineRule="auto"/>
              <w:rPr>
                <w:rFonts w:eastAsia="Times New Roman"/>
                <w:lang w:eastAsia="lv-LV"/>
              </w:rPr>
            </w:pPr>
            <w:r w:rsidRPr="00A92A45">
              <w:rPr>
                <w:rFonts w:eastAsia="Times New Roman"/>
                <w:lang w:eastAsia="lv-LV"/>
              </w:rPr>
              <w:t>33.panta 1.punkts</w:t>
            </w:r>
          </w:p>
        </w:tc>
        <w:tc>
          <w:tcPr>
            <w:tcW w:w="1090" w:type="pct"/>
            <w:gridSpan w:val="2"/>
            <w:tcBorders>
              <w:top w:val="outset" w:sz="6" w:space="0" w:color="auto"/>
              <w:left w:val="outset" w:sz="6" w:space="0" w:color="auto"/>
              <w:bottom w:val="outset" w:sz="6" w:space="0" w:color="auto"/>
              <w:right w:val="outset" w:sz="6" w:space="0" w:color="auto"/>
            </w:tcBorders>
            <w:hideMark/>
          </w:tcPr>
          <w:p w:rsidR="002351D9" w:rsidRPr="004B1470" w:rsidRDefault="00952B80" w:rsidP="00952B80">
            <w:pPr>
              <w:spacing w:before="75" w:after="75" w:line="240" w:lineRule="auto"/>
              <w:rPr>
                <w:rFonts w:eastAsia="Times New Roman"/>
                <w:lang w:eastAsia="lv-LV"/>
              </w:rPr>
            </w:pPr>
            <w:r w:rsidRPr="004B1470">
              <w:rPr>
                <w:rFonts w:eastAsia="Times New Roman"/>
                <w:lang w:eastAsia="lv-LV"/>
              </w:rPr>
              <w:t>27</w:t>
            </w:r>
            <w:r w:rsidR="003D7532" w:rsidRPr="004B1470">
              <w:rPr>
                <w:rFonts w:eastAsia="Times New Roman"/>
                <w:lang w:eastAsia="lv-LV"/>
              </w:rPr>
              <w:t>.</w:t>
            </w:r>
            <w:r w:rsidR="0031438E" w:rsidRPr="004B1470">
              <w:rPr>
                <w:rFonts w:eastAsia="Times New Roman"/>
                <w:lang w:eastAsia="lv-LV"/>
              </w:rPr>
              <w:t xml:space="preserve"> un </w:t>
            </w:r>
            <w:r w:rsidRPr="004B1470">
              <w:rPr>
                <w:rFonts w:eastAsia="Times New Roman"/>
                <w:lang w:eastAsia="lv-LV"/>
              </w:rPr>
              <w:t>28</w:t>
            </w:r>
            <w:r w:rsidR="00361B89" w:rsidRPr="004B1470">
              <w:rPr>
                <w:rFonts w:eastAsia="Times New Roman"/>
                <w:lang w:eastAsia="lv-LV"/>
              </w:rPr>
              <w:t>.punkts</w:t>
            </w:r>
          </w:p>
        </w:tc>
        <w:tc>
          <w:tcPr>
            <w:tcW w:w="1169" w:type="pct"/>
            <w:gridSpan w:val="3"/>
            <w:tcBorders>
              <w:top w:val="outset" w:sz="6" w:space="0" w:color="auto"/>
              <w:left w:val="outset" w:sz="6" w:space="0" w:color="auto"/>
              <w:bottom w:val="outset" w:sz="6" w:space="0" w:color="auto"/>
              <w:right w:val="outset" w:sz="6" w:space="0" w:color="auto"/>
            </w:tcBorders>
            <w:hideMark/>
          </w:tcPr>
          <w:p w:rsidR="002351D9" w:rsidRPr="00F131A4" w:rsidRDefault="004C6A11" w:rsidP="009066B0">
            <w:pPr>
              <w:spacing w:after="0" w:line="240" w:lineRule="auto"/>
              <w:rPr>
                <w:rFonts w:eastAsia="Times New Roman"/>
                <w:lang w:eastAsia="lv-LV"/>
              </w:rPr>
            </w:pPr>
            <w:r w:rsidRPr="00F131A4">
              <w:rPr>
                <w:rFonts w:eastAsia="Times New Roman"/>
                <w:lang w:eastAsia="lv-LV"/>
              </w:rPr>
              <w:t xml:space="preserve">pārņemts </w:t>
            </w:r>
            <w:r w:rsidR="009066B0" w:rsidRPr="00F131A4">
              <w:rPr>
                <w:rFonts w:eastAsia="Times New Roman"/>
                <w:lang w:eastAsia="lv-LV"/>
              </w:rPr>
              <w:t>daļēji</w:t>
            </w:r>
          </w:p>
          <w:p w:rsidR="005A6296" w:rsidRPr="00F131A4" w:rsidRDefault="005A6296" w:rsidP="005A6296">
            <w:pPr>
              <w:spacing w:after="0" w:line="240" w:lineRule="auto"/>
              <w:jc w:val="both"/>
            </w:pPr>
          </w:p>
          <w:p w:rsidR="005A6296" w:rsidRPr="00F131A4" w:rsidRDefault="005A6296" w:rsidP="00E16510">
            <w:pPr>
              <w:spacing w:after="0" w:line="240" w:lineRule="auto"/>
              <w:jc w:val="both"/>
              <w:rPr>
                <w:bCs/>
              </w:rPr>
            </w:pPr>
            <w:r w:rsidRPr="00F131A4">
              <w:t>Direktīvas 33.panta</w:t>
            </w:r>
            <w:r w:rsidR="008217FC" w:rsidRPr="00F131A4">
              <w:t xml:space="preserve"> 1.punkta </w:t>
            </w:r>
            <w:r w:rsidRPr="00F131A4">
              <w:t>d) apakšpunktā iekļautās prasības attiecas uz iekārt</w:t>
            </w:r>
            <w:r w:rsidR="00E16510" w:rsidRPr="00F131A4">
              <w:t>u</w:t>
            </w:r>
            <w:r w:rsidRPr="00F131A4">
              <w:rPr>
                <w:bCs/>
              </w:rPr>
              <w:t>, kas nodota ekspluatācijā līdz 1987.gada 1.jūlijam un par kur</w:t>
            </w:r>
            <w:r w:rsidR="00E16510" w:rsidRPr="00F131A4">
              <w:rPr>
                <w:bCs/>
              </w:rPr>
              <w:t>u</w:t>
            </w:r>
            <w:r w:rsidRPr="00F131A4">
              <w:rPr>
                <w:bCs/>
              </w:rPr>
              <w:t xml:space="preserve"> operator</w:t>
            </w:r>
            <w:r w:rsidR="00E16510" w:rsidRPr="00F131A4">
              <w:rPr>
                <w:bCs/>
              </w:rPr>
              <w:t>s</w:t>
            </w:r>
            <w:r w:rsidRPr="00F131A4">
              <w:rPr>
                <w:bCs/>
              </w:rPr>
              <w:t xml:space="preserve"> </w:t>
            </w:r>
            <w:r w:rsidR="00B4630B" w:rsidRPr="00F131A4">
              <w:rPr>
                <w:bCs/>
              </w:rPr>
              <w:t xml:space="preserve">līdz 2004.gada jūnijam </w:t>
            </w:r>
            <w:r w:rsidRPr="00F131A4">
              <w:rPr>
                <w:bCs/>
              </w:rPr>
              <w:t>ir paziņojis pārvaldei, ka iekārta tiks darbināta ne vairāk kā 20 000 darbības stundas laikposmā no 2008.gada 1.janv</w:t>
            </w:r>
            <w:r w:rsidR="00E16510" w:rsidRPr="00F131A4">
              <w:rPr>
                <w:bCs/>
              </w:rPr>
              <w:t>āra līdz 2015.gada 31.decembrim.</w:t>
            </w:r>
          </w:p>
          <w:p w:rsidR="005A6296" w:rsidRPr="00F131A4" w:rsidRDefault="005A6296" w:rsidP="00BD64AD">
            <w:pPr>
              <w:pStyle w:val="naisc"/>
              <w:spacing w:before="0" w:after="0"/>
              <w:jc w:val="both"/>
            </w:pPr>
          </w:p>
          <w:p w:rsidR="00BD64AD" w:rsidRPr="00F131A4" w:rsidRDefault="005A6296" w:rsidP="00BD64AD">
            <w:pPr>
              <w:pStyle w:val="naisc"/>
              <w:spacing w:before="0" w:after="0"/>
              <w:jc w:val="both"/>
            </w:pPr>
            <w:r w:rsidRPr="00F131A4">
              <w:t xml:space="preserve"> </w:t>
            </w:r>
            <w:r w:rsidR="00E16510" w:rsidRPr="00F131A4">
              <w:t xml:space="preserve">Tā kā šādu iekārtu </w:t>
            </w:r>
            <w:r w:rsidR="00BD64AD" w:rsidRPr="00F131A4">
              <w:t>L</w:t>
            </w:r>
            <w:r w:rsidR="00E16510" w:rsidRPr="00F131A4">
              <w:t>atvijā nav un arī nākotnē nebūs, tad noteikumu projektā šī norma netiek pārņemta.</w:t>
            </w:r>
            <w:r w:rsidR="00BD64AD" w:rsidRPr="00F131A4">
              <w:t xml:space="preserve"> </w:t>
            </w:r>
          </w:p>
          <w:p w:rsidR="009066B0" w:rsidRPr="00F131A4" w:rsidRDefault="009066B0" w:rsidP="00E16510">
            <w:pPr>
              <w:pStyle w:val="naisc"/>
              <w:spacing w:before="0" w:after="0"/>
              <w:jc w:val="both"/>
            </w:pPr>
          </w:p>
        </w:tc>
        <w:tc>
          <w:tcPr>
            <w:tcW w:w="1642" w:type="pct"/>
            <w:gridSpan w:val="3"/>
            <w:tcBorders>
              <w:top w:val="outset" w:sz="6" w:space="0" w:color="auto"/>
              <w:left w:val="outset" w:sz="6" w:space="0" w:color="auto"/>
              <w:bottom w:val="outset" w:sz="6" w:space="0" w:color="auto"/>
              <w:right w:val="outset" w:sz="6" w:space="0" w:color="auto"/>
            </w:tcBorders>
            <w:hideMark/>
          </w:tcPr>
          <w:p w:rsidR="002351D9" w:rsidRPr="00F131A4" w:rsidRDefault="002351D9" w:rsidP="00025D46">
            <w:pPr>
              <w:spacing w:after="0" w:line="240" w:lineRule="auto"/>
            </w:pPr>
            <w:r w:rsidRPr="00F131A4">
              <w:rPr>
                <w:rFonts w:eastAsia="Times New Roman"/>
                <w:lang w:eastAsia="lv-LV"/>
              </w:rPr>
              <w:lastRenderedPageBreak/>
              <w:t>neparedz stingrākas prasības</w:t>
            </w:r>
          </w:p>
        </w:tc>
      </w:tr>
      <w:tr w:rsidR="003766AF" w:rsidRPr="00A92A45" w:rsidTr="00BD64AD">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3766AF" w:rsidRPr="00A92A45" w:rsidRDefault="003766AF" w:rsidP="00375028">
            <w:pPr>
              <w:spacing w:before="75" w:after="75" w:line="240" w:lineRule="auto"/>
              <w:rPr>
                <w:rFonts w:eastAsia="Times New Roman"/>
                <w:lang w:eastAsia="lv-LV"/>
              </w:rPr>
            </w:pPr>
            <w:r w:rsidRPr="00A92A45">
              <w:rPr>
                <w:rFonts w:eastAsia="Times New Roman"/>
                <w:lang w:eastAsia="lv-LV"/>
              </w:rPr>
              <w:lastRenderedPageBreak/>
              <w:t>33.panta 2.punkts</w:t>
            </w:r>
          </w:p>
        </w:tc>
        <w:tc>
          <w:tcPr>
            <w:tcW w:w="1090" w:type="pct"/>
            <w:gridSpan w:val="2"/>
            <w:tcBorders>
              <w:top w:val="outset" w:sz="6" w:space="0" w:color="auto"/>
              <w:left w:val="outset" w:sz="6" w:space="0" w:color="auto"/>
              <w:bottom w:val="outset" w:sz="6" w:space="0" w:color="auto"/>
              <w:right w:val="outset" w:sz="6" w:space="0" w:color="auto"/>
            </w:tcBorders>
            <w:hideMark/>
          </w:tcPr>
          <w:p w:rsidR="003766AF" w:rsidRPr="004B1470" w:rsidRDefault="00952B80" w:rsidP="00992F2B">
            <w:pPr>
              <w:spacing w:before="75" w:after="75" w:line="240" w:lineRule="auto"/>
              <w:rPr>
                <w:rFonts w:eastAsia="Times New Roman"/>
                <w:lang w:eastAsia="lv-LV"/>
              </w:rPr>
            </w:pPr>
            <w:r w:rsidRPr="004B1470">
              <w:rPr>
                <w:rFonts w:eastAsia="Times New Roman"/>
                <w:lang w:eastAsia="lv-LV"/>
              </w:rPr>
              <w:t>75</w:t>
            </w:r>
            <w:r w:rsidR="00870030" w:rsidRPr="004B1470">
              <w:rPr>
                <w:rFonts w:eastAsia="Times New Roman"/>
                <w:lang w:eastAsia="lv-LV"/>
              </w:rPr>
              <w:t>.punkts</w:t>
            </w:r>
          </w:p>
        </w:tc>
        <w:tc>
          <w:tcPr>
            <w:tcW w:w="1169" w:type="pct"/>
            <w:gridSpan w:val="3"/>
            <w:tcBorders>
              <w:top w:val="outset" w:sz="6" w:space="0" w:color="auto"/>
              <w:left w:val="outset" w:sz="6" w:space="0" w:color="auto"/>
              <w:bottom w:val="outset" w:sz="6" w:space="0" w:color="auto"/>
              <w:right w:val="outset" w:sz="6" w:space="0" w:color="auto"/>
            </w:tcBorders>
            <w:hideMark/>
          </w:tcPr>
          <w:p w:rsidR="003766AF" w:rsidRPr="00A92A45" w:rsidRDefault="003766AF">
            <w:r w:rsidRPr="00A92A45">
              <w:rPr>
                <w:rFonts w:eastAsia="Times New Roman"/>
                <w:lang w:eastAsia="lv-LV"/>
              </w:rPr>
              <w:t>pārņemts pilnībā</w:t>
            </w:r>
          </w:p>
        </w:tc>
        <w:tc>
          <w:tcPr>
            <w:tcW w:w="1642" w:type="pct"/>
            <w:gridSpan w:val="3"/>
            <w:tcBorders>
              <w:top w:val="outset" w:sz="6" w:space="0" w:color="auto"/>
              <w:left w:val="outset" w:sz="6" w:space="0" w:color="auto"/>
              <w:bottom w:val="outset" w:sz="6" w:space="0" w:color="auto"/>
              <w:right w:val="outset" w:sz="6" w:space="0" w:color="auto"/>
            </w:tcBorders>
            <w:hideMark/>
          </w:tcPr>
          <w:p w:rsidR="003766AF" w:rsidRPr="00A92A45" w:rsidRDefault="003766AF" w:rsidP="00025D46">
            <w:pPr>
              <w:spacing w:after="0" w:line="240" w:lineRule="auto"/>
            </w:pPr>
            <w:r w:rsidRPr="00A92A45">
              <w:rPr>
                <w:rFonts w:eastAsia="Times New Roman"/>
                <w:lang w:eastAsia="lv-LV"/>
              </w:rPr>
              <w:t>neparedz stingrākas prasības</w:t>
            </w:r>
          </w:p>
        </w:tc>
      </w:tr>
      <w:tr w:rsidR="00C870A6" w:rsidRPr="00A92A45" w:rsidTr="00BD64AD">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C870A6" w:rsidRPr="00A92A45" w:rsidRDefault="00C870A6" w:rsidP="003766AF">
            <w:pPr>
              <w:spacing w:before="75" w:after="75" w:line="240" w:lineRule="auto"/>
              <w:rPr>
                <w:rFonts w:eastAsia="Times New Roman"/>
                <w:lang w:eastAsia="lv-LV"/>
              </w:rPr>
            </w:pPr>
            <w:r w:rsidRPr="00A92A45">
              <w:rPr>
                <w:rFonts w:eastAsia="Times New Roman"/>
                <w:lang w:eastAsia="lv-LV"/>
              </w:rPr>
              <w:t>33.panta 3.punkts</w:t>
            </w:r>
          </w:p>
        </w:tc>
        <w:tc>
          <w:tcPr>
            <w:tcW w:w="1090" w:type="pct"/>
            <w:gridSpan w:val="2"/>
            <w:tcBorders>
              <w:top w:val="outset" w:sz="6" w:space="0" w:color="auto"/>
              <w:left w:val="outset" w:sz="6" w:space="0" w:color="auto"/>
              <w:bottom w:val="outset" w:sz="6" w:space="0" w:color="auto"/>
              <w:right w:val="outset" w:sz="6" w:space="0" w:color="auto"/>
            </w:tcBorders>
            <w:hideMark/>
          </w:tcPr>
          <w:p w:rsidR="00C870A6" w:rsidRPr="004B1470" w:rsidRDefault="00A80D0F" w:rsidP="00DA7CFE">
            <w:pPr>
              <w:spacing w:before="75" w:after="75" w:line="240" w:lineRule="auto"/>
              <w:rPr>
                <w:rFonts w:eastAsia="Times New Roman"/>
                <w:lang w:eastAsia="lv-LV"/>
              </w:rPr>
            </w:pPr>
            <w:r w:rsidRPr="004B1470">
              <w:rPr>
                <w:rFonts w:eastAsia="Times New Roman"/>
                <w:lang w:eastAsia="lv-LV"/>
              </w:rPr>
              <w:t>Norma nav pārņemta, jo ir izmantota direktīvā paredzētā rīcības brīvība</w:t>
            </w:r>
          </w:p>
        </w:tc>
        <w:tc>
          <w:tcPr>
            <w:tcW w:w="1169" w:type="pct"/>
            <w:gridSpan w:val="3"/>
            <w:tcBorders>
              <w:top w:val="outset" w:sz="6" w:space="0" w:color="auto"/>
              <w:left w:val="outset" w:sz="6" w:space="0" w:color="auto"/>
              <w:bottom w:val="outset" w:sz="6" w:space="0" w:color="auto"/>
              <w:right w:val="outset" w:sz="6" w:space="0" w:color="auto"/>
            </w:tcBorders>
            <w:hideMark/>
          </w:tcPr>
          <w:p w:rsidR="00C870A6" w:rsidRPr="00A92A45" w:rsidRDefault="00A23E65">
            <w:r w:rsidRPr="00A92A45">
              <w:rPr>
                <w:rFonts w:eastAsia="Times New Roman"/>
                <w:lang w:eastAsia="lv-LV"/>
              </w:rPr>
              <w:t>nav pārņemts</w:t>
            </w:r>
          </w:p>
        </w:tc>
        <w:tc>
          <w:tcPr>
            <w:tcW w:w="1642" w:type="pct"/>
            <w:gridSpan w:val="3"/>
            <w:tcBorders>
              <w:top w:val="outset" w:sz="6" w:space="0" w:color="auto"/>
              <w:left w:val="outset" w:sz="6" w:space="0" w:color="auto"/>
              <w:bottom w:val="outset" w:sz="6" w:space="0" w:color="auto"/>
              <w:right w:val="outset" w:sz="6" w:space="0" w:color="auto"/>
            </w:tcBorders>
            <w:hideMark/>
          </w:tcPr>
          <w:p w:rsidR="00C870A6" w:rsidRPr="00A92A45" w:rsidRDefault="00DA7CFE" w:rsidP="00025D46">
            <w:pPr>
              <w:spacing w:after="0" w:line="240" w:lineRule="auto"/>
            </w:pPr>
            <w:r w:rsidRPr="00A92A45">
              <w:rPr>
                <w:rFonts w:eastAsia="Times New Roman"/>
                <w:lang w:eastAsia="lv-LV"/>
              </w:rPr>
              <w:t>-</w:t>
            </w:r>
          </w:p>
        </w:tc>
      </w:tr>
      <w:tr w:rsidR="00C870A6" w:rsidRPr="00A92A45" w:rsidTr="00BD64AD">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C870A6" w:rsidRPr="00A92A45" w:rsidRDefault="00C870A6" w:rsidP="003766AF">
            <w:pPr>
              <w:spacing w:before="75" w:after="75" w:line="240" w:lineRule="auto"/>
              <w:rPr>
                <w:rFonts w:eastAsia="Times New Roman"/>
                <w:lang w:eastAsia="lv-LV"/>
              </w:rPr>
            </w:pPr>
            <w:r w:rsidRPr="00A92A45">
              <w:rPr>
                <w:rFonts w:eastAsia="Times New Roman"/>
                <w:lang w:eastAsia="lv-LV"/>
              </w:rPr>
              <w:t>33.panta 4.punkts</w:t>
            </w:r>
          </w:p>
        </w:tc>
        <w:tc>
          <w:tcPr>
            <w:tcW w:w="1090" w:type="pct"/>
            <w:gridSpan w:val="2"/>
            <w:tcBorders>
              <w:top w:val="outset" w:sz="6" w:space="0" w:color="auto"/>
              <w:left w:val="outset" w:sz="6" w:space="0" w:color="auto"/>
              <w:bottom w:val="outset" w:sz="6" w:space="0" w:color="auto"/>
              <w:right w:val="outset" w:sz="6" w:space="0" w:color="auto"/>
            </w:tcBorders>
            <w:hideMark/>
          </w:tcPr>
          <w:p w:rsidR="00C870A6" w:rsidRPr="00A92A45" w:rsidRDefault="00A80D0F" w:rsidP="00B30CCA">
            <w:pPr>
              <w:spacing w:before="75" w:after="75" w:line="240" w:lineRule="auto"/>
              <w:rPr>
                <w:rFonts w:eastAsia="Times New Roman"/>
                <w:lang w:eastAsia="lv-LV"/>
              </w:rPr>
            </w:pPr>
            <w:r w:rsidRPr="00A92A45">
              <w:rPr>
                <w:rFonts w:eastAsia="Times New Roman"/>
                <w:lang w:eastAsia="lv-LV"/>
              </w:rPr>
              <w:t>Norma nav pārņemta, jo ir izmantota direktīvā paredzētā rīcības brīvība</w:t>
            </w:r>
          </w:p>
        </w:tc>
        <w:tc>
          <w:tcPr>
            <w:tcW w:w="1169" w:type="pct"/>
            <w:gridSpan w:val="3"/>
            <w:tcBorders>
              <w:top w:val="outset" w:sz="6" w:space="0" w:color="auto"/>
              <w:left w:val="outset" w:sz="6" w:space="0" w:color="auto"/>
              <w:bottom w:val="outset" w:sz="6" w:space="0" w:color="auto"/>
              <w:right w:val="outset" w:sz="6" w:space="0" w:color="auto"/>
            </w:tcBorders>
            <w:hideMark/>
          </w:tcPr>
          <w:p w:rsidR="00C870A6" w:rsidRPr="00A92A45" w:rsidRDefault="00A23E65">
            <w:r w:rsidRPr="00A92A45">
              <w:rPr>
                <w:rFonts w:eastAsia="Times New Roman"/>
                <w:lang w:eastAsia="lv-LV"/>
              </w:rPr>
              <w:t>nav pārņemts</w:t>
            </w:r>
          </w:p>
        </w:tc>
        <w:tc>
          <w:tcPr>
            <w:tcW w:w="1642" w:type="pct"/>
            <w:gridSpan w:val="3"/>
            <w:tcBorders>
              <w:top w:val="outset" w:sz="6" w:space="0" w:color="auto"/>
              <w:left w:val="outset" w:sz="6" w:space="0" w:color="auto"/>
              <w:bottom w:val="outset" w:sz="6" w:space="0" w:color="auto"/>
              <w:right w:val="outset" w:sz="6" w:space="0" w:color="auto"/>
            </w:tcBorders>
            <w:hideMark/>
          </w:tcPr>
          <w:p w:rsidR="00C870A6" w:rsidRPr="00A92A45" w:rsidRDefault="00DA7CFE" w:rsidP="00025D46">
            <w:pPr>
              <w:spacing w:after="0" w:line="240" w:lineRule="auto"/>
            </w:pPr>
            <w:r w:rsidRPr="00A92A45">
              <w:rPr>
                <w:rFonts w:eastAsia="Times New Roman"/>
                <w:lang w:eastAsia="lv-LV"/>
              </w:rPr>
              <w:t>-</w:t>
            </w:r>
          </w:p>
        </w:tc>
      </w:tr>
      <w:tr w:rsidR="00C870A6" w:rsidRPr="00A92A45" w:rsidTr="00BD64AD">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C870A6" w:rsidRPr="00A92A45" w:rsidRDefault="00C870A6" w:rsidP="00BF602B">
            <w:pPr>
              <w:spacing w:before="75" w:after="75" w:line="240" w:lineRule="auto"/>
              <w:rPr>
                <w:rFonts w:eastAsia="Times New Roman"/>
                <w:lang w:eastAsia="lv-LV"/>
              </w:rPr>
            </w:pPr>
            <w:r w:rsidRPr="00A92A45">
              <w:rPr>
                <w:rFonts w:eastAsia="Times New Roman"/>
                <w:lang w:eastAsia="lv-LV"/>
              </w:rPr>
              <w:t>34.pants</w:t>
            </w:r>
          </w:p>
        </w:tc>
        <w:tc>
          <w:tcPr>
            <w:tcW w:w="1090" w:type="pct"/>
            <w:gridSpan w:val="2"/>
            <w:tcBorders>
              <w:top w:val="outset" w:sz="6" w:space="0" w:color="auto"/>
              <w:left w:val="outset" w:sz="6" w:space="0" w:color="auto"/>
              <w:bottom w:val="outset" w:sz="6" w:space="0" w:color="auto"/>
              <w:right w:val="outset" w:sz="6" w:space="0" w:color="auto"/>
            </w:tcBorders>
            <w:hideMark/>
          </w:tcPr>
          <w:p w:rsidR="00C870A6" w:rsidRPr="004B1470" w:rsidRDefault="00DA7CFE" w:rsidP="00E63F53">
            <w:pPr>
              <w:spacing w:before="75" w:after="75" w:line="240" w:lineRule="auto"/>
              <w:rPr>
                <w:rFonts w:eastAsia="Times New Roman"/>
                <w:lang w:eastAsia="lv-LV"/>
              </w:rPr>
            </w:pPr>
            <w:bookmarkStart w:id="6" w:name="OLE_LINK1"/>
            <w:bookmarkStart w:id="7" w:name="OLE_LINK2"/>
            <w:r w:rsidRPr="004B1470">
              <w:rPr>
                <w:rFonts w:eastAsia="Times New Roman"/>
                <w:lang w:eastAsia="lv-LV"/>
              </w:rPr>
              <w:t>Norma nav pārņemta, jo ir izmantota direktīvā paredzētā rīcības brīvība</w:t>
            </w:r>
            <w:bookmarkEnd w:id="6"/>
            <w:bookmarkEnd w:id="7"/>
          </w:p>
        </w:tc>
        <w:tc>
          <w:tcPr>
            <w:tcW w:w="1169" w:type="pct"/>
            <w:gridSpan w:val="3"/>
            <w:tcBorders>
              <w:top w:val="outset" w:sz="6" w:space="0" w:color="auto"/>
              <w:left w:val="outset" w:sz="6" w:space="0" w:color="auto"/>
              <w:bottom w:val="outset" w:sz="6" w:space="0" w:color="auto"/>
              <w:right w:val="outset" w:sz="6" w:space="0" w:color="auto"/>
            </w:tcBorders>
            <w:hideMark/>
          </w:tcPr>
          <w:p w:rsidR="00C870A6" w:rsidRPr="00A92A45" w:rsidRDefault="00A23E65">
            <w:r w:rsidRPr="00A92A45">
              <w:rPr>
                <w:rFonts w:eastAsia="Times New Roman"/>
                <w:lang w:eastAsia="lv-LV"/>
              </w:rPr>
              <w:t>nav pārņemts</w:t>
            </w:r>
          </w:p>
        </w:tc>
        <w:tc>
          <w:tcPr>
            <w:tcW w:w="1642" w:type="pct"/>
            <w:gridSpan w:val="3"/>
            <w:tcBorders>
              <w:top w:val="outset" w:sz="6" w:space="0" w:color="auto"/>
              <w:left w:val="outset" w:sz="6" w:space="0" w:color="auto"/>
              <w:bottom w:val="outset" w:sz="6" w:space="0" w:color="auto"/>
              <w:right w:val="outset" w:sz="6" w:space="0" w:color="auto"/>
            </w:tcBorders>
            <w:hideMark/>
          </w:tcPr>
          <w:p w:rsidR="00C870A6" w:rsidRPr="00A92A45" w:rsidRDefault="00DA7CFE" w:rsidP="00025D46">
            <w:pPr>
              <w:spacing w:after="0" w:line="240" w:lineRule="auto"/>
            </w:pPr>
            <w:r w:rsidRPr="00A92A45">
              <w:rPr>
                <w:rFonts w:eastAsia="Times New Roman"/>
                <w:lang w:eastAsia="lv-LV"/>
              </w:rPr>
              <w:t>-</w:t>
            </w:r>
          </w:p>
        </w:tc>
      </w:tr>
      <w:tr w:rsidR="002351D9" w:rsidRPr="00A92A45" w:rsidTr="00BD64AD">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2351D9" w:rsidRPr="00A92A45" w:rsidRDefault="00AA694F" w:rsidP="00375028">
            <w:pPr>
              <w:spacing w:before="75" w:after="75" w:line="240" w:lineRule="auto"/>
              <w:rPr>
                <w:rFonts w:eastAsia="Times New Roman"/>
                <w:lang w:eastAsia="lv-LV"/>
              </w:rPr>
            </w:pPr>
            <w:r w:rsidRPr="00A92A45">
              <w:t>35.panta 1.punkts</w:t>
            </w:r>
          </w:p>
        </w:tc>
        <w:tc>
          <w:tcPr>
            <w:tcW w:w="1090" w:type="pct"/>
            <w:gridSpan w:val="2"/>
            <w:tcBorders>
              <w:top w:val="outset" w:sz="6" w:space="0" w:color="auto"/>
              <w:left w:val="outset" w:sz="6" w:space="0" w:color="auto"/>
              <w:bottom w:val="outset" w:sz="6" w:space="0" w:color="auto"/>
              <w:right w:val="outset" w:sz="6" w:space="0" w:color="auto"/>
            </w:tcBorders>
            <w:hideMark/>
          </w:tcPr>
          <w:p w:rsidR="002351D9" w:rsidRPr="004B1470" w:rsidRDefault="00952B80" w:rsidP="00B30CCA">
            <w:pPr>
              <w:spacing w:before="75" w:after="75" w:line="240" w:lineRule="auto"/>
              <w:rPr>
                <w:rFonts w:eastAsia="Times New Roman"/>
                <w:lang w:eastAsia="lv-LV"/>
              </w:rPr>
            </w:pPr>
            <w:r w:rsidRPr="004B1470">
              <w:rPr>
                <w:rFonts w:eastAsia="Times New Roman"/>
                <w:lang w:eastAsia="lv-LV"/>
              </w:rPr>
              <w:t>29</w:t>
            </w:r>
            <w:r w:rsidR="00250A9E" w:rsidRPr="004B1470">
              <w:rPr>
                <w:rFonts w:eastAsia="Times New Roman"/>
                <w:lang w:eastAsia="lv-LV"/>
              </w:rPr>
              <w:t>.punkts</w:t>
            </w:r>
          </w:p>
        </w:tc>
        <w:tc>
          <w:tcPr>
            <w:tcW w:w="1169"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 w:rsidRPr="00A92A45">
              <w:rPr>
                <w:rFonts w:eastAsia="Times New Roman"/>
                <w:lang w:eastAsia="lv-LV"/>
              </w:rPr>
              <w:t>pārņemts pilnībā</w:t>
            </w:r>
          </w:p>
        </w:tc>
        <w:tc>
          <w:tcPr>
            <w:tcW w:w="1642"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sidP="00025D46">
            <w:pPr>
              <w:spacing w:after="0" w:line="240" w:lineRule="auto"/>
            </w:pPr>
            <w:r w:rsidRPr="00A92A45">
              <w:rPr>
                <w:rFonts w:eastAsia="Times New Roman"/>
                <w:lang w:eastAsia="lv-LV"/>
              </w:rPr>
              <w:t>neparedz stingrākas prasības</w:t>
            </w:r>
          </w:p>
        </w:tc>
      </w:tr>
      <w:tr w:rsidR="002351D9" w:rsidRPr="00A92A45" w:rsidTr="00BD64AD">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2351D9" w:rsidRPr="00A92A45" w:rsidRDefault="00AA694F" w:rsidP="00AA694F">
            <w:pPr>
              <w:spacing w:before="75" w:after="75" w:line="240" w:lineRule="auto"/>
              <w:rPr>
                <w:rFonts w:eastAsia="Times New Roman"/>
                <w:lang w:eastAsia="lv-LV"/>
              </w:rPr>
            </w:pPr>
            <w:r w:rsidRPr="00A92A45">
              <w:t>35.panta 2.punkts</w:t>
            </w:r>
          </w:p>
        </w:tc>
        <w:tc>
          <w:tcPr>
            <w:tcW w:w="1090" w:type="pct"/>
            <w:gridSpan w:val="2"/>
            <w:tcBorders>
              <w:top w:val="outset" w:sz="6" w:space="0" w:color="auto"/>
              <w:left w:val="outset" w:sz="6" w:space="0" w:color="auto"/>
              <w:bottom w:val="outset" w:sz="6" w:space="0" w:color="auto"/>
              <w:right w:val="outset" w:sz="6" w:space="0" w:color="auto"/>
            </w:tcBorders>
            <w:hideMark/>
          </w:tcPr>
          <w:p w:rsidR="002351D9" w:rsidRPr="004B1470" w:rsidRDefault="00952B80" w:rsidP="00952B80">
            <w:pPr>
              <w:spacing w:before="75" w:after="75" w:line="240" w:lineRule="auto"/>
              <w:rPr>
                <w:rFonts w:eastAsia="Times New Roman"/>
                <w:lang w:eastAsia="lv-LV"/>
              </w:rPr>
            </w:pPr>
            <w:r w:rsidRPr="004B1470">
              <w:rPr>
                <w:rFonts w:eastAsia="Times New Roman"/>
                <w:lang w:eastAsia="lv-LV"/>
              </w:rPr>
              <w:t>75</w:t>
            </w:r>
            <w:r w:rsidR="00250A9E" w:rsidRPr="004B1470">
              <w:rPr>
                <w:rFonts w:eastAsia="Times New Roman"/>
                <w:lang w:eastAsia="lv-LV"/>
              </w:rPr>
              <w:t>.punkts</w:t>
            </w:r>
          </w:p>
        </w:tc>
        <w:tc>
          <w:tcPr>
            <w:tcW w:w="1169"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 w:rsidRPr="00A92A45">
              <w:rPr>
                <w:rFonts w:eastAsia="Times New Roman"/>
                <w:lang w:eastAsia="lv-LV"/>
              </w:rPr>
              <w:t>pārņemts pilnībā</w:t>
            </w:r>
          </w:p>
        </w:tc>
        <w:tc>
          <w:tcPr>
            <w:tcW w:w="1642"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sidP="00025D46">
            <w:pPr>
              <w:spacing w:after="0" w:line="240" w:lineRule="auto"/>
            </w:pPr>
            <w:r w:rsidRPr="00A92A45">
              <w:rPr>
                <w:rFonts w:eastAsia="Times New Roman"/>
                <w:lang w:eastAsia="lv-LV"/>
              </w:rPr>
              <w:t>neparedz stingrākas prasības</w:t>
            </w:r>
          </w:p>
        </w:tc>
      </w:tr>
      <w:tr w:rsidR="002351D9" w:rsidRPr="00A92A45" w:rsidTr="00BD64AD">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2351D9" w:rsidRPr="00A92A45" w:rsidRDefault="00AA694F" w:rsidP="00375028">
            <w:pPr>
              <w:spacing w:before="75" w:after="75" w:line="240" w:lineRule="auto"/>
              <w:rPr>
                <w:rFonts w:eastAsia="Times New Roman"/>
                <w:lang w:eastAsia="lv-LV"/>
              </w:rPr>
            </w:pPr>
            <w:r w:rsidRPr="00A92A45">
              <w:t>36.panta 1.punkts</w:t>
            </w:r>
          </w:p>
        </w:tc>
        <w:tc>
          <w:tcPr>
            <w:tcW w:w="1090" w:type="pct"/>
            <w:gridSpan w:val="2"/>
            <w:tcBorders>
              <w:top w:val="outset" w:sz="6" w:space="0" w:color="auto"/>
              <w:left w:val="outset" w:sz="6" w:space="0" w:color="auto"/>
              <w:bottom w:val="outset" w:sz="6" w:space="0" w:color="auto"/>
              <w:right w:val="outset" w:sz="6" w:space="0" w:color="auto"/>
            </w:tcBorders>
            <w:hideMark/>
          </w:tcPr>
          <w:p w:rsidR="002351D9" w:rsidRPr="004B1470" w:rsidRDefault="00952B80" w:rsidP="00B30CCA">
            <w:pPr>
              <w:spacing w:before="75" w:after="75" w:line="240" w:lineRule="auto"/>
              <w:rPr>
                <w:rFonts w:eastAsia="Times New Roman"/>
                <w:lang w:eastAsia="lv-LV"/>
              </w:rPr>
            </w:pPr>
            <w:r w:rsidRPr="004B1470">
              <w:rPr>
                <w:rFonts w:eastAsia="Times New Roman"/>
                <w:lang w:eastAsia="lv-LV"/>
              </w:rPr>
              <w:t>36</w:t>
            </w:r>
            <w:r w:rsidR="000C03B2" w:rsidRPr="004B1470">
              <w:rPr>
                <w:rFonts w:eastAsia="Times New Roman"/>
                <w:lang w:eastAsia="lv-LV"/>
              </w:rPr>
              <w:t>.punkts</w:t>
            </w:r>
          </w:p>
        </w:tc>
        <w:tc>
          <w:tcPr>
            <w:tcW w:w="1169"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 w:rsidRPr="00A92A45">
              <w:rPr>
                <w:rFonts w:eastAsia="Times New Roman"/>
                <w:lang w:eastAsia="lv-LV"/>
              </w:rPr>
              <w:t>pārņemts pilnībā</w:t>
            </w:r>
          </w:p>
        </w:tc>
        <w:tc>
          <w:tcPr>
            <w:tcW w:w="1642"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sidP="00025D46">
            <w:pPr>
              <w:spacing w:after="0" w:line="240" w:lineRule="auto"/>
            </w:pPr>
            <w:r w:rsidRPr="00A92A45">
              <w:rPr>
                <w:rFonts w:eastAsia="Times New Roman"/>
                <w:lang w:eastAsia="lv-LV"/>
              </w:rPr>
              <w:t>neparedz stingrākas prasības</w:t>
            </w:r>
          </w:p>
        </w:tc>
      </w:tr>
      <w:tr w:rsidR="002351D9" w:rsidRPr="00A92A45" w:rsidTr="00BD64AD">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2351D9" w:rsidRPr="00A92A45" w:rsidRDefault="00AA694F" w:rsidP="00AA694F">
            <w:pPr>
              <w:spacing w:before="75" w:after="75" w:line="240" w:lineRule="auto"/>
              <w:rPr>
                <w:rFonts w:eastAsia="Times New Roman"/>
                <w:lang w:eastAsia="lv-LV"/>
              </w:rPr>
            </w:pPr>
            <w:r w:rsidRPr="00A92A45">
              <w:t>36.panta 2.punkts</w:t>
            </w:r>
          </w:p>
        </w:tc>
        <w:tc>
          <w:tcPr>
            <w:tcW w:w="1090" w:type="pct"/>
            <w:gridSpan w:val="2"/>
            <w:tcBorders>
              <w:top w:val="outset" w:sz="6" w:space="0" w:color="auto"/>
              <w:left w:val="outset" w:sz="6" w:space="0" w:color="auto"/>
              <w:bottom w:val="outset" w:sz="6" w:space="0" w:color="auto"/>
              <w:right w:val="outset" w:sz="6" w:space="0" w:color="auto"/>
            </w:tcBorders>
            <w:hideMark/>
          </w:tcPr>
          <w:p w:rsidR="002351D9" w:rsidRPr="004B1470" w:rsidRDefault="00952B80" w:rsidP="00952B80">
            <w:pPr>
              <w:spacing w:before="75" w:after="75" w:line="240" w:lineRule="auto"/>
              <w:rPr>
                <w:rFonts w:eastAsia="Times New Roman"/>
                <w:lang w:eastAsia="lv-LV"/>
              </w:rPr>
            </w:pPr>
            <w:r w:rsidRPr="004B1470">
              <w:rPr>
                <w:rFonts w:eastAsia="Times New Roman"/>
                <w:lang w:eastAsia="lv-LV"/>
              </w:rPr>
              <w:t>37</w:t>
            </w:r>
            <w:r w:rsidR="001C377E" w:rsidRPr="004B1470">
              <w:rPr>
                <w:rFonts w:eastAsia="Times New Roman"/>
                <w:lang w:eastAsia="lv-LV"/>
              </w:rPr>
              <w:t xml:space="preserve">. un </w:t>
            </w:r>
            <w:r w:rsidRPr="004B1470">
              <w:rPr>
                <w:rFonts w:eastAsia="Times New Roman"/>
                <w:lang w:eastAsia="lv-LV"/>
              </w:rPr>
              <w:t>38</w:t>
            </w:r>
            <w:r w:rsidR="001C377E" w:rsidRPr="004B1470">
              <w:rPr>
                <w:rFonts w:eastAsia="Times New Roman"/>
                <w:lang w:eastAsia="lv-LV"/>
              </w:rPr>
              <w:t>.punkts</w:t>
            </w:r>
          </w:p>
        </w:tc>
        <w:tc>
          <w:tcPr>
            <w:tcW w:w="1169"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 w:rsidRPr="00A92A45">
              <w:rPr>
                <w:rFonts w:eastAsia="Times New Roman"/>
                <w:lang w:eastAsia="lv-LV"/>
              </w:rPr>
              <w:t>pārņemts pilnībā</w:t>
            </w:r>
          </w:p>
        </w:tc>
        <w:tc>
          <w:tcPr>
            <w:tcW w:w="1642"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sidP="00025D46">
            <w:pPr>
              <w:spacing w:after="0" w:line="240" w:lineRule="auto"/>
            </w:pPr>
            <w:r w:rsidRPr="00A92A45">
              <w:rPr>
                <w:rFonts w:eastAsia="Times New Roman"/>
                <w:lang w:eastAsia="lv-LV"/>
              </w:rPr>
              <w:t>neparedz stingrākas prasības</w:t>
            </w:r>
          </w:p>
        </w:tc>
      </w:tr>
      <w:tr w:rsidR="002351D9" w:rsidRPr="00A92A45" w:rsidTr="00BD64AD">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2351D9" w:rsidRPr="00A92A45" w:rsidRDefault="00AA694F" w:rsidP="00375028">
            <w:pPr>
              <w:spacing w:before="75" w:after="75" w:line="240" w:lineRule="auto"/>
              <w:rPr>
                <w:rFonts w:eastAsia="Times New Roman"/>
                <w:lang w:eastAsia="lv-LV"/>
              </w:rPr>
            </w:pPr>
            <w:r w:rsidRPr="00A92A45">
              <w:t>37.panta 1.punkts</w:t>
            </w:r>
          </w:p>
        </w:tc>
        <w:tc>
          <w:tcPr>
            <w:tcW w:w="1090" w:type="pct"/>
            <w:gridSpan w:val="2"/>
            <w:tcBorders>
              <w:top w:val="outset" w:sz="6" w:space="0" w:color="auto"/>
              <w:left w:val="outset" w:sz="6" w:space="0" w:color="auto"/>
              <w:bottom w:val="outset" w:sz="6" w:space="0" w:color="auto"/>
              <w:right w:val="outset" w:sz="6" w:space="0" w:color="auto"/>
            </w:tcBorders>
            <w:hideMark/>
          </w:tcPr>
          <w:p w:rsidR="002351D9" w:rsidRPr="004B1470" w:rsidRDefault="00952B80" w:rsidP="00952B80">
            <w:pPr>
              <w:spacing w:before="75" w:after="75" w:line="240" w:lineRule="auto"/>
              <w:rPr>
                <w:rFonts w:eastAsia="Times New Roman"/>
                <w:lang w:eastAsia="lv-LV"/>
              </w:rPr>
            </w:pPr>
            <w:r w:rsidRPr="004B1470">
              <w:rPr>
                <w:rFonts w:eastAsia="Times New Roman"/>
                <w:lang w:eastAsia="lv-LV"/>
              </w:rPr>
              <w:t>56</w:t>
            </w:r>
            <w:r w:rsidR="00A645C1" w:rsidRPr="004B1470">
              <w:rPr>
                <w:rFonts w:eastAsia="Times New Roman"/>
                <w:lang w:eastAsia="lv-LV"/>
              </w:rPr>
              <w:t>.punkts</w:t>
            </w:r>
          </w:p>
        </w:tc>
        <w:tc>
          <w:tcPr>
            <w:tcW w:w="1169"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 w:rsidRPr="00A92A45">
              <w:rPr>
                <w:rFonts w:eastAsia="Times New Roman"/>
                <w:lang w:eastAsia="lv-LV"/>
              </w:rPr>
              <w:t>pārņemts pilnībā</w:t>
            </w:r>
          </w:p>
        </w:tc>
        <w:tc>
          <w:tcPr>
            <w:tcW w:w="1642"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sidP="00025D46">
            <w:pPr>
              <w:spacing w:after="0" w:line="240" w:lineRule="auto"/>
            </w:pPr>
            <w:r w:rsidRPr="00A92A45">
              <w:rPr>
                <w:rFonts w:eastAsia="Times New Roman"/>
                <w:lang w:eastAsia="lv-LV"/>
              </w:rPr>
              <w:t>neparedz stingrākas prasības</w:t>
            </w:r>
          </w:p>
        </w:tc>
      </w:tr>
      <w:tr w:rsidR="002351D9" w:rsidRPr="00A92A45" w:rsidTr="00BD64AD">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2351D9" w:rsidRPr="00A92A45" w:rsidRDefault="00AA694F" w:rsidP="00AA694F">
            <w:pPr>
              <w:spacing w:before="75" w:after="75" w:line="240" w:lineRule="auto"/>
              <w:rPr>
                <w:rFonts w:eastAsia="Times New Roman"/>
                <w:lang w:eastAsia="lv-LV"/>
              </w:rPr>
            </w:pPr>
            <w:r w:rsidRPr="00A92A45">
              <w:t>37.panta 2.punkts</w:t>
            </w:r>
          </w:p>
        </w:tc>
        <w:tc>
          <w:tcPr>
            <w:tcW w:w="1090" w:type="pct"/>
            <w:gridSpan w:val="2"/>
            <w:tcBorders>
              <w:top w:val="outset" w:sz="6" w:space="0" w:color="auto"/>
              <w:left w:val="outset" w:sz="6" w:space="0" w:color="auto"/>
              <w:bottom w:val="outset" w:sz="6" w:space="0" w:color="auto"/>
              <w:right w:val="outset" w:sz="6" w:space="0" w:color="auto"/>
            </w:tcBorders>
            <w:hideMark/>
          </w:tcPr>
          <w:p w:rsidR="002351D9" w:rsidRPr="004B1470" w:rsidRDefault="00952B80" w:rsidP="00952B80">
            <w:pPr>
              <w:spacing w:before="75" w:after="75" w:line="240" w:lineRule="auto"/>
              <w:rPr>
                <w:rFonts w:eastAsia="Times New Roman"/>
                <w:lang w:eastAsia="lv-LV"/>
              </w:rPr>
            </w:pPr>
            <w:r w:rsidRPr="004B1470">
              <w:rPr>
                <w:rFonts w:eastAsia="Times New Roman"/>
                <w:lang w:eastAsia="lv-LV"/>
              </w:rPr>
              <w:t>56</w:t>
            </w:r>
            <w:r w:rsidR="00FC7AF6" w:rsidRPr="004B1470">
              <w:rPr>
                <w:rFonts w:eastAsia="Times New Roman"/>
                <w:lang w:eastAsia="lv-LV"/>
              </w:rPr>
              <w:t xml:space="preserve">. un </w:t>
            </w:r>
            <w:r w:rsidRPr="004B1470">
              <w:rPr>
                <w:rFonts w:eastAsia="Times New Roman"/>
                <w:lang w:eastAsia="lv-LV"/>
              </w:rPr>
              <w:t>57</w:t>
            </w:r>
            <w:r w:rsidR="002666C7" w:rsidRPr="004B1470">
              <w:rPr>
                <w:rFonts w:eastAsia="Times New Roman"/>
                <w:lang w:eastAsia="lv-LV"/>
              </w:rPr>
              <w:t>.punkts</w:t>
            </w:r>
          </w:p>
        </w:tc>
        <w:tc>
          <w:tcPr>
            <w:tcW w:w="1169"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 w:rsidRPr="00A92A45">
              <w:rPr>
                <w:rFonts w:eastAsia="Times New Roman"/>
                <w:lang w:eastAsia="lv-LV"/>
              </w:rPr>
              <w:t>pārņemts pilnībā</w:t>
            </w:r>
          </w:p>
        </w:tc>
        <w:tc>
          <w:tcPr>
            <w:tcW w:w="1642"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sidP="00025D46">
            <w:pPr>
              <w:spacing w:after="0" w:line="240" w:lineRule="auto"/>
            </w:pPr>
            <w:r w:rsidRPr="00A92A45">
              <w:rPr>
                <w:rFonts w:eastAsia="Times New Roman"/>
                <w:lang w:eastAsia="lv-LV"/>
              </w:rPr>
              <w:t>neparedz stingrākas prasības</w:t>
            </w:r>
          </w:p>
        </w:tc>
      </w:tr>
      <w:tr w:rsidR="00D72A82" w:rsidRPr="00A92A45" w:rsidTr="00BD64AD">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D72A82" w:rsidRPr="00A92A45" w:rsidRDefault="00D72A82" w:rsidP="00FF1474">
            <w:pPr>
              <w:spacing w:after="0" w:line="240" w:lineRule="auto"/>
            </w:pPr>
            <w:r w:rsidRPr="00A92A45">
              <w:t>38.panta 1.punkts</w:t>
            </w:r>
          </w:p>
        </w:tc>
        <w:tc>
          <w:tcPr>
            <w:tcW w:w="1090" w:type="pct"/>
            <w:gridSpan w:val="2"/>
            <w:tcBorders>
              <w:top w:val="outset" w:sz="6" w:space="0" w:color="auto"/>
              <w:left w:val="outset" w:sz="6" w:space="0" w:color="auto"/>
              <w:bottom w:val="outset" w:sz="6" w:space="0" w:color="auto"/>
              <w:right w:val="outset" w:sz="6" w:space="0" w:color="auto"/>
            </w:tcBorders>
            <w:hideMark/>
          </w:tcPr>
          <w:p w:rsidR="00D72A82" w:rsidRPr="004B1470" w:rsidRDefault="00D72A82" w:rsidP="00EB7525">
            <w:pPr>
              <w:spacing w:after="0" w:line="240" w:lineRule="auto"/>
              <w:rPr>
                <w:rFonts w:eastAsia="Times New Roman"/>
                <w:lang w:eastAsia="lv-LV"/>
              </w:rPr>
            </w:pPr>
            <w:r w:rsidRPr="004B1470">
              <w:rPr>
                <w:rFonts w:eastAsia="Times New Roman"/>
                <w:lang w:eastAsia="lv-LV"/>
              </w:rPr>
              <w:t xml:space="preserve">Noteikumu </w:t>
            </w:r>
            <w:r w:rsidR="00EB7525" w:rsidRPr="004B1470">
              <w:rPr>
                <w:rFonts w:eastAsia="Times New Roman"/>
                <w:lang w:eastAsia="lv-LV"/>
              </w:rPr>
              <w:t>6.</w:t>
            </w:r>
            <w:r w:rsidRPr="004B1470">
              <w:rPr>
                <w:rFonts w:eastAsia="Times New Roman"/>
                <w:lang w:eastAsia="lv-LV"/>
              </w:rPr>
              <w:t xml:space="preserve">nodaļa un </w:t>
            </w:r>
            <w:r w:rsidR="00EB7525" w:rsidRPr="004B1470">
              <w:rPr>
                <w:rFonts w:eastAsia="Times New Roman"/>
                <w:lang w:eastAsia="lv-LV"/>
              </w:rPr>
              <w:t>6</w:t>
            </w:r>
            <w:r w:rsidRPr="004B1470">
              <w:rPr>
                <w:rFonts w:eastAsia="Times New Roman"/>
                <w:lang w:eastAsia="lv-LV"/>
              </w:rPr>
              <w:t>.pielikums</w:t>
            </w:r>
          </w:p>
        </w:tc>
        <w:tc>
          <w:tcPr>
            <w:tcW w:w="1169" w:type="pct"/>
            <w:gridSpan w:val="3"/>
            <w:tcBorders>
              <w:top w:val="outset" w:sz="6" w:space="0" w:color="auto"/>
              <w:left w:val="outset" w:sz="6" w:space="0" w:color="auto"/>
              <w:bottom w:val="outset" w:sz="6" w:space="0" w:color="auto"/>
              <w:right w:val="outset" w:sz="6" w:space="0" w:color="auto"/>
            </w:tcBorders>
            <w:hideMark/>
          </w:tcPr>
          <w:p w:rsidR="00D72A82" w:rsidRPr="00A92A45" w:rsidRDefault="00D72A82" w:rsidP="00C870A6">
            <w:r w:rsidRPr="00A92A45">
              <w:rPr>
                <w:rFonts w:eastAsia="Times New Roman"/>
                <w:lang w:eastAsia="lv-LV"/>
              </w:rPr>
              <w:t>pārņemts pilnībā</w:t>
            </w:r>
          </w:p>
        </w:tc>
        <w:tc>
          <w:tcPr>
            <w:tcW w:w="1642" w:type="pct"/>
            <w:gridSpan w:val="3"/>
            <w:tcBorders>
              <w:top w:val="outset" w:sz="6" w:space="0" w:color="auto"/>
              <w:left w:val="outset" w:sz="6" w:space="0" w:color="auto"/>
              <w:bottom w:val="outset" w:sz="6" w:space="0" w:color="auto"/>
              <w:right w:val="outset" w:sz="6" w:space="0" w:color="auto"/>
            </w:tcBorders>
            <w:hideMark/>
          </w:tcPr>
          <w:p w:rsidR="00D72A82" w:rsidRPr="00A92A45" w:rsidRDefault="00D72A82" w:rsidP="00025D46">
            <w:pPr>
              <w:spacing w:after="0" w:line="240" w:lineRule="auto"/>
            </w:pPr>
            <w:r w:rsidRPr="00A92A45">
              <w:rPr>
                <w:rFonts w:eastAsia="Times New Roman"/>
                <w:lang w:eastAsia="lv-LV"/>
              </w:rPr>
              <w:t>neparedz stingrākas prasības</w:t>
            </w:r>
          </w:p>
        </w:tc>
      </w:tr>
      <w:tr w:rsidR="002351D9" w:rsidRPr="00A92A45" w:rsidTr="00BD64AD">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2351D9" w:rsidRPr="00A92A45" w:rsidRDefault="00AA694F" w:rsidP="00AA694F">
            <w:pPr>
              <w:spacing w:before="75" w:after="75" w:line="240" w:lineRule="auto"/>
              <w:rPr>
                <w:rFonts w:eastAsia="Times New Roman"/>
                <w:lang w:eastAsia="lv-LV"/>
              </w:rPr>
            </w:pPr>
            <w:r w:rsidRPr="00A92A45">
              <w:t>38.panta 2.punkts</w:t>
            </w:r>
          </w:p>
        </w:tc>
        <w:tc>
          <w:tcPr>
            <w:tcW w:w="1090" w:type="pct"/>
            <w:gridSpan w:val="2"/>
            <w:tcBorders>
              <w:top w:val="outset" w:sz="6" w:space="0" w:color="auto"/>
              <w:left w:val="outset" w:sz="6" w:space="0" w:color="auto"/>
              <w:bottom w:val="outset" w:sz="6" w:space="0" w:color="auto"/>
              <w:right w:val="outset" w:sz="6" w:space="0" w:color="auto"/>
            </w:tcBorders>
            <w:hideMark/>
          </w:tcPr>
          <w:p w:rsidR="002351D9" w:rsidRPr="004B1470" w:rsidRDefault="002E6C07" w:rsidP="00EB7525">
            <w:pPr>
              <w:spacing w:before="75" w:after="75" w:line="240" w:lineRule="auto"/>
              <w:rPr>
                <w:rFonts w:eastAsia="Times New Roman"/>
                <w:lang w:eastAsia="lv-LV"/>
              </w:rPr>
            </w:pPr>
            <w:r w:rsidRPr="004B1470">
              <w:rPr>
                <w:rFonts w:eastAsia="Times New Roman"/>
                <w:lang w:eastAsia="lv-LV"/>
              </w:rPr>
              <w:t xml:space="preserve">Noteikumu </w:t>
            </w:r>
            <w:r w:rsidR="00EB7525" w:rsidRPr="004B1470">
              <w:rPr>
                <w:rFonts w:eastAsia="Times New Roman"/>
                <w:lang w:eastAsia="lv-LV"/>
              </w:rPr>
              <w:t>6.</w:t>
            </w:r>
            <w:r w:rsidRPr="004B1470">
              <w:rPr>
                <w:rFonts w:eastAsia="Times New Roman"/>
                <w:lang w:eastAsia="lv-LV"/>
              </w:rPr>
              <w:t xml:space="preserve">nodaļa un </w:t>
            </w:r>
            <w:r w:rsidR="00EB7525" w:rsidRPr="004B1470">
              <w:rPr>
                <w:rFonts w:eastAsia="Times New Roman"/>
                <w:lang w:eastAsia="lv-LV"/>
              </w:rPr>
              <w:t>6</w:t>
            </w:r>
            <w:r w:rsidRPr="004B1470">
              <w:rPr>
                <w:rFonts w:eastAsia="Times New Roman"/>
                <w:lang w:eastAsia="lv-LV"/>
              </w:rPr>
              <w:t>.pielikums</w:t>
            </w:r>
          </w:p>
        </w:tc>
        <w:tc>
          <w:tcPr>
            <w:tcW w:w="1169"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 w:rsidRPr="00A92A45">
              <w:rPr>
                <w:rFonts w:eastAsia="Times New Roman"/>
                <w:lang w:eastAsia="lv-LV"/>
              </w:rPr>
              <w:t>pārņemts pilnībā</w:t>
            </w:r>
          </w:p>
        </w:tc>
        <w:tc>
          <w:tcPr>
            <w:tcW w:w="1642"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sidP="00025D46">
            <w:pPr>
              <w:spacing w:after="0" w:line="240" w:lineRule="auto"/>
            </w:pPr>
            <w:r w:rsidRPr="00A92A45">
              <w:rPr>
                <w:rFonts w:eastAsia="Times New Roman"/>
                <w:lang w:eastAsia="lv-LV"/>
              </w:rPr>
              <w:t>neparedz stingrākas prasības</w:t>
            </w:r>
          </w:p>
        </w:tc>
      </w:tr>
      <w:tr w:rsidR="002351D9" w:rsidRPr="00A92A45" w:rsidTr="00BD64AD">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2351D9" w:rsidRPr="00A92A45" w:rsidRDefault="00AA694F" w:rsidP="00AA694F">
            <w:pPr>
              <w:spacing w:before="75" w:after="75" w:line="240" w:lineRule="auto"/>
              <w:rPr>
                <w:rFonts w:eastAsia="Times New Roman"/>
                <w:lang w:eastAsia="lv-LV"/>
              </w:rPr>
            </w:pPr>
            <w:r w:rsidRPr="00A92A45">
              <w:t>38.panta 3.punkts</w:t>
            </w:r>
          </w:p>
        </w:tc>
        <w:tc>
          <w:tcPr>
            <w:tcW w:w="1090" w:type="pct"/>
            <w:gridSpan w:val="2"/>
            <w:tcBorders>
              <w:top w:val="outset" w:sz="6" w:space="0" w:color="auto"/>
              <w:left w:val="outset" w:sz="6" w:space="0" w:color="auto"/>
              <w:bottom w:val="outset" w:sz="6" w:space="0" w:color="auto"/>
              <w:right w:val="outset" w:sz="6" w:space="0" w:color="auto"/>
            </w:tcBorders>
            <w:hideMark/>
          </w:tcPr>
          <w:p w:rsidR="002351D9" w:rsidRPr="004B1470" w:rsidRDefault="008B3672" w:rsidP="00B30CCA">
            <w:pPr>
              <w:spacing w:before="75" w:after="75" w:line="240" w:lineRule="auto"/>
              <w:rPr>
                <w:rFonts w:eastAsia="Times New Roman"/>
                <w:lang w:eastAsia="lv-LV"/>
              </w:rPr>
            </w:pPr>
            <w:r w:rsidRPr="004B1470">
              <w:rPr>
                <w:rFonts w:eastAsia="Times New Roman"/>
                <w:lang w:eastAsia="lv-LV"/>
              </w:rPr>
              <w:t>33</w:t>
            </w:r>
            <w:r w:rsidR="002E6C07" w:rsidRPr="004B1470">
              <w:rPr>
                <w:rFonts w:eastAsia="Times New Roman"/>
                <w:lang w:eastAsia="lv-LV"/>
              </w:rPr>
              <w:t>.punkts</w:t>
            </w:r>
          </w:p>
        </w:tc>
        <w:tc>
          <w:tcPr>
            <w:tcW w:w="1169"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 w:rsidRPr="00A92A45">
              <w:rPr>
                <w:rFonts w:eastAsia="Times New Roman"/>
                <w:lang w:eastAsia="lv-LV"/>
              </w:rPr>
              <w:t>pārņemts pilnībā</w:t>
            </w:r>
          </w:p>
        </w:tc>
        <w:tc>
          <w:tcPr>
            <w:tcW w:w="1642"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sidP="00025D46">
            <w:pPr>
              <w:spacing w:after="0" w:line="240" w:lineRule="auto"/>
            </w:pPr>
            <w:r w:rsidRPr="00A92A45">
              <w:rPr>
                <w:rFonts w:eastAsia="Times New Roman"/>
                <w:lang w:eastAsia="lv-LV"/>
              </w:rPr>
              <w:t>neparedz stingrākas prasības</w:t>
            </w:r>
          </w:p>
        </w:tc>
      </w:tr>
      <w:tr w:rsidR="002351D9" w:rsidRPr="00A92A45" w:rsidTr="00BD64AD">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2351D9" w:rsidRPr="00A92A45" w:rsidRDefault="00AA694F" w:rsidP="00AA694F">
            <w:pPr>
              <w:spacing w:before="75" w:after="75" w:line="240" w:lineRule="auto"/>
              <w:rPr>
                <w:rFonts w:eastAsia="Times New Roman"/>
                <w:lang w:eastAsia="lv-LV"/>
              </w:rPr>
            </w:pPr>
            <w:r w:rsidRPr="00A92A45">
              <w:t>38.panta 4.punkts</w:t>
            </w:r>
          </w:p>
        </w:tc>
        <w:tc>
          <w:tcPr>
            <w:tcW w:w="1090" w:type="pct"/>
            <w:gridSpan w:val="2"/>
            <w:tcBorders>
              <w:top w:val="outset" w:sz="6" w:space="0" w:color="auto"/>
              <w:left w:val="outset" w:sz="6" w:space="0" w:color="auto"/>
              <w:bottom w:val="outset" w:sz="6" w:space="0" w:color="auto"/>
              <w:right w:val="outset" w:sz="6" w:space="0" w:color="auto"/>
            </w:tcBorders>
            <w:hideMark/>
          </w:tcPr>
          <w:p w:rsidR="002351D9" w:rsidRPr="004B1470" w:rsidRDefault="00EB7525" w:rsidP="00B30CCA">
            <w:pPr>
              <w:spacing w:before="75" w:after="75" w:line="240" w:lineRule="auto"/>
              <w:rPr>
                <w:rFonts w:eastAsia="Times New Roman"/>
                <w:lang w:eastAsia="lv-LV"/>
              </w:rPr>
            </w:pPr>
            <w:r w:rsidRPr="004B1470">
              <w:rPr>
                <w:rFonts w:eastAsia="Times New Roman"/>
                <w:lang w:eastAsia="lv-LV"/>
              </w:rPr>
              <w:t>66</w:t>
            </w:r>
            <w:r w:rsidR="00733355" w:rsidRPr="004B1470">
              <w:rPr>
                <w:rFonts w:eastAsia="Times New Roman"/>
                <w:lang w:eastAsia="lv-LV"/>
              </w:rPr>
              <w:t>.punkts</w:t>
            </w:r>
          </w:p>
        </w:tc>
        <w:tc>
          <w:tcPr>
            <w:tcW w:w="1169"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 w:rsidRPr="00A92A45">
              <w:rPr>
                <w:rFonts w:eastAsia="Times New Roman"/>
                <w:lang w:eastAsia="lv-LV"/>
              </w:rPr>
              <w:t>pārņemts pilnībā</w:t>
            </w:r>
          </w:p>
        </w:tc>
        <w:tc>
          <w:tcPr>
            <w:tcW w:w="1642"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sidP="00025D46">
            <w:pPr>
              <w:spacing w:after="0" w:line="240" w:lineRule="auto"/>
            </w:pPr>
            <w:r w:rsidRPr="00A92A45">
              <w:rPr>
                <w:rFonts w:eastAsia="Times New Roman"/>
                <w:lang w:eastAsia="lv-LV"/>
              </w:rPr>
              <w:t>neparedz stingrākas prasības</w:t>
            </w:r>
          </w:p>
        </w:tc>
      </w:tr>
      <w:tr w:rsidR="002351D9" w:rsidRPr="00A92A45" w:rsidTr="00BD64AD">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2351D9" w:rsidRPr="00A92A45" w:rsidRDefault="00AA694F" w:rsidP="00375028">
            <w:pPr>
              <w:spacing w:before="75" w:after="75" w:line="240" w:lineRule="auto"/>
              <w:rPr>
                <w:rFonts w:eastAsia="Times New Roman"/>
                <w:lang w:eastAsia="lv-LV"/>
              </w:rPr>
            </w:pPr>
            <w:r w:rsidRPr="00A92A45">
              <w:t>39.pants</w:t>
            </w:r>
          </w:p>
        </w:tc>
        <w:tc>
          <w:tcPr>
            <w:tcW w:w="1090" w:type="pct"/>
            <w:gridSpan w:val="2"/>
            <w:tcBorders>
              <w:top w:val="outset" w:sz="6" w:space="0" w:color="auto"/>
              <w:left w:val="outset" w:sz="6" w:space="0" w:color="auto"/>
              <w:bottom w:val="outset" w:sz="6" w:space="0" w:color="auto"/>
              <w:right w:val="outset" w:sz="6" w:space="0" w:color="auto"/>
            </w:tcBorders>
            <w:hideMark/>
          </w:tcPr>
          <w:p w:rsidR="002351D9" w:rsidRPr="004B1470" w:rsidRDefault="00E14FD9" w:rsidP="00EB7525">
            <w:pPr>
              <w:spacing w:before="75" w:after="75" w:line="240" w:lineRule="auto"/>
              <w:rPr>
                <w:rFonts w:eastAsia="Times New Roman"/>
                <w:lang w:eastAsia="lv-LV"/>
              </w:rPr>
            </w:pPr>
            <w:r w:rsidRPr="004B1470">
              <w:rPr>
                <w:rFonts w:eastAsia="Times New Roman"/>
                <w:lang w:eastAsia="lv-LV"/>
              </w:rPr>
              <w:t xml:space="preserve">Noteikumu </w:t>
            </w:r>
            <w:r w:rsidR="00EB7525" w:rsidRPr="004B1470">
              <w:rPr>
                <w:rFonts w:eastAsia="Times New Roman"/>
                <w:lang w:eastAsia="lv-LV"/>
              </w:rPr>
              <w:t>7.</w:t>
            </w:r>
            <w:r w:rsidRPr="004B1470">
              <w:rPr>
                <w:rFonts w:eastAsia="Times New Roman"/>
                <w:lang w:eastAsia="lv-LV"/>
              </w:rPr>
              <w:t>nodaļa</w:t>
            </w:r>
          </w:p>
        </w:tc>
        <w:tc>
          <w:tcPr>
            <w:tcW w:w="1169"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 w:rsidRPr="00A92A45">
              <w:rPr>
                <w:rFonts w:eastAsia="Times New Roman"/>
                <w:lang w:eastAsia="lv-LV"/>
              </w:rPr>
              <w:t>pārņemts pilnībā</w:t>
            </w:r>
          </w:p>
        </w:tc>
        <w:tc>
          <w:tcPr>
            <w:tcW w:w="1642"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sidP="00025D46">
            <w:pPr>
              <w:spacing w:after="0" w:line="240" w:lineRule="auto"/>
            </w:pPr>
            <w:r w:rsidRPr="00A92A45">
              <w:rPr>
                <w:rFonts w:eastAsia="Times New Roman"/>
                <w:lang w:eastAsia="lv-LV"/>
              </w:rPr>
              <w:t>neparedz stingrākas prasības</w:t>
            </w:r>
          </w:p>
        </w:tc>
      </w:tr>
      <w:tr w:rsidR="002351D9" w:rsidRPr="00A92A45" w:rsidTr="00BD64AD">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2351D9" w:rsidRPr="00A92A45" w:rsidRDefault="00AA694F" w:rsidP="00375028">
            <w:pPr>
              <w:spacing w:before="75" w:after="75" w:line="240" w:lineRule="auto"/>
              <w:rPr>
                <w:rFonts w:eastAsia="Times New Roman"/>
                <w:lang w:eastAsia="lv-LV"/>
              </w:rPr>
            </w:pPr>
            <w:r w:rsidRPr="00A92A45">
              <w:t>40.panta 1.punkts</w:t>
            </w:r>
          </w:p>
        </w:tc>
        <w:tc>
          <w:tcPr>
            <w:tcW w:w="1090" w:type="pct"/>
            <w:gridSpan w:val="2"/>
            <w:tcBorders>
              <w:top w:val="outset" w:sz="6" w:space="0" w:color="auto"/>
              <w:left w:val="outset" w:sz="6" w:space="0" w:color="auto"/>
              <w:bottom w:val="outset" w:sz="6" w:space="0" w:color="auto"/>
              <w:right w:val="outset" w:sz="6" w:space="0" w:color="auto"/>
            </w:tcBorders>
            <w:hideMark/>
          </w:tcPr>
          <w:p w:rsidR="002351D9" w:rsidRPr="00A92A45" w:rsidRDefault="00B9441A" w:rsidP="00B9441A">
            <w:pPr>
              <w:spacing w:before="75" w:after="75" w:line="240" w:lineRule="auto"/>
              <w:rPr>
                <w:rFonts w:eastAsia="Times New Roman"/>
                <w:lang w:eastAsia="lv-LV"/>
              </w:rPr>
            </w:pPr>
            <w:r>
              <w:rPr>
                <w:rFonts w:eastAsia="Times New Roman"/>
                <w:lang w:eastAsia="lv-LV"/>
              </w:rPr>
              <w:t>15</w:t>
            </w:r>
            <w:r w:rsidR="00DA345F" w:rsidRPr="00A92A45">
              <w:rPr>
                <w:rFonts w:eastAsia="Times New Roman"/>
                <w:lang w:eastAsia="lv-LV"/>
              </w:rPr>
              <w:t xml:space="preserve">. un </w:t>
            </w:r>
            <w:r>
              <w:rPr>
                <w:rFonts w:eastAsia="Times New Roman"/>
                <w:lang w:eastAsia="lv-LV"/>
              </w:rPr>
              <w:t>16</w:t>
            </w:r>
            <w:r w:rsidR="00DA345F" w:rsidRPr="00A92A45">
              <w:rPr>
                <w:rFonts w:eastAsia="Times New Roman"/>
                <w:lang w:eastAsia="lv-LV"/>
              </w:rPr>
              <w:t>.punkts</w:t>
            </w:r>
          </w:p>
        </w:tc>
        <w:tc>
          <w:tcPr>
            <w:tcW w:w="1169"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 w:rsidRPr="00A92A45">
              <w:rPr>
                <w:rFonts w:eastAsia="Times New Roman"/>
                <w:lang w:eastAsia="lv-LV"/>
              </w:rPr>
              <w:t>pārņemts pilnībā</w:t>
            </w:r>
          </w:p>
        </w:tc>
        <w:tc>
          <w:tcPr>
            <w:tcW w:w="1642"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sidP="00025D46">
            <w:pPr>
              <w:spacing w:after="0" w:line="240" w:lineRule="auto"/>
            </w:pPr>
            <w:r w:rsidRPr="00A92A45">
              <w:rPr>
                <w:rFonts w:eastAsia="Times New Roman"/>
                <w:lang w:eastAsia="lv-LV"/>
              </w:rPr>
              <w:t>neparedz stingrākas prasības</w:t>
            </w:r>
          </w:p>
        </w:tc>
      </w:tr>
      <w:tr w:rsidR="002351D9" w:rsidRPr="00A92A45" w:rsidTr="00BD64AD">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2351D9" w:rsidRPr="00A92A45" w:rsidRDefault="00AA694F" w:rsidP="00AA694F">
            <w:pPr>
              <w:spacing w:before="75" w:after="75" w:line="240" w:lineRule="auto"/>
              <w:rPr>
                <w:rFonts w:eastAsia="Times New Roman"/>
                <w:lang w:eastAsia="lv-LV"/>
              </w:rPr>
            </w:pPr>
            <w:r w:rsidRPr="00A92A45">
              <w:t>40.panta 2.punkts</w:t>
            </w:r>
          </w:p>
        </w:tc>
        <w:tc>
          <w:tcPr>
            <w:tcW w:w="1090" w:type="pct"/>
            <w:gridSpan w:val="2"/>
            <w:tcBorders>
              <w:top w:val="outset" w:sz="6" w:space="0" w:color="auto"/>
              <w:left w:val="outset" w:sz="6" w:space="0" w:color="auto"/>
              <w:bottom w:val="outset" w:sz="6" w:space="0" w:color="auto"/>
              <w:right w:val="outset" w:sz="6" w:space="0" w:color="auto"/>
            </w:tcBorders>
            <w:hideMark/>
          </w:tcPr>
          <w:p w:rsidR="002351D9" w:rsidRPr="00A92A45" w:rsidRDefault="00B9441A" w:rsidP="00B9441A">
            <w:pPr>
              <w:spacing w:before="75" w:after="75" w:line="240" w:lineRule="auto"/>
              <w:rPr>
                <w:rFonts w:eastAsia="Times New Roman"/>
                <w:lang w:eastAsia="lv-LV"/>
              </w:rPr>
            </w:pPr>
            <w:r>
              <w:rPr>
                <w:rFonts w:eastAsia="Times New Roman"/>
                <w:lang w:eastAsia="lv-LV"/>
              </w:rPr>
              <w:t>17</w:t>
            </w:r>
            <w:r w:rsidR="003D25E3" w:rsidRPr="00A92A45">
              <w:rPr>
                <w:rFonts w:eastAsia="Times New Roman"/>
                <w:lang w:eastAsia="lv-LV"/>
              </w:rPr>
              <w:t xml:space="preserve">. un </w:t>
            </w:r>
            <w:r>
              <w:rPr>
                <w:rFonts w:eastAsia="Times New Roman"/>
                <w:lang w:eastAsia="lv-LV"/>
              </w:rPr>
              <w:t>18</w:t>
            </w:r>
            <w:r w:rsidR="003D25E3" w:rsidRPr="00A92A45">
              <w:rPr>
                <w:rFonts w:eastAsia="Times New Roman"/>
                <w:lang w:eastAsia="lv-LV"/>
              </w:rPr>
              <w:t>.punkts</w:t>
            </w:r>
          </w:p>
        </w:tc>
        <w:tc>
          <w:tcPr>
            <w:tcW w:w="1169"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 w:rsidRPr="00A92A45">
              <w:rPr>
                <w:rFonts w:eastAsia="Times New Roman"/>
                <w:lang w:eastAsia="lv-LV"/>
              </w:rPr>
              <w:t>pārņemts pilnībā</w:t>
            </w:r>
          </w:p>
        </w:tc>
        <w:tc>
          <w:tcPr>
            <w:tcW w:w="1642"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sidP="00025D46">
            <w:pPr>
              <w:spacing w:after="0" w:line="240" w:lineRule="auto"/>
            </w:pPr>
            <w:r w:rsidRPr="00A92A45">
              <w:rPr>
                <w:rFonts w:eastAsia="Times New Roman"/>
                <w:lang w:eastAsia="lv-LV"/>
              </w:rPr>
              <w:t>neparedz stingrākas prasības</w:t>
            </w:r>
          </w:p>
        </w:tc>
      </w:tr>
      <w:tr w:rsidR="002351D9" w:rsidRPr="00A92A45" w:rsidTr="00BD64AD">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2351D9" w:rsidRPr="00A92A45" w:rsidRDefault="00AA694F" w:rsidP="00AA694F">
            <w:pPr>
              <w:spacing w:before="75" w:after="75" w:line="240" w:lineRule="auto"/>
              <w:rPr>
                <w:rFonts w:eastAsia="Times New Roman"/>
                <w:lang w:eastAsia="lv-LV"/>
              </w:rPr>
            </w:pPr>
            <w:r w:rsidRPr="00A92A45">
              <w:lastRenderedPageBreak/>
              <w:t>40.panta 3.punkts</w:t>
            </w:r>
          </w:p>
        </w:tc>
        <w:tc>
          <w:tcPr>
            <w:tcW w:w="1090" w:type="pct"/>
            <w:gridSpan w:val="2"/>
            <w:tcBorders>
              <w:top w:val="outset" w:sz="6" w:space="0" w:color="auto"/>
              <w:left w:val="outset" w:sz="6" w:space="0" w:color="auto"/>
              <w:bottom w:val="outset" w:sz="6" w:space="0" w:color="auto"/>
              <w:right w:val="outset" w:sz="6" w:space="0" w:color="auto"/>
            </w:tcBorders>
            <w:hideMark/>
          </w:tcPr>
          <w:p w:rsidR="002351D9" w:rsidRPr="00A92A45" w:rsidRDefault="00B9441A" w:rsidP="00B30CCA">
            <w:pPr>
              <w:spacing w:before="75" w:after="75" w:line="240" w:lineRule="auto"/>
              <w:rPr>
                <w:rFonts w:eastAsia="Times New Roman"/>
                <w:lang w:eastAsia="lv-LV"/>
              </w:rPr>
            </w:pPr>
            <w:r>
              <w:rPr>
                <w:rFonts w:eastAsia="Times New Roman"/>
                <w:lang w:eastAsia="lv-LV"/>
              </w:rPr>
              <w:t>19</w:t>
            </w:r>
            <w:r w:rsidR="001734ED" w:rsidRPr="00A92A45">
              <w:rPr>
                <w:rFonts w:eastAsia="Times New Roman"/>
                <w:lang w:eastAsia="lv-LV"/>
              </w:rPr>
              <w:t>.punkts</w:t>
            </w:r>
          </w:p>
        </w:tc>
        <w:tc>
          <w:tcPr>
            <w:tcW w:w="1169"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 w:rsidRPr="00A92A45">
              <w:rPr>
                <w:rFonts w:eastAsia="Times New Roman"/>
                <w:lang w:eastAsia="lv-LV"/>
              </w:rPr>
              <w:t>pārņemts pilnībā</w:t>
            </w:r>
          </w:p>
        </w:tc>
        <w:tc>
          <w:tcPr>
            <w:tcW w:w="1642"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sidP="00025D46">
            <w:pPr>
              <w:spacing w:after="0" w:line="240" w:lineRule="auto"/>
            </w:pPr>
            <w:r w:rsidRPr="00A92A45">
              <w:rPr>
                <w:rFonts w:eastAsia="Times New Roman"/>
                <w:lang w:eastAsia="lv-LV"/>
              </w:rPr>
              <w:t>neparedz stingrākas prasības</w:t>
            </w:r>
          </w:p>
        </w:tc>
      </w:tr>
      <w:tr w:rsidR="002351D9" w:rsidRPr="00A92A45" w:rsidTr="00BD64AD">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2351D9" w:rsidRPr="00A92A45" w:rsidRDefault="00AA694F" w:rsidP="00375028">
            <w:pPr>
              <w:spacing w:before="75" w:after="75" w:line="240" w:lineRule="auto"/>
              <w:rPr>
                <w:rFonts w:eastAsia="Times New Roman"/>
                <w:lang w:eastAsia="lv-LV"/>
              </w:rPr>
            </w:pPr>
            <w:r w:rsidRPr="00A92A45">
              <w:t>V pielikuma 1.daļa</w:t>
            </w:r>
          </w:p>
        </w:tc>
        <w:tc>
          <w:tcPr>
            <w:tcW w:w="1090" w:type="pct"/>
            <w:gridSpan w:val="2"/>
            <w:tcBorders>
              <w:top w:val="outset" w:sz="6" w:space="0" w:color="auto"/>
              <w:left w:val="outset" w:sz="6" w:space="0" w:color="auto"/>
              <w:bottom w:val="outset" w:sz="6" w:space="0" w:color="auto"/>
              <w:right w:val="outset" w:sz="6" w:space="0" w:color="auto"/>
            </w:tcBorders>
            <w:hideMark/>
          </w:tcPr>
          <w:p w:rsidR="002351D9" w:rsidRPr="00A92A45" w:rsidRDefault="007939D2" w:rsidP="00471A70">
            <w:pPr>
              <w:spacing w:before="75" w:after="75" w:line="240" w:lineRule="auto"/>
              <w:rPr>
                <w:rFonts w:eastAsia="Times New Roman"/>
                <w:lang w:eastAsia="lv-LV"/>
              </w:rPr>
            </w:pPr>
            <w:r w:rsidRPr="00A92A45">
              <w:rPr>
                <w:rFonts w:eastAsia="Times New Roman"/>
                <w:lang w:eastAsia="lv-LV"/>
              </w:rPr>
              <w:t xml:space="preserve">2.pielikums, noteikumu </w:t>
            </w:r>
            <w:r w:rsidR="007814FB" w:rsidRPr="00A92A45">
              <w:rPr>
                <w:rFonts w:eastAsia="Times New Roman"/>
                <w:lang w:eastAsia="lv-LV"/>
              </w:rPr>
              <w:t>8.</w:t>
            </w:r>
            <w:r w:rsidR="00711FDF" w:rsidRPr="00A92A45">
              <w:rPr>
                <w:rFonts w:eastAsia="Times New Roman"/>
                <w:lang w:eastAsia="lv-LV"/>
              </w:rPr>
              <w:t xml:space="preserve"> un</w:t>
            </w:r>
            <w:r w:rsidR="007814FB" w:rsidRPr="00A92A45">
              <w:rPr>
                <w:rFonts w:eastAsia="Times New Roman"/>
                <w:lang w:eastAsia="lv-LV"/>
              </w:rPr>
              <w:t xml:space="preserve"> </w:t>
            </w:r>
            <w:r w:rsidR="00471A70">
              <w:rPr>
                <w:rFonts w:eastAsia="Times New Roman"/>
                <w:lang w:eastAsia="lv-LV"/>
              </w:rPr>
              <w:t>31</w:t>
            </w:r>
            <w:r w:rsidR="007814FB" w:rsidRPr="00A92A45">
              <w:rPr>
                <w:rFonts w:eastAsia="Times New Roman"/>
                <w:lang w:eastAsia="lv-LV"/>
              </w:rPr>
              <w:t>.punkts</w:t>
            </w:r>
          </w:p>
        </w:tc>
        <w:tc>
          <w:tcPr>
            <w:tcW w:w="1169"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 w:rsidRPr="00A92A45">
              <w:rPr>
                <w:rFonts w:eastAsia="Times New Roman"/>
                <w:lang w:eastAsia="lv-LV"/>
              </w:rPr>
              <w:t>pārņemts pilnībā</w:t>
            </w:r>
          </w:p>
        </w:tc>
        <w:tc>
          <w:tcPr>
            <w:tcW w:w="1642"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sidP="00025D46">
            <w:pPr>
              <w:spacing w:after="0" w:line="240" w:lineRule="auto"/>
            </w:pPr>
            <w:r w:rsidRPr="00A92A45">
              <w:rPr>
                <w:rFonts w:eastAsia="Times New Roman"/>
                <w:lang w:eastAsia="lv-LV"/>
              </w:rPr>
              <w:t>neparedz stingrākas prasības</w:t>
            </w:r>
          </w:p>
        </w:tc>
      </w:tr>
      <w:tr w:rsidR="002351D9" w:rsidRPr="00A92A45" w:rsidTr="00BD64AD">
        <w:trPr>
          <w:trHeight w:val="292"/>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2351D9" w:rsidRPr="00A92A45" w:rsidRDefault="00AA694F" w:rsidP="00375028">
            <w:pPr>
              <w:spacing w:before="75" w:after="75" w:line="240" w:lineRule="auto"/>
              <w:rPr>
                <w:rFonts w:eastAsia="Times New Roman"/>
                <w:lang w:eastAsia="lv-LV"/>
              </w:rPr>
            </w:pPr>
            <w:r w:rsidRPr="00A92A45">
              <w:t>V pielikuma 2.daļa</w:t>
            </w:r>
          </w:p>
        </w:tc>
        <w:tc>
          <w:tcPr>
            <w:tcW w:w="1090" w:type="pct"/>
            <w:gridSpan w:val="2"/>
            <w:tcBorders>
              <w:top w:val="outset" w:sz="6" w:space="0" w:color="auto"/>
              <w:left w:val="outset" w:sz="6" w:space="0" w:color="auto"/>
              <w:bottom w:val="outset" w:sz="6" w:space="0" w:color="auto"/>
              <w:right w:val="outset" w:sz="6" w:space="0" w:color="auto"/>
            </w:tcBorders>
            <w:hideMark/>
          </w:tcPr>
          <w:p w:rsidR="002351D9" w:rsidRPr="00A92A45" w:rsidRDefault="001F7B41" w:rsidP="00471A70">
            <w:pPr>
              <w:spacing w:before="75" w:after="75" w:line="240" w:lineRule="auto"/>
              <w:rPr>
                <w:rFonts w:eastAsia="Times New Roman"/>
                <w:lang w:eastAsia="lv-LV"/>
              </w:rPr>
            </w:pPr>
            <w:r w:rsidRPr="00A92A45">
              <w:rPr>
                <w:rFonts w:eastAsia="Times New Roman"/>
                <w:lang w:eastAsia="lv-LV"/>
              </w:rPr>
              <w:t>3.pielikums</w:t>
            </w:r>
            <w:r w:rsidR="00630096" w:rsidRPr="00A92A45">
              <w:rPr>
                <w:rFonts w:eastAsia="Times New Roman"/>
                <w:lang w:eastAsia="lv-LV"/>
              </w:rPr>
              <w:t xml:space="preserve">, noteikumu 8. un </w:t>
            </w:r>
            <w:r w:rsidR="00471A70">
              <w:rPr>
                <w:rFonts w:eastAsia="Times New Roman"/>
                <w:lang w:eastAsia="lv-LV"/>
              </w:rPr>
              <w:t>31</w:t>
            </w:r>
            <w:r w:rsidR="00630096" w:rsidRPr="00A92A45">
              <w:rPr>
                <w:rFonts w:eastAsia="Times New Roman"/>
                <w:lang w:eastAsia="lv-LV"/>
              </w:rPr>
              <w:t>.punkts</w:t>
            </w:r>
          </w:p>
        </w:tc>
        <w:tc>
          <w:tcPr>
            <w:tcW w:w="1169"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 w:rsidRPr="00A92A45">
              <w:rPr>
                <w:rFonts w:eastAsia="Times New Roman"/>
                <w:lang w:eastAsia="lv-LV"/>
              </w:rPr>
              <w:t>pārņemts pilnībā</w:t>
            </w:r>
          </w:p>
        </w:tc>
        <w:tc>
          <w:tcPr>
            <w:tcW w:w="1642"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sidP="00025D46">
            <w:pPr>
              <w:spacing w:after="0" w:line="240" w:lineRule="auto"/>
            </w:pPr>
            <w:r w:rsidRPr="00A92A45">
              <w:rPr>
                <w:rFonts w:eastAsia="Times New Roman"/>
                <w:lang w:eastAsia="lv-LV"/>
              </w:rPr>
              <w:t>neparedz stingrākas prasības</w:t>
            </w:r>
          </w:p>
        </w:tc>
      </w:tr>
      <w:tr w:rsidR="002351D9" w:rsidRPr="00A92A45" w:rsidTr="00BD64AD">
        <w:trPr>
          <w:trHeight w:val="240"/>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2351D9" w:rsidRPr="00A92A45" w:rsidRDefault="00AA694F" w:rsidP="00375028">
            <w:pPr>
              <w:spacing w:before="75" w:after="75" w:line="240" w:lineRule="auto"/>
              <w:rPr>
                <w:rFonts w:eastAsia="Times New Roman"/>
                <w:lang w:eastAsia="lv-LV"/>
              </w:rPr>
            </w:pPr>
            <w:r w:rsidRPr="00A92A45">
              <w:t>V pielikuma 3.daļas 1.punkts</w:t>
            </w:r>
          </w:p>
        </w:tc>
        <w:tc>
          <w:tcPr>
            <w:tcW w:w="1090" w:type="pct"/>
            <w:gridSpan w:val="2"/>
            <w:tcBorders>
              <w:top w:val="outset" w:sz="6" w:space="0" w:color="auto"/>
              <w:left w:val="outset" w:sz="6" w:space="0" w:color="auto"/>
              <w:bottom w:val="outset" w:sz="6" w:space="0" w:color="auto"/>
              <w:right w:val="outset" w:sz="6" w:space="0" w:color="auto"/>
            </w:tcBorders>
            <w:hideMark/>
          </w:tcPr>
          <w:p w:rsidR="002351D9" w:rsidRPr="004B1470" w:rsidRDefault="00FF04E2" w:rsidP="00FF04E2">
            <w:pPr>
              <w:spacing w:before="75" w:after="75" w:line="240" w:lineRule="auto"/>
              <w:rPr>
                <w:rFonts w:eastAsia="Times New Roman"/>
                <w:lang w:eastAsia="lv-LV"/>
              </w:rPr>
            </w:pPr>
            <w:r w:rsidRPr="004B1470">
              <w:rPr>
                <w:rFonts w:eastAsia="Times New Roman"/>
                <w:lang w:eastAsia="lv-LV"/>
              </w:rPr>
              <w:t>58</w:t>
            </w:r>
            <w:r w:rsidR="002F6AB3" w:rsidRPr="004B1470">
              <w:rPr>
                <w:rFonts w:eastAsia="Times New Roman"/>
                <w:lang w:eastAsia="lv-LV"/>
              </w:rPr>
              <w:t>.punkts</w:t>
            </w:r>
          </w:p>
        </w:tc>
        <w:tc>
          <w:tcPr>
            <w:tcW w:w="1169"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 w:rsidRPr="00A92A45">
              <w:rPr>
                <w:rFonts w:eastAsia="Times New Roman"/>
                <w:lang w:eastAsia="lv-LV"/>
              </w:rPr>
              <w:t>pārņemts pilnībā</w:t>
            </w:r>
          </w:p>
        </w:tc>
        <w:tc>
          <w:tcPr>
            <w:tcW w:w="1642"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sidP="00025D46">
            <w:pPr>
              <w:spacing w:after="0" w:line="240" w:lineRule="auto"/>
            </w:pPr>
            <w:r w:rsidRPr="00A92A45">
              <w:rPr>
                <w:rFonts w:eastAsia="Times New Roman"/>
                <w:lang w:eastAsia="lv-LV"/>
              </w:rPr>
              <w:t>neparedz stingrākas prasības</w:t>
            </w:r>
          </w:p>
        </w:tc>
      </w:tr>
      <w:tr w:rsidR="002351D9" w:rsidRPr="00A92A45" w:rsidTr="00BD64AD">
        <w:trPr>
          <w:trHeight w:val="258"/>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2351D9" w:rsidRPr="00A92A45" w:rsidRDefault="00AA694F" w:rsidP="00FF04E2">
            <w:pPr>
              <w:spacing w:before="75" w:after="75" w:line="240" w:lineRule="auto"/>
              <w:rPr>
                <w:rFonts w:eastAsia="Times New Roman"/>
                <w:lang w:eastAsia="lv-LV"/>
              </w:rPr>
            </w:pPr>
            <w:r w:rsidRPr="00A92A45">
              <w:t>V pielikuma 3.daļas 2.</w:t>
            </w:r>
            <w:r w:rsidR="00FF04E2">
              <w:t xml:space="preserve"> un </w:t>
            </w:r>
            <w:r w:rsidR="00FF04E2" w:rsidRPr="00A92A45">
              <w:t>3.punkts</w:t>
            </w:r>
          </w:p>
        </w:tc>
        <w:tc>
          <w:tcPr>
            <w:tcW w:w="1090" w:type="pct"/>
            <w:gridSpan w:val="2"/>
            <w:tcBorders>
              <w:top w:val="outset" w:sz="6" w:space="0" w:color="auto"/>
              <w:left w:val="outset" w:sz="6" w:space="0" w:color="auto"/>
              <w:bottom w:val="outset" w:sz="6" w:space="0" w:color="auto"/>
              <w:right w:val="outset" w:sz="6" w:space="0" w:color="auto"/>
            </w:tcBorders>
            <w:hideMark/>
          </w:tcPr>
          <w:p w:rsidR="002351D9" w:rsidRPr="004B1470" w:rsidRDefault="00FF04E2" w:rsidP="00F05A94">
            <w:pPr>
              <w:spacing w:before="75" w:after="75" w:line="240" w:lineRule="auto"/>
              <w:rPr>
                <w:rFonts w:eastAsia="Times New Roman"/>
                <w:lang w:eastAsia="lv-LV"/>
              </w:rPr>
            </w:pPr>
            <w:r w:rsidRPr="004B1470">
              <w:rPr>
                <w:rFonts w:eastAsia="Times New Roman"/>
                <w:lang w:eastAsia="lv-LV"/>
              </w:rPr>
              <w:t>59</w:t>
            </w:r>
            <w:r w:rsidR="00A5571D" w:rsidRPr="004B1470">
              <w:rPr>
                <w:rFonts w:eastAsia="Times New Roman"/>
                <w:lang w:eastAsia="lv-LV"/>
              </w:rPr>
              <w:t>.punkts</w:t>
            </w:r>
          </w:p>
        </w:tc>
        <w:tc>
          <w:tcPr>
            <w:tcW w:w="1169"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 w:rsidRPr="00A92A45">
              <w:rPr>
                <w:rFonts w:eastAsia="Times New Roman"/>
                <w:lang w:eastAsia="lv-LV"/>
              </w:rPr>
              <w:t>pārņemts pilnībā</w:t>
            </w:r>
          </w:p>
        </w:tc>
        <w:tc>
          <w:tcPr>
            <w:tcW w:w="1642"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sidP="00025D46">
            <w:pPr>
              <w:spacing w:after="0" w:line="240" w:lineRule="auto"/>
            </w:pPr>
            <w:r w:rsidRPr="00A92A45">
              <w:rPr>
                <w:rFonts w:eastAsia="Times New Roman"/>
                <w:lang w:eastAsia="lv-LV"/>
              </w:rPr>
              <w:t>neparedz stingrākas prasības</w:t>
            </w:r>
          </w:p>
        </w:tc>
      </w:tr>
      <w:tr w:rsidR="002351D9" w:rsidRPr="00A92A45" w:rsidTr="00BD64AD">
        <w:trPr>
          <w:trHeight w:val="434"/>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2351D9" w:rsidRPr="00A92A45" w:rsidRDefault="00AA694F" w:rsidP="00375028">
            <w:pPr>
              <w:spacing w:before="75" w:after="75" w:line="240" w:lineRule="auto"/>
              <w:rPr>
                <w:rFonts w:eastAsia="Times New Roman"/>
                <w:lang w:eastAsia="lv-LV"/>
              </w:rPr>
            </w:pPr>
            <w:r w:rsidRPr="00A92A45">
              <w:t>V pielikuma 3.daļas 4.punkts</w:t>
            </w:r>
          </w:p>
        </w:tc>
        <w:tc>
          <w:tcPr>
            <w:tcW w:w="1090" w:type="pct"/>
            <w:gridSpan w:val="2"/>
            <w:tcBorders>
              <w:top w:val="outset" w:sz="6" w:space="0" w:color="auto"/>
              <w:left w:val="outset" w:sz="6" w:space="0" w:color="auto"/>
              <w:bottom w:val="outset" w:sz="6" w:space="0" w:color="auto"/>
              <w:right w:val="outset" w:sz="6" w:space="0" w:color="auto"/>
            </w:tcBorders>
            <w:hideMark/>
          </w:tcPr>
          <w:p w:rsidR="002351D9" w:rsidRPr="004B1470" w:rsidRDefault="00FF04E2" w:rsidP="00B30CCA">
            <w:pPr>
              <w:spacing w:before="75" w:after="75" w:line="240" w:lineRule="auto"/>
              <w:rPr>
                <w:rFonts w:eastAsia="Times New Roman"/>
                <w:lang w:eastAsia="lv-LV"/>
              </w:rPr>
            </w:pPr>
            <w:r w:rsidRPr="004B1470">
              <w:rPr>
                <w:rFonts w:eastAsia="Times New Roman"/>
                <w:lang w:eastAsia="lv-LV"/>
              </w:rPr>
              <w:t>60</w:t>
            </w:r>
            <w:r w:rsidR="009F3DA7" w:rsidRPr="004B1470">
              <w:rPr>
                <w:rFonts w:eastAsia="Times New Roman"/>
                <w:lang w:eastAsia="lv-LV"/>
              </w:rPr>
              <w:t>.punkts</w:t>
            </w:r>
          </w:p>
        </w:tc>
        <w:tc>
          <w:tcPr>
            <w:tcW w:w="1169"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 w:rsidRPr="00A92A45">
              <w:rPr>
                <w:rFonts w:eastAsia="Times New Roman"/>
                <w:lang w:eastAsia="lv-LV"/>
              </w:rPr>
              <w:t>pārņemts pilnībā</w:t>
            </w:r>
          </w:p>
        </w:tc>
        <w:tc>
          <w:tcPr>
            <w:tcW w:w="1642"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2351D9" w:rsidP="00025D46">
            <w:pPr>
              <w:spacing w:after="0" w:line="240" w:lineRule="auto"/>
            </w:pPr>
            <w:r w:rsidRPr="00A92A45">
              <w:rPr>
                <w:rFonts w:eastAsia="Times New Roman"/>
                <w:lang w:eastAsia="lv-LV"/>
              </w:rPr>
              <w:t>neparedz stingrākas prasības</w:t>
            </w:r>
          </w:p>
        </w:tc>
      </w:tr>
      <w:tr w:rsidR="00AA694F" w:rsidRPr="00A92A45" w:rsidTr="00BD64AD">
        <w:trPr>
          <w:trHeight w:val="434"/>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AA694F" w:rsidRPr="00A92A45" w:rsidRDefault="00AA694F" w:rsidP="00375028">
            <w:pPr>
              <w:spacing w:before="75" w:after="75" w:line="240" w:lineRule="auto"/>
              <w:rPr>
                <w:rFonts w:eastAsia="Times New Roman"/>
                <w:lang w:eastAsia="lv-LV"/>
              </w:rPr>
            </w:pPr>
            <w:r w:rsidRPr="00A92A45">
              <w:t>V pielikuma 3.daļas 5.punkts</w:t>
            </w:r>
          </w:p>
        </w:tc>
        <w:tc>
          <w:tcPr>
            <w:tcW w:w="1090" w:type="pct"/>
            <w:gridSpan w:val="2"/>
            <w:tcBorders>
              <w:top w:val="outset" w:sz="6" w:space="0" w:color="auto"/>
              <w:left w:val="outset" w:sz="6" w:space="0" w:color="auto"/>
              <w:bottom w:val="outset" w:sz="6" w:space="0" w:color="auto"/>
              <w:right w:val="outset" w:sz="6" w:space="0" w:color="auto"/>
            </w:tcBorders>
            <w:hideMark/>
          </w:tcPr>
          <w:p w:rsidR="00AA694F" w:rsidRPr="004B1470" w:rsidRDefault="00FF04E2" w:rsidP="00B30CCA">
            <w:pPr>
              <w:spacing w:before="75" w:after="75" w:line="240" w:lineRule="auto"/>
              <w:rPr>
                <w:rFonts w:eastAsia="Times New Roman"/>
                <w:lang w:eastAsia="lv-LV"/>
              </w:rPr>
            </w:pPr>
            <w:r w:rsidRPr="004B1470">
              <w:rPr>
                <w:rFonts w:eastAsia="Times New Roman"/>
                <w:lang w:eastAsia="lv-LV"/>
              </w:rPr>
              <w:t>62</w:t>
            </w:r>
            <w:r w:rsidR="008C0E5C" w:rsidRPr="004B1470">
              <w:rPr>
                <w:rFonts w:eastAsia="Times New Roman"/>
                <w:lang w:eastAsia="lv-LV"/>
              </w:rPr>
              <w:t>.punkts</w:t>
            </w:r>
          </w:p>
        </w:tc>
        <w:tc>
          <w:tcPr>
            <w:tcW w:w="1169" w:type="pct"/>
            <w:gridSpan w:val="3"/>
            <w:tcBorders>
              <w:top w:val="outset" w:sz="6" w:space="0" w:color="auto"/>
              <w:left w:val="outset" w:sz="6" w:space="0" w:color="auto"/>
              <w:bottom w:val="outset" w:sz="6" w:space="0" w:color="auto"/>
              <w:right w:val="outset" w:sz="6" w:space="0" w:color="auto"/>
            </w:tcBorders>
            <w:hideMark/>
          </w:tcPr>
          <w:p w:rsidR="00AA694F" w:rsidRPr="00A92A45" w:rsidRDefault="00AA694F" w:rsidP="00E63F53">
            <w:r w:rsidRPr="00A92A45">
              <w:rPr>
                <w:rFonts w:eastAsia="Times New Roman"/>
                <w:lang w:eastAsia="lv-LV"/>
              </w:rPr>
              <w:t>pārņemts pilnībā</w:t>
            </w:r>
          </w:p>
        </w:tc>
        <w:tc>
          <w:tcPr>
            <w:tcW w:w="1642" w:type="pct"/>
            <w:gridSpan w:val="3"/>
            <w:tcBorders>
              <w:top w:val="outset" w:sz="6" w:space="0" w:color="auto"/>
              <w:left w:val="outset" w:sz="6" w:space="0" w:color="auto"/>
              <w:bottom w:val="outset" w:sz="6" w:space="0" w:color="auto"/>
              <w:right w:val="outset" w:sz="6" w:space="0" w:color="auto"/>
            </w:tcBorders>
            <w:hideMark/>
          </w:tcPr>
          <w:p w:rsidR="00AA694F" w:rsidRPr="00A92A45" w:rsidRDefault="00AA694F" w:rsidP="00025D46">
            <w:pPr>
              <w:spacing w:after="0" w:line="240" w:lineRule="auto"/>
            </w:pPr>
            <w:r w:rsidRPr="00A92A45">
              <w:rPr>
                <w:rFonts w:eastAsia="Times New Roman"/>
                <w:lang w:eastAsia="lv-LV"/>
              </w:rPr>
              <w:t>neparedz stingrākas prasības</w:t>
            </w:r>
          </w:p>
        </w:tc>
      </w:tr>
      <w:tr w:rsidR="00AA694F" w:rsidRPr="00A92A45" w:rsidTr="00BD64AD">
        <w:trPr>
          <w:trHeight w:val="434"/>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AA694F" w:rsidRPr="00A92A45" w:rsidRDefault="00AA694F" w:rsidP="00375028">
            <w:pPr>
              <w:spacing w:before="75" w:after="75" w:line="240" w:lineRule="auto"/>
              <w:rPr>
                <w:rFonts w:eastAsia="Times New Roman"/>
                <w:lang w:eastAsia="lv-LV"/>
              </w:rPr>
            </w:pPr>
            <w:r w:rsidRPr="00A92A45">
              <w:t>V pielikuma 3.daļas 6.punkts</w:t>
            </w:r>
          </w:p>
        </w:tc>
        <w:tc>
          <w:tcPr>
            <w:tcW w:w="1090" w:type="pct"/>
            <w:gridSpan w:val="2"/>
            <w:tcBorders>
              <w:top w:val="outset" w:sz="6" w:space="0" w:color="auto"/>
              <w:left w:val="outset" w:sz="6" w:space="0" w:color="auto"/>
              <w:bottom w:val="outset" w:sz="6" w:space="0" w:color="auto"/>
              <w:right w:val="outset" w:sz="6" w:space="0" w:color="auto"/>
            </w:tcBorders>
            <w:hideMark/>
          </w:tcPr>
          <w:p w:rsidR="00AA694F" w:rsidRPr="004B1470" w:rsidRDefault="00FF04E2" w:rsidP="00B30CCA">
            <w:pPr>
              <w:spacing w:before="75" w:after="75" w:line="240" w:lineRule="auto"/>
              <w:rPr>
                <w:rFonts w:eastAsia="Times New Roman"/>
                <w:lang w:eastAsia="lv-LV"/>
              </w:rPr>
            </w:pPr>
            <w:r w:rsidRPr="004B1470">
              <w:rPr>
                <w:rFonts w:eastAsia="Times New Roman"/>
                <w:lang w:eastAsia="lv-LV"/>
              </w:rPr>
              <w:t>67</w:t>
            </w:r>
            <w:r w:rsidR="00FD04B5" w:rsidRPr="004B1470">
              <w:rPr>
                <w:rFonts w:eastAsia="Times New Roman"/>
                <w:lang w:eastAsia="lv-LV"/>
              </w:rPr>
              <w:t>.punkts</w:t>
            </w:r>
          </w:p>
        </w:tc>
        <w:tc>
          <w:tcPr>
            <w:tcW w:w="1169" w:type="pct"/>
            <w:gridSpan w:val="3"/>
            <w:tcBorders>
              <w:top w:val="outset" w:sz="6" w:space="0" w:color="auto"/>
              <w:left w:val="outset" w:sz="6" w:space="0" w:color="auto"/>
              <w:bottom w:val="outset" w:sz="6" w:space="0" w:color="auto"/>
              <w:right w:val="outset" w:sz="6" w:space="0" w:color="auto"/>
            </w:tcBorders>
            <w:hideMark/>
          </w:tcPr>
          <w:p w:rsidR="00AA694F" w:rsidRPr="00A92A45" w:rsidRDefault="00AA694F" w:rsidP="00E63F53">
            <w:r w:rsidRPr="00A92A45">
              <w:rPr>
                <w:rFonts w:eastAsia="Times New Roman"/>
                <w:lang w:eastAsia="lv-LV"/>
              </w:rPr>
              <w:t>pārņemts pilnībā</w:t>
            </w:r>
          </w:p>
        </w:tc>
        <w:tc>
          <w:tcPr>
            <w:tcW w:w="1642" w:type="pct"/>
            <w:gridSpan w:val="3"/>
            <w:tcBorders>
              <w:top w:val="outset" w:sz="6" w:space="0" w:color="auto"/>
              <w:left w:val="outset" w:sz="6" w:space="0" w:color="auto"/>
              <w:bottom w:val="outset" w:sz="6" w:space="0" w:color="auto"/>
              <w:right w:val="outset" w:sz="6" w:space="0" w:color="auto"/>
            </w:tcBorders>
            <w:hideMark/>
          </w:tcPr>
          <w:p w:rsidR="00AA694F" w:rsidRPr="00A92A45" w:rsidRDefault="00AA694F" w:rsidP="00025D46">
            <w:pPr>
              <w:spacing w:after="0" w:line="240" w:lineRule="auto"/>
            </w:pPr>
            <w:r w:rsidRPr="00A92A45">
              <w:rPr>
                <w:rFonts w:eastAsia="Times New Roman"/>
                <w:lang w:eastAsia="lv-LV"/>
              </w:rPr>
              <w:t>neparedz stingrākas prasības</w:t>
            </w:r>
          </w:p>
        </w:tc>
      </w:tr>
      <w:tr w:rsidR="00AA694F" w:rsidRPr="00A92A45" w:rsidTr="00BD64AD">
        <w:trPr>
          <w:trHeight w:val="434"/>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AA694F" w:rsidRPr="00A92A45" w:rsidRDefault="00AA694F" w:rsidP="00375028">
            <w:pPr>
              <w:spacing w:before="75" w:after="75" w:line="240" w:lineRule="auto"/>
              <w:rPr>
                <w:rFonts w:eastAsia="Times New Roman"/>
                <w:lang w:eastAsia="lv-LV"/>
              </w:rPr>
            </w:pPr>
            <w:r w:rsidRPr="00A92A45">
              <w:t>V pielikuma 3.daļas 7.punkts</w:t>
            </w:r>
          </w:p>
        </w:tc>
        <w:tc>
          <w:tcPr>
            <w:tcW w:w="1090" w:type="pct"/>
            <w:gridSpan w:val="2"/>
            <w:tcBorders>
              <w:top w:val="outset" w:sz="6" w:space="0" w:color="auto"/>
              <w:left w:val="outset" w:sz="6" w:space="0" w:color="auto"/>
              <w:bottom w:val="outset" w:sz="6" w:space="0" w:color="auto"/>
              <w:right w:val="outset" w:sz="6" w:space="0" w:color="auto"/>
            </w:tcBorders>
            <w:hideMark/>
          </w:tcPr>
          <w:p w:rsidR="00AA694F" w:rsidRPr="004B1470" w:rsidRDefault="00FF04E2" w:rsidP="00FF04E2">
            <w:pPr>
              <w:spacing w:before="75" w:after="75" w:line="240" w:lineRule="auto"/>
              <w:rPr>
                <w:rFonts w:eastAsia="Times New Roman"/>
                <w:lang w:eastAsia="lv-LV"/>
              </w:rPr>
            </w:pPr>
            <w:r w:rsidRPr="004B1470">
              <w:rPr>
                <w:rFonts w:eastAsia="Times New Roman"/>
                <w:lang w:eastAsia="lv-LV"/>
              </w:rPr>
              <w:t>58</w:t>
            </w:r>
            <w:r w:rsidR="00620DDB" w:rsidRPr="004B1470">
              <w:rPr>
                <w:rFonts w:eastAsia="Times New Roman"/>
                <w:lang w:eastAsia="lv-LV"/>
              </w:rPr>
              <w:t xml:space="preserve">. un </w:t>
            </w:r>
            <w:r w:rsidRPr="004B1470">
              <w:rPr>
                <w:rFonts w:eastAsia="Times New Roman"/>
                <w:lang w:eastAsia="lv-LV"/>
              </w:rPr>
              <w:t>59</w:t>
            </w:r>
            <w:r w:rsidR="00620DDB" w:rsidRPr="004B1470">
              <w:rPr>
                <w:rFonts w:eastAsia="Times New Roman"/>
                <w:lang w:eastAsia="lv-LV"/>
              </w:rPr>
              <w:t>.punkts</w:t>
            </w:r>
          </w:p>
        </w:tc>
        <w:tc>
          <w:tcPr>
            <w:tcW w:w="1169" w:type="pct"/>
            <w:gridSpan w:val="3"/>
            <w:tcBorders>
              <w:top w:val="outset" w:sz="6" w:space="0" w:color="auto"/>
              <w:left w:val="outset" w:sz="6" w:space="0" w:color="auto"/>
              <w:bottom w:val="outset" w:sz="6" w:space="0" w:color="auto"/>
              <w:right w:val="outset" w:sz="6" w:space="0" w:color="auto"/>
            </w:tcBorders>
            <w:hideMark/>
          </w:tcPr>
          <w:p w:rsidR="00AA694F" w:rsidRPr="00A92A45" w:rsidRDefault="00AA694F" w:rsidP="00E63F53">
            <w:r w:rsidRPr="00A92A45">
              <w:rPr>
                <w:rFonts w:eastAsia="Times New Roman"/>
                <w:lang w:eastAsia="lv-LV"/>
              </w:rPr>
              <w:t>pārņemts pilnībā</w:t>
            </w:r>
          </w:p>
        </w:tc>
        <w:tc>
          <w:tcPr>
            <w:tcW w:w="1642" w:type="pct"/>
            <w:gridSpan w:val="3"/>
            <w:tcBorders>
              <w:top w:val="outset" w:sz="6" w:space="0" w:color="auto"/>
              <w:left w:val="outset" w:sz="6" w:space="0" w:color="auto"/>
              <w:bottom w:val="outset" w:sz="6" w:space="0" w:color="auto"/>
              <w:right w:val="outset" w:sz="6" w:space="0" w:color="auto"/>
            </w:tcBorders>
            <w:hideMark/>
          </w:tcPr>
          <w:p w:rsidR="00AA694F" w:rsidRPr="00A92A45" w:rsidRDefault="00AA694F" w:rsidP="00025D46">
            <w:pPr>
              <w:spacing w:after="0" w:line="240" w:lineRule="auto"/>
            </w:pPr>
            <w:r w:rsidRPr="00A92A45">
              <w:rPr>
                <w:rFonts w:eastAsia="Times New Roman"/>
                <w:lang w:eastAsia="lv-LV"/>
              </w:rPr>
              <w:t>neparedz stingrākas prasības</w:t>
            </w:r>
          </w:p>
        </w:tc>
      </w:tr>
      <w:tr w:rsidR="00AA694F" w:rsidRPr="00A92A45" w:rsidTr="00BD64AD">
        <w:trPr>
          <w:trHeight w:val="434"/>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AA694F" w:rsidRPr="00A92A45" w:rsidRDefault="00AA694F" w:rsidP="00375028">
            <w:pPr>
              <w:spacing w:before="75" w:after="75" w:line="240" w:lineRule="auto"/>
              <w:rPr>
                <w:rFonts w:eastAsia="Times New Roman"/>
                <w:lang w:eastAsia="lv-LV"/>
              </w:rPr>
            </w:pPr>
            <w:r w:rsidRPr="00A92A45">
              <w:t>V pielikuma 3.daļas 8.punkts</w:t>
            </w:r>
          </w:p>
        </w:tc>
        <w:tc>
          <w:tcPr>
            <w:tcW w:w="1090" w:type="pct"/>
            <w:gridSpan w:val="2"/>
            <w:tcBorders>
              <w:top w:val="outset" w:sz="6" w:space="0" w:color="auto"/>
              <w:left w:val="outset" w:sz="6" w:space="0" w:color="auto"/>
              <w:bottom w:val="outset" w:sz="6" w:space="0" w:color="auto"/>
              <w:right w:val="outset" w:sz="6" w:space="0" w:color="auto"/>
            </w:tcBorders>
            <w:hideMark/>
          </w:tcPr>
          <w:p w:rsidR="00AA694F" w:rsidRPr="004B1470" w:rsidRDefault="00FF04E2" w:rsidP="00FF04E2">
            <w:pPr>
              <w:spacing w:before="75" w:after="75" w:line="240" w:lineRule="auto"/>
              <w:rPr>
                <w:rFonts w:eastAsia="Times New Roman"/>
                <w:lang w:eastAsia="lv-LV"/>
              </w:rPr>
            </w:pPr>
            <w:r w:rsidRPr="004B1470">
              <w:rPr>
                <w:rFonts w:eastAsia="Times New Roman"/>
                <w:lang w:eastAsia="lv-LV"/>
              </w:rPr>
              <w:t>62</w:t>
            </w:r>
            <w:r w:rsidR="00406170" w:rsidRPr="004B1470">
              <w:rPr>
                <w:rFonts w:eastAsia="Times New Roman"/>
                <w:lang w:eastAsia="lv-LV"/>
              </w:rPr>
              <w:t>.</w:t>
            </w:r>
            <w:r w:rsidR="001B6A60" w:rsidRPr="004B1470">
              <w:rPr>
                <w:rFonts w:eastAsia="Times New Roman"/>
                <w:lang w:eastAsia="lv-LV"/>
              </w:rPr>
              <w:t>-</w:t>
            </w:r>
            <w:r w:rsidR="00EB7525" w:rsidRPr="004B1470">
              <w:rPr>
                <w:rFonts w:eastAsia="Times New Roman"/>
                <w:lang w:eastAsia="lv-LV"/>
              </w:rPr>
              <w:t xml:space="preserve"> </w:t>
            </w:r>
            <w:r w:rsidRPr="004B1470">
              <w:rPr>
                <w:rFonts w:eastAsia="Times New Roman"/>
                <w:lang w:eastAsia="lv-LV"/>
              </w:rPr>
              <w:t>65</w:t>
            </w:r>
            <w:r w:rsidR="009476D4" w:rsidRPr="004B1470">
              <w:rPr>
                <w:rFonts w:eastAsia="Times New Roman"/>
                <w:lang w:eastAsia="lv-LV"/>
              </w:rPr>
              <w:t>.</w:t>
            </w:r>
            <w:r w:rsidR="00406170" w:rsidRPr="004B1470">
              <w:rPr>
                <w:rFonts w:eastAsia="Times New Roman"/>
                <w:lang w:eastAsia="lv-LV"/>
              </w:rPr>
              <w:t xml:space="preserve">punkts un noteikumu </w:t>
            </w:r>
            <w:r w:rsidR="00EB7525" w:rsidRPr="004B1470">
              <w:rPr>
                <w:rFonts w:eastAsia="Times New Roman"/>
                <w:lang w:eastAsia="lv-LV"/>
              </w:rPr>
              <w:t>5.nodaļa</w:t>
            </w:r>
          </w:p>
        </w:tc>
        <w:tc>
          <w:tcPr>
            <w:tcW w:w="1169" w:type="pct"/>
            <w:gridSpan w:val="3"/>
            <w:tcBorders>
              <w:top w:val="outset" w:sz="6" w:space="0" w:color="auto"/>
              <w:left w:val="outset" w:sz="6" w:space="0" w:color="auto"/>
              <w:bottom w:val="outset" w:sz="6" w:space="0" w:color="auto"/>
              <w:right w:val="outset" w:sz="6" w:space="0" w:color="auto"/>
            </w:tcBorders>
            <w:hideMark/>
          </w:tcPr>
          <w:p w:rsidR="00AA694F" w:rsidRPr="00A92A45" w:rsidRDefault="00AA694F" w:rsidP="00E63F53">
            <w:r w:rsidRPr="00A92A45">
              <w:rPr>
                <w:rFonts w:eastAsia="Times New Roman"/>
                <w:lang w:eastAsia="lv-LV"/>
              </w:rPr>
              <w:t>pārņemts pilnībā</w:t>
            </w:r>
          </w:p>
        </w:tc>
        <w:tc>
          <w:tcPr>
            <w:tcW w:w="1642" w:type="pct"/>
            <w:gridSpan w:val="3"/>
            <w:tcBorders>
              <w:top w:val="outset" w:sz="6" w:space="0" w:color="auto"/>
              <w:left w:val="outset" w:sz="6" w:space="0" w:color="auto"/>
              <w:bottom w:val="outset" w:sz="6" w:space="0" w:color="auto"/>
              <w:right w:val="outset" w:sz="6" w:space="0" w:color="auto"/>
            </w:tcBorders>
            <w:hideMark/>
          </w:tcPr>
          <w:p w:rsidR="00AA694F" w:rsidRPr="00A92A45" w:rsidRDefault="00AA694F" w:rsidP="00025D46">
            <w:pPr>
              <w:spacing w:after="0" w:line="240" w:lineRule="auto"/>
            </w:pPr>
            <w:r w:rsidRPr="00A92A45">
              <w:rPr>
                <w:rFonts w:eastAsia="Times New Roman"/>
                <w:lang w:eastAsia="lv-LV"/>
              </w:rPr>
              <w:t>neparedz stingrākas prasības</w:t>
            </w:r>
          </w:p>
        </w:tc>
      </w:tr>
      <w:tr w:rsidR="00AA694F" w:rsidRPr="00A92A45" w:rsidTr="00BD64AD">
        <w:trPr>
          <w:trHeight w:val="434"/>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AA694F" w:rsidRPr="00A92A45" w:rsidRDefault="00AA694F" w:rsidP="00375028">
            <w:pPr>
              <w:spacing w:before="75" w:after="75" w:line="240" w:lineRule="auto"/>
              <w:rPr>
                <w:rFonts w:eastAsia="Times New Roman"/>
                <w:lang w:eastAsia="lv-LV"/>
              </w:rPr>
            </w:pPr>
            <w:r w:rsidRPr="00A92A45">
              <w:t>V pielikuma 3.daļas 9.un10.punkts</w:t>
            </w:r>
          </w:p>
        </w:tc>
        <w:tc>
          <w:tcPr>
            <w:tcW w:w="1090" w:type="pct"/>
            <w:gridSpan w:val="2"/>
            <w:tcBorders>
              <w:top w:val="outset" w:sz="6" w:space="0" w:color="auto"/>
              <w:left w:val="outset" w:sz="6" w:space="0" w:color="auto"/>
              <w:bottom w:val="outset" w:sz="6" w:space="0" w:color="auto"/>
              <w:right w:val="outset" w:sz="6" w:space="0" w:color="auto"/>
            </w:tcBorders>
            <w:hideMark/>
          </w:tcPr>
          <w:p w:rsidR="00AA694F" w:rsidRPr="004B1470" w:rsidRDefault="0073130B" w:rsidP="0073130B">
            <w:pPr>
              <w:spacing w:before="75" w:after="75" w:line="240" w:lineRule="auto"/>
              <w:rPr>
                <w:rFonts w:eastAsia="Times New Roman"/>
                <w:lang w:eastAsia="lv-LV"/>
              </w:rPr>
            </w:pPr>
            <w:r w:rsidRPr="004B1470">
              <w:rPr>
                <w:rFonts w:eastAsia="Times New Roman"/>
                <w:lang w:eastAsia="lv-LV"/>
              </w:rPr>
              <w:t>68</w:t>
            </w:r>
            <w:r w:rsidR="009476D4" w:rsidRPr="004B1470">
              <w:rPr>
                <w:rFonts w:eastAsia="Times New Roman"/>
                <w:lang w:eastAsia="lv-LV"/>
              </w:rPr>
              <w:t xml:space="preserve">. – </w:t>
            </w:r>
            <w:r w:rsidRPr="004B1470">
              <w:rPr>
                <w:rFonts w:eastAsia="Times New Roman"/>
                <w:lang w:eastAsia="lv-LV"/>
              </w:rPr>
              <w:t>71</w:t>
            </w:r>
            <w:r w:rsidR="009476D4" w:rsidRPr="004B1470">
              <w:rPr>
                <w:rFonts w:eastAsia="Times New Roman"/>
                <w:lang w:eastAsia="lv-LV"/>
              </w:rPr>
              <w:t>.punkts</w:t>
            </w:r>
          </w:p>
        </w:tc>
        <w:tc>
          <w:tcPr>
            <w:tcW w:w="1169" w:type="pct"/>
            <w:gridSpan w:val="3"/>
            <w:tcBorders>
              <w:top w:val="outset" w:sz="6" w:space="0" w:color="auto"/>
              <w:left w:val="outset" w:sz="6" w:space="0" w:color="auto"/>
              <w:bottom w:val="outset" w:sz="6" w:space="0" w:color="auto"/>
              <w:right w:val="outset" w:sz="6" w:space="0" w:color="auto"/>
            </w:tcBorders>
            <w:hideMark/>
          </w:tcPr>
          <w:p w:rsidR="00AA694F" w:rsidRPr="00A92A45" w:rsidRDefault="00AA694F" w:rsidP="00E63F53">
            <w:r w:rsidRPr="00A92A45">
              <w:rPr>
                <w:rFonts w:eastAsia="Times New Roman"/>
                <w:lang w:eastAsia="lv-LV"/>
              </w:rPr>
              <w:t>pārņemts pilnībā</w:t>
            </w:r>
          </w:p>
        </w:tc>
        <w:tc>
          <w:tcPr>
            <w:tcW w:w="1642" w:type="pct"/>
            <w:gridSpan w:val="3"/>
            <w:tcBorders>
              <w:top w:val="outset" w:sz="6" w:space="0" w:color="auto"/>
              <w:left w:val="outset" w:sz="6" w:space="0" w:color="auto"/>
              <w:bottom w:val="outset" w:sz="6" w:space="0" w:color="auto"/>
              <w:right w:val="outset" w:sz="6" w:space="0" w:color="auto"/>
            </w:tcBorders>
            <w:hideMark/>
          </w:tcPr>
          <w:p w:rsidR="00AA694F" w:rsidRPr="00A92A45" w:rsidRDefault="00AA694F" w:rsidP="00025D46">
            <w:pPr>
              <w:spacing w:after="0" w:line="240" w:lineRule="auto"/>
            </w:pPr>
            <w:r w:rsidRPr="00A92A45">
              <w:rPr>
                <w:rFonts w:eastAsia="Times New Roman"/>
                <w:lang w:eastAsia="lv-LV"/>
              </w:rPr>
              <w:t>neparedz stingrākas prasības</w:t>
            </w:r>
          </w:p>
        </w:tc>
      </w:tr>
      <w:tr w:rsidR="00AA694F" w:rsidRPr="00A92A45" w:rsidTr="00BD64AD">
        <w:trPr>
          <w:trHeight w:val="434"/>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AA694F" w:rsidRPr="00A92A45" w:rsidRDefault="00AA694F" w:rsidP="00375028">
            <w:pPr>
              <w:spacing w:before="75" w:after="75" w:line="240" w:lineRule="auto"/>
              <w:rPr>
                <w:rFonts w:eastAsia="Times New Roman"/>
                <w:lang w:eastAsia="lv-LV"/>
              </w:rPr>
            </w:pPr>
            <w:r w:rsidRPr="00A92A45">
              <w:t>V pielikuma 3.daļas 11.punkts</w:t>
            </w:r>
          </w:p>
        </w:tc>
        <w:tc>
          <w:tcPr>
            <w:tcW w:w="1090" w:type="pct"/>
            <w:gridSpan w:val="2"/>
            <w:tcBorders>
              <w:top w:val="outset" w:sz="6" w:space="0" w:color="auto"/>
              <w:left w:val="outset" w:sz="6" w:space="0" w:color="auto"/>
              <w:bottom w:val="outset" w:sz="6" w:space="0" w:color="auto"/>
              <w:right w:val="outset" w:sz="6" w:space="0" w:color="auto"/>
            </w:tcBorders>
            <w:hideMark/>
          </w:tcPr>
          <w:p w:rsidR="00AA694F" w:rsidRPr="004B1470" w:rsidRDefault="0073130B" w:rsidP="0073130B">
            <w:pPr>
              <w:spacing w:before="75" w:after="75" w:line="240" w:lineRule="auto"/>
              <w:rPr>
                <w:rFonts w:eastAsia="Times New Roman"/>
                <w:lang w:eastAsia="lv-LV"/>
              </w:rPr>
            </w:pPr>
            <w:r w:rsidRPr="004B1470">
              <w:rPr>
                <w:rFonts w:eastAsia="Times New Roman"/>
                <w:lang w:eastAsia="lv-LV"/>
              </w:rPr>
              <w:t>26</w:t>
            </w:r>
            <w:r w:rsidR="00770F72" w:rsidRPr="004B1470">
              <w:rPr>
                <w:rFonts w:eastAsia="Times New Roman"/>
                <w:lang w:eastAsia="lv-LV"/>
              </w:rPr>
              <w:t>.</w:t>
            </w:r>
            <w:r w:rsidR="001D13D2" w:rsidRPr="004B1470">
              <w:rPr>
                <w:rFonts w:eastAsia="Times New Roman"/>
                <w:lang w:eastAsia="lv-LV"/>
              </w:rPr>
              <w:t xml:space="preserve"> un </w:t>
            </w:r>
            <w:r w:rsidRPr="004B1470">
              <w:rPr>
                <w:rFonts w:eastAsia="Times New Roman"/>
                <w:lang w:eastAsia="lv-LV"/>
              </w:rPr>
              <w:t>67</w:t>
            </w:r>
            <w:r w:rsidR="001D13D2" w:rsidRPr="004B1470">
              <w:rPr>
                <w:rFonts w:eastAsia="Times New Roman"/>
                <w:lang w:eastAsia="lv-LV"/>
              </w:rPr>
              <w:t>.</w:t>
            </w:r>
            <w:r w:rsidR="00770F72" w:rsidRPr="004B1470">
              <w:rPr>
                <w:rFonts w:eastAsia="Times New Roman"/>
                <w:lang w:eastAsia="lv-LV"/>
              </w:rPr>
              <w:t>punkts</w:t>
            </w:r>
          </w:p>
        </w:tc>
        <w:tc>
          <w:tcPr>
            <w:tcW w:w="1169" w:type="pct"/>
            <w:gridSpan w:val="3"/>
            <w:tcBorders>
              <w:top w:val="outset" w:sz="6" w:space="0" w:color="auto"/>
              <w:left w:val="outset" w:sz="6" w:space="0" w:color="auto"/>
              <w:bottom w:val="outset" w:sz="6" w:space="0" w:color="auto"/>
              <w:right w:val="outset" w:sz="6" w:space="0" w:color="auto"/>
            </w:tcBorders>
            <w:hideMark/>
          </w:tcPr>
          <w:p w:rsidR="00AA694F" w:rsidRPr="00A92A45" w:rsidRDefault="00AA694F" w:rsidP="00E63F53">
            <w:r w:rsidRPr="00A92A45">
              <w:rPr>
                <w:rFonts w:eastAsia="Times New Roman"/>
                <w:lang w:eastAsia="lv-LV"/>
              </w:rPr>
              <w:t>pārņemts pilnībā</w:t>
            </w:r>
          </w:p>
        </w:tc>
        <w:tc>
          <w:tcPr>
            <w:tcW w:w="1642" w:type="pct"/>
            <w:gridSpan w:val="3"/>
            <w:tcBorders>
              <w:top w:val="outset" w:sz="6" w:space="0" w:color="auto"/>
              <w:left w:val="outset" w:sz="6" w:space="0" w:color="auto"/>
              <w:bottom w:val="outset" w:sz="6" w:space="0" w:color="auto"/>
              <w:right w:val="outset" w:sz="6" w:space="0" w:color="auto"/>
            </w:tcBorders>
            <w:hideMark/>
          </w:tcPr>
          <w:p w:rsidR="00AA694F" w:rsidRPr="00A92A45" w:rsidRDefault="00AA694F" w:rsidP="00025D46">
            <w:pPr>
              <w:spacing w:after="0" w:line="240" w:lineRule="auto"/>
            </w:pPr>
            <w:r w:rsidRPr="00A92A45">
              <w:rPr>
                <w:rFonts w:eastAsia="Times New Roman"/>
                <w:lang w:eastAsia="lv-LV"/>
              </w:rPr>
              <w:t>neparedz stingrākas prasības</w:t>
            </w:r>
          </w:p>
        </w:tc>
      </w:tr>
      <w:tr w:rsidR="00AA694F" w:rsidRPr="00A92A45" w:rsidTr="00BD64AD">
        <w:trPr>
          <w:trHeight w:val="434"/>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AA694F" w:rsidRPr="00A92A45" w:rsidRDefault="00AA694F" w:rsidP="00375028">
            <w:pPr>
              <w:spacing w:before="75" w:after="75" w:line="240" w:lineRule="auto"/>
              <w:rPr>
                <w:rFonts w:eastAsia="Times New Roman"/>
                <w:lang w:eastAsia="lv-LV"/>
              </w:rPr>
            </w:pPr>
            <w:r w:rsidRPr="00A92A45">
              <w:t>V pielikuma 4.daļas 1.punkts</w:t>
            </w:r>
          </w:p>
        </w:tc>
        <w:tc>
          <w:tcPr>
            <w:tcW w:w="1090" w:type="pct"/>
            <w:gridSpan w:val="2"/>
            <w:tcBorders>
              <w:top w:val="outset" w:sz="6" w:space="0" w:color="auto"/>
              <w:left w:val="outset" w:sz="6" w:space="0" w:color="auto"/>
              <w:bottom w:val="outset" w:sz="6" w:space="0" w:color="auto"/>
              <w:right w:val="outset" w:sz="6" w:space="0" w:color="auto"/>
            </w:tcBorders>
            <w:hideMark/>
          </w:tcPr>
          <w:p w:rsidR="00AA694F" w:rsidRPr="004B1470" w:rsidRDefault="0073130B" w:rsidP="001D13D2">
            <w:pPr>
              <w:spacing w:before="75" w:after="75" w:line="240" w:lineRule="auto"/>
              <w:rPr>
                <w:rFonts w:eastAsia="Times New Roman"/>
                <w:lang w:eastAsia="lv-LV"/>
              </w:rPr>
            </w:pPr>
            <w:r w:rsidRPr="004B1470">
              <w:rPr>
                <w:rFonts w:eastAsia="Times New Roman"/>
                <w:lang w:eastAsia="lv-LV"/>
              </w:rPr>
              <w:t>71. un 72</w:t>
            </w:r>
            <w:r w:rsidR="004D17F6" w:rsidRPr="004B1470">
              <w:rPr>
                <w:rFonts w:eastAsia="Times New Roman"/>
                <w:lang w:eastAsia="lv-LV"/>
              </w:rPr>
              <w:t>.punkts</w:t>
            </w:r>
          </w:p>
        </w:tc>
        <w:tc>
          <w:tcPr>
            <w:tcW w:w="1169" w:type="pct"/>
            <w:gridSpan w:val="3"/>
            <w:tcBorders>
              <w:top w:val="outset" w:sz="6" w:space="0" w:color="auto"/>
              <w:left w:val="outset" w:sz="6" w:space="0" w:color="auto"/>
              <w:bottom w:val="outset" w:sz="6" w:space="0" w:color="auto"/>
              <w:right w:val="outset" w:sz="6" w:space="0" w:color="auto"/>
            </w:tcBorders>
            <w:hideMark/>
          </w:tcPr>
          <w:p w:rsidR="00AA694F" w:rsidRPr="00A92A45" w:rsidRDefault="00AA694F" w:rsidP="00E63F53">
            <w:r w:rsidRPr="00A92A45">
              <w:rPr>
                <w:rFonts w:eastAsia="Times New Roman"/>
                <w:lang w:eastAsia="lv-LV"/>
              </w:rPr>
              <w:t>pārņemts pilnībā</w:t>
            </w:r>
          </w:p>
        </w:tc>
        <w:tc>
          <w:tcPr>
            <w:tcW w:w="1642" w:type="pct"/>
            <w:gridSpan w:val="3"/>
            <w:tcBorders>
              <w:top w:val="outset" w:sz="6" w:space="0" w:color="auto"/>
              <w:left w:val="outset" w:sz="6" w:space="0" w:color="auto"/>
              <w:bottom w:val="outset" w:sz="6" w:space="0" w:color="auto"/>
              <w:right w:val="outset" w:sz="6" w:space="0" w:color="auto"/>
            </w:tcBorders>
            <w:hideMark/>
          </w:tcPr>
          <w:p w:rsidR="00AA694F" w:rsidRPr="00A92A45" w:rsidRDefault="00AA694F" w:rsidP="00025D46">
            <w:pPr>
              <w:spacing w:after="0" w:line="240" w:lineRule="auto"/>
            </w:pPr>
            <w:r w:rsidRPr="00A92A45">
              <w:rPr>
                <w:rFonts w:eastAsia="Times New Roman"/>
                <w:lang w:eastAsia="lv-LV"/>
              </w:rPr>
              <w:t>neparedz stingrākas prasības</w:t>
            </w:r>
          </w:p>
        </w:tc>
      </w:tr>
      <w:tr w:rsidR="00AA694F" w:rsidRPr="00A92A45" w:rsidTr="00BD64AD">
        <w:trPr>
          <w:trHeight w:val="434"/>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AA694F" w:rsidRPr="00A92A45" w:rsidRDefault="00AA694F" w:rsidP="00375028">
            <w:pPr>
              <w:spacing w:before="75" w:after="75" w:line="240" w:lineRule="auto"/>
              <w:rPr>
                <w:rFonts w:eastAsia="Times New Roman"/>
                <w:lang w:eastAsia="lv-LV"/>
              </w:rPr>
            </w:pPr>
            <w:r w:rsidRPr="00A92A45">
              <w:t>V pielikuma 4.daļas 2.punkts</w:t>
            </w:r>
          </w:p>
        </w:tc>
        <w:tc>
          <w:tcPr>
            <w:tcW w:w="1090" w:type="pct"/>
            <w:gridSpan w:val="2"/>
            <w:tcBorders>
              <w:top w:val="outset" w:sz="6" w:space="0" w:color="auto"/>
              <w:left w:val="outset" w:sz="6" w:space="0" w:color="auto"/>
              <w:bottom w:val="outset" w:sz="6" w:space="0" w:color="auto"/>
              <w:right w:val="outset" w:sz="6" w:space="0" w:color="auto"/>
            </w:tcBorders>
            <w:hideMark/>
          </w:tcPr>
          <w:p w:rsidR="00AA694F" w:rsidRPr="004B1470" w:rsidRDefault="00EB7525" w:rsidP="00B30CCA">
            <w:pPr>
              <w:spacing w:before="75" w:after="75" w:line="240" w:lineRule="auto"/>
              <w:rPr>
                <w:rFonts w:eastAsia="Times New Roman"/>
                <w:lang w:eastAsia="lv-LV"/>
              </w:rPr>
            </w:pPr>
            <w:r w:rsidRPr="004B1470">
              <w:rPr>
                <w:rFonts w:eastAsia="Times New Roman"/>
                <w:lang w:eastAsia="lv-LV"/>
              </w:rPr>
              <w:t>7</w:t>
            </w:r>
            <w:r w:rsidR="0073130B" w:rsidRPr="004B1470">
              <w:rPr>
                <w:rFonts w:eastAsia="Times New Roman"/>
                <w:lang w:eastAsia="lv-LV"/>
              </w:rPr>
              <w:t>3</w:t>
            </w:r>
            <w:r w:rsidR="009B245F" w:rsidRPr="004B1470">
              <w:rPr>
                <w:rFonts w:eastAsia="Times New Roman"/>
                <w:lang w:eastAsia="lv-LV"/>
              </w:rPr>
              <w:t>.punkts</w:t>
            </w:r>
          </w:p>
        </w:tc>
        <w:tc>
          <w:tcPr>
            <w:tcW w:w="1169" w:type="pct"/>
            <w:gridSpan w:val="3"/>
            <w:tcBorders>
              <w:top w:val="outset" w:sz="6" w:space="0" w:color="auto"/>
              <w:left w:val="outset" w:sz="6" w:space="0" w:color="auto"/>
              <w:bottom w:val="outset" w:sz="6" w:space="0" w:color="auto"/>
              <w:right w:val="outset" w:sz="6" w:space="0" w:color="auto"/>
            </w:tcBorders>
            <w:hideMark/>
          </w:tcPr>
          <w:p w:rsidR="00AA694F" w:rsidRPr="00A92A45" w:rsidRDefault="00AA694F" w:rsidP="00E63F53">
            <w:r w:rsidRPr="00A92A45">
              <w:rPr>
                <w:rFonts w:eastAsia="Times New Roman"/>
                <w:lang w:eastAsia="lv-LV"/>
              </w:rPr>
              <w:t>pārņemts pilnībā</w:t>
            </w:r>
          </w:p>
        </w:tc>
        <w:tc>
          <w:tcPr>
            <w:tcW w:w="1642" w:type="pct"/>
            <w:gridSpan w:val="3"/>
            <w:tcBorders>
              <w:top w:val="outset" w:sz="6" w:space="0" w:color="auto"/>
              <w:left w:val="outset" w:sz="6" w:space="0" w:color="auto"/>
              <w:bottom w:val="outset" w:sz="6" w:space="0" w:color="auto"/>
              <w:right w:val="outset" w:sz="6" w:space="0" w:color="auto"/>
            </w:tcBorders>
            <w:hideMark/>
          </w:tcPr>
          <w:p w:rsidR="00AA694F" w:rsidRPr="00A92A45" w:rsidRDefault="00AA694F" w:rsidP="00025D46">
            <w:pPr>
              <w:spacing w:after="0" w:line="240" w:lineRule="auto"/>
            </w:pPr>
            <w:r w:rsidRPr="00A92A45">
              <w:rPr>
                <w:rFonts w:eastAsia="Times New Roman"/>
                <w:lang w:eastAsia="lv-LV"/>
              </w:rPr>
              <w:t>neparedz stingrākas prasības</w:t>
            </w:r>
          </w:p>
        </w:tc>
      </w:tr>
      <w:tr w:rsidR="002351D9" w:rsidRPr="00A92A45" w:rsidTr="00BD64AD">
        <w:trPr>
          <w:trHeight w:val="434"/>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2351D9" w:rsidRPr="00A92A45" w:rsidRDefault="00AA694F" w:rsidP="00375028">
            <w:pPr>
              <w:spacing w:before="75" w:after="75" w:line="240" w:lineRule="auto"/>
              <w:rPr>
                <w:rFonts w:eastAsia="Times New Roman"/>
                <w:lang w:eastAsia="lv-LV"/>
              </w:rPr>
            </w:pPr>
            <w:r w:rsidRPr="00A92A45">
              <w:t>V pielikuma 5.daļa</w:t>
            </w:r>
          </w:p>
        </w:tc>
        <w:tc>
          <w:tcPr>
            <w:tcW w:w="1090" w:type="pct"/>
            <w:gridSpan w:val="2"/>
            <w:tcBorders>
              <w:top w:val="outset" w:sz="6" w:space="0" w:color="auto"/>
              <w:left w:val="outset" w:sz="6" w:space="0" w:color="auto"/>
              <w:bottom w:val="outset" w:sz="6" w:space="0" w:color="auto"/>
              <w:right w:val="outset" w:sz="6" w:space="0" w:color="auto"/>
            </w:tcBorders>
            <w:hideMark/>
          </w:tcPr>
          <w:p w:rsidR="002351D9" w:rsidRPr="00A92A45" w:rsidRDefault="00DA7CFE" w:rsidP="00B30CCA">
            <w:pPr>
              <w:spacing w:before="75" w:after="75" w:line="240" w:lineRule="auto"/>
              <w:rPr>
                <w:rFonts w:eastAsia="Times New Roman"/>
                <w:lang w:eastAsia="lv-LV"/>
              </w:rPr>
            </w:pPr>
            <w:r w:rsidRPr="00A92A45">
              <w:rPr>
                <w:rFonts w:eastAsia="Times New Roman"/>
                <w:lang w:eastAsia="lv-LV"/>
              </w:rPr>
              <w:t>Norma nav pārņemta, jo ir izmantota direktīvā paredzētā rīcības brīvība</w:t>
            </w:r>
          </w:p>
        </w:tc>
        <w:tc>
          <w:tcPr>
            <w:tcW w:w="1169"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DA7CFE">
            <w:r w:rsidRPr="00A92A45">
              <w:rPr>
                <w:rFonts w:eastAsia="Times New Roman"/>
                <w:lang w:eastAsia="lv-LV"/>
              </w:rPr>
              <w:t>-</w:t>
            </w:r>
          </w:p>
        </w:tc>
        <w:tc>
          <w:tcPr>
            <w:tcW w:w="1642" w:type="pct"/>
            <w:gridSpan w:val="3"/>
            <w:tcBorders>
              <w:top w:val="outset" w:sz="6" w:space="0" w:color="auto"/>
              <w:left w:val="outset" w:sz="6" w:space="0" w:color="auto"/>
              <w:bottom w:val="outset" w:sz="6" w:space="0" w:color="auto"/>
              <w:right w:val="outset" w:sz="6" w:space="0" w:color="auto"/>
            </w:tcBorders>
            <w:hideMark/>
          </w:tcPr>
          <w:p w:rsidR="002351D9" w:rsidRPr="00A92A45" w:rsidRDefault="00DA7CFE" w:rsidP="00025D46">
            <w:pPr>
              <w:spacing w:after="0" w:line="240" w:lineRule="auto"/>
            </w:pPr>
            <w:r w:rsidRPr="00A92A45">
              <w:rPr>
                <w:rFonts w:eastAsia="Times New Roman"/>
                <w:lang w:eastAsia="lv-LV"/>
              </w:rPr>
              <w:t>-</w:t>
            </w:r>
          </w:p>
        </w:tc>
      </w:tr>
      <w:tr w:rsidR="00AA694F" w:rsidRPr="00A92A45" w:rsidTr="00BD64AD">
        <w:trPr>
          <w:trHeight w:val="434"/>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AA694F" w:rsidRPr="00A92A45" w:rsidRDefault="00AA694F" w:rsidP="00375028">
            <w:pPr>
              <w:spacing w:before="75" w:after="75" w:line="240" w:lineRule="auto"/>
              <w:rPr>
                <w:rFonts w:eastAsia="Times New Roman"/>
                <w:lang w:eastAsia="lv-LV"/>
              </w:rPr>
            </w:pPr>
            <w:r w:rsidRPr="00A92A45">
              <w:t>V pielikuma 6.daļa</w:t>
            </w:r>
          </w:p>
        </w:tc>
        <w:tc>
          <w:tcPr>
            <w:tcW w:w="1090" w:type="pct"/>
            <w:gridSpan w:val="2"/>
            <w:tcBorders>
              <w:top w:val="outset" w:sz="6" w:space="0" w:color="auto"/>
              <w:left w:val="outset" w:sz="6" w:space="0" w:color="auto"/>
              <w:bottom w:val="outset" w:sz="6" w:space="0" w:color="auto"/>
              <w:right w:val="outset" w:sz="6" w:space="0" w:color="auto"/>
            </w:tcBorders>
            <w:hideMark/>
          </w:tcPr>
          <w:p w:rsidR="00AA694F" w:rsidRPr="00A92A45" w:rsidRDefault="00DA7CFE" w:rsidP="00B30CCA">
            <w:pPr>
              <w:spacing w:before="75" w:after="75" w:line="240" w:lineRule="auto"/>
              <w:rPr>
                <w:rFonts w:eastAsia="Times New Roman"/>
                <w:lang w:eastAsia="lv-LV"/>
              </w:rPr>
            </w:pPr>
            <w:r w:rsidRPr="00A92A45">
              <w:rPr>
                <w:rFonts w:eastAsia="Times New Roman"/>
                <w:lang w:eastAsia="lv-LV"/>
              </w:rPr>
              <w:t>Norma nav pārņemta, jo ir izmantota direktīvā paredzētā rīcības brīvība</w:t>
            </w:r>
          </w:p>
        </w:tc>
        <w:tc>
          <w:tcPr>
            <w:tcW w:w="1169" w:type="pct"/>
            <w:gridSpan w:val="3"/>
            <w:tcBorders>
              <w:top w:val="outset" w:sz="6" w:space="0" w:color="auto"/>
              <w:left w:val="outset" w:sz="6" w:space="0" w:color="auto"/>
              <w:bottom w:val="outset" w:sz="6" w:space="0" w:color="auto"/>
              <w:right w:val="outset" w:sz="6" w:space="0" w:color="auto"/>
            </w:tcBorders>
            <w:hideMark/>
          </w:tcPr>
          <w:p w:rsidR="00AA694F" w:rsidRPr="00A92A45" w:rsidRDefault="00DA7CFE" w:rsidP="00E63F53">
            <w:r w:rsidRPr="00A92A45">
              <w:rPr>
                <w:rFonts w:eastAsia="Times New Roman"/>
                <w:lang w:eastAsia="lv-LV"/>
              </w:rPr>
              <w:t>-</w:t>
            </w:r>
          </w:p>
        </w:tc>
        <w:tc>
          <w:tcPr>
            <w:tcW w:w="1642" w:type="pct"/>
            <w:gridSpan w:val="3"/>
            <w:tcBorders>
              <w:top w:val="outset" w:sz="6" w:space="0" w:color="auto"/>
              <w:left w:val="outset" w:sz="6" w:space="0" w:color="auto"/>
              <w:bottom w:val="outset" w:sz="6" w:space="0" w:color="auto"/>
              <w:right w:val="outset" w:sz="6" w:space="0" w:color="auto"/>
            </w:tcBorders>
            <w:hideMark/>
          </w:tcPr>
          <w:p w:rsidR="00AA694F" w:rsidRPr="00A92A45" w:rsidRDefault="00DA7CFE" w:rsidP="00025D46">
            <w:pPr>
              <w:spacing w:after="0" w:line="240" w:lineRule="auto"/>
            </w:pPr>
            <w:r w:rsidRPr="00A92A45">
              <w:rPr>
                <w:rFonts w:eastAsia="Times New Roman"/>
                <w:lang w:eastAsia="lv-LV"/>
              </w:rPr>
              <w:t>-</w:t>
            </w:r>
          </w:p>
        </w:tc>
      </w:tr>
      <w:tr w:rsidR="00AA694F" w:rsidRPr="00A92A45" w:rsidTr="00BD64AD">
        <w:trPr>
          <w:trHeight w:val="434"/>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AA694F" w:rsidRPr="00A92A45" w:rsidRDefault="00AA694F" w:rsidP="00375028">
            <w:pPr>
              <w:spacing w:before="75" w:after="75" w:line="240" w:lineRule="auto"/>
              <w:rPr>
                <w:rFonts w:eastAsia="Times New Roman"/>
                <w:lang w:eastAsia="lv-LV"/>
              </w:rPr>
            </w:pPr>
            <w:r w:rsidRPr="00A92A45">
              <w:lastRenderedPageBreak/>
              <w:t>V pielikuma 7.daļa</w:t>
            </w:r>
          </w:p>
        </w:tc>
        <w:tc>
          <w:tcPr>
            <w:tcW w:w="1090" w:type="pct"/>
            <w:gridSpan w:val="2"/>
            <w:tcBorders>
              <w:top w:val="outset" w:sz="6" w:space="0" w:color="auto"/>
              <w:left w:val="outset" w:sz="6" w:space="0" w:color="auto"/>
              <w:bottom w:val="outset" w:sz="6" w:space="0" w:color="auto"/>
              <w:right w:val="outset" w:sz="6" w:space="0" w:color="auto"/>
            </w:tcBorders>
            <w:hideMark/>
          </w:tcPr>
          <w:p w:rsidR="00AA694F" w:rsidRPr="00A92A45" w:rsidRDefault="00B9441A" w:rsidP="00B9441A">
            <w:pPr>
              <w:spacing w:before="75" w:after="75" w:line="240" w:lineRule="auto"/>
              <w:rPr>
                <w:rFonts w:eastAsia="Times New Roman"/>
                <w:lang w:eastAsia="lv-LV"/>
              </w:rPr>
            </w:pPr>
            <w:r w:rsidRPr="00A92A45">
              <w:rPr>
                <w:rFonts w:eastAsia="Times New Roman"/>
                <w:lang w:eastAsia="lv-LV"/>
              </w:rPr>
              <w:t>1</w:t>
            </w:r>
            <w:r>
              <w:rPr>
                <w:rFonts w:eastAsia="Times New Roman"/>
                <w:lang w:eastAsia="lv-LV"/>
              </w:rPr>
              <w:t>9</w:t>
            </w:r>
            <w:r w:rsidR="003A275F" w:rsidRPr="00A92A45">
              <w:rPr>
                <w:rFonts w:eastAsia="Times New Roman"/>
                <w:lang w:eastAsia="lv-LV"/>
              </w:rPr>
              <w:t>.punkts</w:t>
            </w:r>
          </w:p>
        </w:tc>
        <w:tc>
          <w:tcPr>
            <w:tcW w:w="1169" w:type="pct"/>
            <w:gridSpan w:val="3"/>
            <w:tcBorders>
              <w:top w:val="outset" w:sz="6" w:space="0" w:color="auto"/>
              <w:left w:val="outset" w:sz="6" w:space="0" w:color="auto"/>
              <w:bottom w:val="outset" w:sz="6" w:space="0" w:color="auto"/>
              <w:right w:val="outset" w:sz="6" w:space="0" w:color="auto"/>
            </w:tcBorders>
            <w:hideMark/>
          </w:tcPr>
          <w:p w:rsidR="00AA694F" w:rsidRPr="00A92A45" w:rsidRDefault="00AA694F" w:rsidP="00E63F53">
            <w:r w:rsidRPr="00A92A45">
              <w:rPr>
                <w:rFonts w:eastAsia="Times New Roman"/>
                <w:lang w:eastAsia="lv-LV"/>
              </w:rPr>
              <w:t>pārņemts pilnībā</w:t>
            </w:r>
          </w:p>
        </w:tc>
        <w:tc>
          <w:tcPr>
            <w:tcW w:w="1642" w:type="pct"/>
            <w:gridSpan w:val="3"/>
            <w:tcBorders>
              <w:top w:val="outset" w:sz="6" w:space="0" w:color="auto"/>
              <w:left w:val="outset" w:sz="6" w:space="0" w:color="auto"/>
              <w:bottom w:val="outset" w:sz="6" w:space="0" w:color="auto"/>
              <w:right w:val="outset" w:sz="6" w:space="0" w:color="auto"/>
            </w:tcBorders>
            <w:hideMark/>
          </w:tcPr>
          <w:p w:rsidR="00AA694F" w:rsidRPr="00A92A45" w:rsidRDefault="00AA694F" w:rsidP="00025D46">
            <w:pPr>
              <w:spacing w:after="0" w:line="240" w:lineRule="auto"/>
            </w:pPr>
            <w:r w:rsidRPr="00A92A45">
              <w:rPr>
                <w:rFonts w:eastAsia="Times New Roman"/>
                <w:lang w:eastAsia="lv-LV"/>
              </w:rPr>
              <w:t>neparedz stingrākas prasības</w:t>
            </w:r>
          </w:p>
        </w:tc>
      </w:tr>
      <w:tr w:rsidR="008A135F" w:rsidRPr="00A92A45" w:rsidTr="00BD64AD">
        <w:trPr>
          <w:trHeight w:val="434"/>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8A135F" w:rsidRPr="00A92A45" w:rsidRDefault="00400C72" w:rsidP="0058686D">
            <w:pPr>
              <w:spacing w:before="75" w:after="75" w:line="240" w:lineRule="auto"/>
            </w:pPr>
            <w:r w:rsidRPr="00A92A45">
              <w:t>8</w:t>
            </w:r>
            <w:r w:rsidR="0058686D" w:rsidRPr="00A92A45">
              <w:t>1</w:t>
            </w:r>
            <w:r w:rsidRPr="00A92A45">
              <w:t xml:space="preserve">.panta </w:t>
            </w:r>
            <w:r w:rsidR="0058686D" w:rsidRPr="00A92A45">
              <w:t>2</w:t>
            </w:r>
            <w:r w:rsidRPr="00A92A45">
              <w:t>.punkts</w:t>
            </w:r>
            <w:r w:rsidR="0058686D" w:rsidRPr="00A92A45">
              <w:t xml:space="preserve"> un 82.panta 3.punkts</w:t>
            </w:r>
          </w:p>
        </w:tc>
        <w:tc>
          <w:tcPr>
            <w:tcW w:w="1090" w:type="pct"/>
            <w:gridSpan w:val="2"/>
            <w:tcBorders>
              <w:top w:val="outset" w:sz="6" w:space="0" w:color="auto"/>
              <w:left w:val="outset" w:sz="6" w:space="0" w:color="auto"/>
              <w:bottom w:val="outset" w:sz="6" w:space="0" w:color="auto"/>
              <w:right w:val="outset" w:sz="6" w:space="0" w:color="auto"/>
            </w:tcBorders>
            <w:hideMark/>
          </w:tcPr>
          <w:p w:rsidR="008A135F" w:rsidRPr="00A92A45" w:rsidRDefault="0058686D" w:rsidP="00B9441A">
            <w:pPr>
              <w:spacing w:before="75" w:after="75" w:line="240" w:lineRule="auto"/>
              <w:rPr>
                <w:rFonts w:eastAsia="Times New Roman"/>
                <w:lang w:eastAsia="lv-LV"/>
              </w:rPr>
            </w:pPr>
            <w:r w:rsidRPr="00A92A45">
              <w:rPr>
                <w:rFonts w:eastAsia="Times New Roman"/>
                <w:lang w:eastAsia="lv-LV"/>
              </w:rPr>
              <w:t xml:space="preserve">6.1.apakšpunkts, </w:t>
            </w:r>
            <w:r w:rsidR="00B9441A">
              <w:rPr>
                <w:rFonts w:eastAsia="Times New Roman"/>
                <w:lang w:eastAsia="lv-LV"/>
              </w:rPr>
              <w:t>24</w:t>
            </w:r>
            <w:r w:rsidRPr="00A92A45">
              <w:rPr>
                <w:rFonts w:eastAsia="Times New Roman"/>
                <w:lang w:eastAsia="lv-LV"/>
              </w:rPr>
              <w:t>.punkts, 1. un 5.pielikums.</w:t>
            </w:r>
          </w:p>
        </w:tc>
        <w:tc>
          <w:tcPr>
            <w:tcW w:w="1169" w:type="pct"/>
            <w:gridSpan w:val="3"/>
            <w:tcBorders>
              <w:top w:val="outset" w:sz="6" w:space="0" w:color="auto"/>
              <w:left w:val="outset" w:sz="6" w:space="0" w:color="auto"/>
              <w:bottom w:val="outset" w:sz="6" w:space="0" w:color="auto"/>
              <w:right w:val="outset" w:sz="6" w:space="0" w:color="auto"/>
            </w:tcBorders>
            <w:hideMark/>
          </w:tcPr>
          <w:p w:rsidR="008A135F" w:rsidRPr="00A92A45" w:rsidRDefault="000A629A" w:rsidP="00E63F53">
            <w:pPr>
              <w:rPr>
                <w:rFonts w:eastAsia="Times New Roman"/>
                <w:lang w:eastAsia="lv-LV"/>
              </w:rPr>
            </w:pPr>
            <w:r w:rsidRPr="00A92A45">
              <w:rPr>
                <w:rFonts w:eastAsia="Times New Roman"/>
                <w:lang w:eastAsia="lv-LV"/>
              </w:rPr>
              <w:t>pārņemts pilnībā</w:t>
            </w:r>
          </w:p>
        </w:tc>
        <w:tc>
          <w:tcPr>
            <w:tcW w:w="1642" w:type="pct"/>
            <w:gridSpan w:val="3"/>
            <w:tcBorders>
              <w:top w:val="outset" w:sz="6" w:space="0" w:color="auto"/>
              <w:left w:val="outset" w:sz="6" w:space="0" w:color="auto"/>
              <w:bottom w:val="outset" w:sz="6" w:space="0" w:color="auto"/>
              <w:right w:val="outset" w:sz="6" w:space="0" w:color="auto"/>
            </w:tcBorders>
            <w:hideMark/>
          </w:tcPr>
          <w:p w:rsidR="008A135F" w:rsidRPr="00A92A45" w:rsidRDefault="0058686D" w:rsidP="00025D46">
            <w:pPr>
              <w:spacing w:after="0" w:line="240" w:lineRule="auto"/>
              <w:rPr>
                <w:rFonts w:eastAsia="Times New Roman"/>
                <w:lang w:eastAsia="lv-LV"/>
              </w:rPr>
            </w:pPr>
            <w:r w:rsidRPr="00A92A45">
              <w:rPr>
                <w:rFonts w:eastAsia="Times New Roman"/>
                <w:lang w:eastAsia="lv-LV"/>
              </w:rPr>
              <w:t>neparedz stingrākas prasības</w:t>
            </w:r>
          </w:p>
        </w:tc>
      </w:tr>
      <w:tr w:rsidR="00F46BB2" w:rsidRPr="00A92A45" w:rsidTr="00F46BB2">
        <w:trPr>
          <w:trHeight w:val="434"/>
          <w:tblCellSpacing w:w="0" w:type="dxa"/>
        </w:trPr>
        <w:tc>
          <w:tcPr>
            <w:tcW w:w="5000" w:type="pct"/>
            <w:gridSpan w:val="9"/>
            <w:tcBorders>
              <w:top w:val="outset" w:sz="6" w:space="0" w:color="auto"/>
              <w:left w:val="outset" w:sz="6" w:space="0" w:color="auto"/>
              <w:bottom w:val="outset" w:sz="6" w:space="0" w:color="auto"/>
              <w:right w:val="outset" w:sz="6" w:space="0" w:color="auto"/>
            </w:tcBorders>
            <w:hideMark/>
          </w:tcPr>
          <w:p w:rsidR="00F46BB2" w:rsidRPr="00F46BB2" w:rsidRDefault="00F46BB2" w:rsidP="00F46BB2">
            <w:pPr>
              <w:spacing w:after="0" w:line="240" w:lineRule="auto"/>
              <w:rPr>
                <w:rStyle w:val="Strong"/>
              </w:rPr>
            </w:pPr>
            <w:r w:rsidRPr="00F46BB2">
              <w:rPr>
                <w:b/>
              </w:rPr>
              <w:t>Direktīva 2009/31/EK</w:t>
            </w:r>
          </w:p>
        </w:tc>
      </w:tr>
      <w:tr w:rsidR="00F46BB2" w:rsidRPr="00A92A45" w:rsidTr="00ED3C09">
        <w:trPr>
          <w:trHeight w:val="434"/>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F46BB2" w:rsidRPr="00F131A4" w:rsidRDefault="00F46BB2" w:rsidP="00ED3C09">
            <w:pPr>
              <w:spacing w:before="75" w:after="75" w:line="240" w:lineRule="auto"/>
              <w:jc w:val="both"/>
            </w:pPr>
            <w:r w:rsidRPr="00F131A4">
              <w:rPr>
                <w:bCs/>
                <w:iCs/>
              </w:rPr>
              <w:t xml:space="preserve">Direktīvas </w:t>
            </w:r>
            <w:r w:rsidRPr="00F131A4">
              <w:t>2009/31/EK</w:t>
            </w:r>
            <w:r w:rsidRPr="00F131A4">
              <w:rPr>
                <w:bCs/>
                <w:iCs/>
              </w:rPr>
              <w:t xml:space="preserve"> 33.pant</w:t>
            </w:r>
            <w:r w:rsidR="009405E0" w:rsidRPr="00F131A4">
              <w:rPr>
                <w:bCs/>
                <w:iCs/>
              </w:rPr>
              <w:t>s</w:t>
            </w:r>
          </w:p>
        </w:tc>
        <w:tc>
          <w:tcPr>
            <w:tcW w:w="1167" w:type="pct"/>
            <w:gridSpan w:val="3"/>
            <w:tcBorders>
              <w:top w:val="outset" w:sz="6" w:space="0" w:color="auto"/>
              <w:left w:val="outset" w:sz="6" w:space="0" w:color="auto"/>
              <w:bottom w:val="outset" w:sz="6" w:space="0" w:color="auto"/>
              <w:right w:val="outset" w:sz="6" w:space="0" w:color="auto"/>
            </w:tcBorders>
            <w:hideMark/>
          </w:tcPr>
          <w:p w:rsidR="00F46BB2" w:rsidRPr="00F131A4" w:rsidRDefault="004B1470" w:rsidP="004B1470">
            <w:pPr>
              <w:spacing w:before="75" w:after="75" w:line="240" w:lineRule="auto"/>
              <w:rPr>
                <w:rFonts w:eastAsia="Times New Roman"/>
                <w:lang w:eastAsia="lv-LV"/>
              </w:rPr>
            </w:pPr>
            <w:r w:rsidRPr="00F131A4">
              <w:rPr>
                <w:rFonts w:eastAsia="Times New Roman"/>
                <w:lang w:eastAsia="lv-LV"/>
              </w:rPr>
              <w:t>36</w:t>
            </w:r>
            <w:r w:rsidR="00F46BB2" w:rsidRPr="00F131A4">
              <w:rPr>
                <w:rFonts w:eastAsia="Times New Roman"/>
                <w:lang w:eastAsia="lv-LV"/>
              </w:rPr>
              <w:t>.-</w:t>
            </w:r>
            <w:r w:rsidRPr="00F131A4">
              <w:rPr>
                <w:rFonts w:eastAsia="Times New Roman"/>
                <w:lang w:eastAsia="lv-LV"/>
              </w:rPr>
              <w:t>38</w:t>
            </w:r>
            <w:r w:rsidR="00F46BB2" w:rsidRPr="00F131A4">
              <w:rPr>
                <w:rFonts w:eastAsia="Times New Roman"/>
                <w:lang w:eastAsia="lv-LV"/>
              </w:rPr>
              <w:t>.punkts</w:t>
            </w:r>
          </w:p>
        </w:tc>
        <w:tc>
          <w:tcPr>
            <w:tcW w:w="1325" w:type="pct"/>
            <w:gridSpan w:val="4"/>
            <w:tcBorders>
              <w:top w:val="outset" w:sz="6" w:space="0" w:color="auto"/>
              <w:left w:val="outset" w:sz="6" w:space="0" w:color="auto"/>
              <w:bottom w:val="outset" w:sz="6" w:space="0" w:color="auto"/>
              <w:right w:val="outset" w:sz="6" w:space="0" w:color="auto"/>
            </w:tcBorders>
            <w:hideMark/>
          </w:tcPr>
          <w:p w:rsidR="009405E0" w:rsidRPr="00F131A4" w:rsidRDefault="009405E0" w:rsidP="009405E0">
            <w:pPr>
              <w:spacing w:line="240" w:lineRule="auto"/>
              <w:ind w:left="57"/>
            </w:pPr>
            <w:r w:rsidRPr="00F131A4">
              <w:t xml:space="preserve">pārņemts daļēji </w:t>
            </w:r>
          </w:p>
          <w:p w:rsidR="00F46BB2" w:rsidRPr="00F131A4" w:rsidRDefault="009405E0" w:rsidP="0029149B">
            <w:pPr>
              <w:spacing w:after="100" w:afterAutospacing="1" w:line="240" w:lineRule="auto"/>
              <w:jc w:val="both"/>
              <w:rPr>
                <w:rFonts w:ascii="Verdana" w:hAnsi="Verdana"/>
                <w:bCs/>
                <w:sz w:val="21"/>
                <w:szCs w:val="21"/>
              </w:rPr>
            </w:pPr>
            <w:r w:rsidRPr="00F131A4">
              <w:t>Prasības attiecībā uz oglekļa dioksīda ģeoloģisk</w:t>
            </w:r>
            <w:r w:rsidR="0029149B" w:rsidRPr="00F131A4">
              <w:t>ās</w:t>
            </w:r>
            <w:r w:rsidRPr="00F131A4">
              <w:t xml:space="preserve"> uzglabāšanas iespējamības novērtējuma kritērijiem un kompetentās iestādes sniegto atzinumu par to noteiktas ar grozījumiem Ministru kabineta 2011.gada 25.janvāra noteikumos nr.83 „Kārtība, kādā novērtējama paredzētās darbības ietekme uz vidi” (</w:t>
            </w:r>
            <w:r w:rsidR="0029149B" w:rsidRPr="00F131A4">
              <w:rPr>
                <w:bCs/>
              </w:rPr>
              <w:t>MK noteikumi Nr.962 „Grozījumi Ministru kabineta 2011.gada 25.janvāra noteikumos Nr.83 „Kārtība, kādā novērtējama paredzētās darbības ietekme uz vidi</w:t>
            </w:r>
            <w:r w:rsidR="00ED3C09" w:rsidRPr="00F131A4">
              <w:rPr>
                <w:bCs/>
              </w:rPr>
              <w:t>”</w:t>
            </w:r>
            <w:r w:rsidRPr="00F131A4">
              <w:t>)</w:t>
            </w:r>
          </w:p>
        </w:tc>
        <w:tc>
          <w:tcPr>
            <w:tcW w:w="1409" w:type="pct"/>
            <w:tcBorders>
              <w:top w:val="outset" w:sz="6" w:space="0" w:color="auto"/>
              <w:left w:val="outset" w:sz="6" w:space="0" w:color="auto"/>
              <w:bottom w:val="outset" w:sz="6" w:space="0" w:color="auto"/>
              <w:right w:val="outset" w:sz="6" w:space="0" w:color="auto"/>
            </w:tcBorders>
            <w:hideMark/>
          </w:tcPr>
          <w:p w:rsidR="00F46BB2" w:rsidRPr="00F131A4" w:rsidRDefault="009405E0" w:rsidP="00025D46">
            <w:pPr>
              <w:spacing w:after="0" w:line="240" w:lineRule="auto"/>
              <w:rPr>
                <w:rFonts w:eastAsia="Times New Roman"/>
                <w:lang w:eastAsia="lv-LV"/>
              </w:rPr>
            </w:pPr>
            <w:r w:rsidRPr="00F131A4">
              <w:rPr>
                <w:rFonts w:eastAsia="Times New Roman"/>
                <w:lang w:eastAsia="lv-LV"/>
              </w:rPr>
              <w:t>neparedz stingrākas prasības</w:t>
            </w:r>
          </w:p>
        </w:tc>
      </w:tr>
      <w:tr w:rsidR="00795D9D" w:rsidRPr="00A92A45" w:rsidTr="00795D9D">
        <w:trPr>
          <w:trHeight w:val="434"/>
          <w:tblCellSpacing w:w="0" w:type="dxa"/>
        </w:trPr>
        <w:tc>
          <w:tcPr>
            <w:tcW w:w="5000" w:type="pct"/>
            <w:gridSpan w:val="9"/>
            <w:tcBorders>
              <w:top w:val="outset" w:sz="6" w:space="0" w:color="auto"/>
              <w:left w:val="outset" w:sz="6" w:space="0" w:color="auto"/>
              <w:bottom w:val="outset" w:sz="6" w:space="0" w:color="auto"/>
              <w:right w:val="outset" w:sz="6" w:space="0" w:color="auto"/>
            </w:tcBorders>
            <w:hideMark/>
          </w:tcPr>
          <w:p w:rsidR="00795D9D" w:rsidRPr="00A92A45" w:rsidRDefault="00795D9D" w:rsidP="00025D46">
            <w:pPr>
              <w:spacing w:after="0" w:line="240" w:lineRule="auto"/>
              <w:rPr>
                <w:rFonts w:eastAsia="Times New Roman"/>
                <w:lang w:eastAsia="lv-LV"/>
              </w:rPr>
            </w:pPr>
            <w:r w:rsidRPr="00BD5065">
              <w:rPr>
                <w:rStyle w:val="Strong"/>
              </w:rPr>
              <w:t>Eiropas Komisijas īstenošanas lēmums Nr.2012/249/ES</w:t>
            </w:r>
          </w:p>
        </w:tc>
      </w:tr>
      <w:tr w:rsidR="00795D9D" w:rsidRPr="00A92A45" w:rsidTr="00EE7970">
        <w:trPr>
          <w:trHeight w:val="434"/>
          <w:tblCellSpacing w:w="0" w:type="dxa"/>
        </w:trPr>
        <w:tc>
          <w:tcPr>
            <w:tcW w:w="1099" w:type="pct"/>
            <w:tcBorders>
              <w:top w:val="outset" w:sz="6" w:space="0" w:color="auto"/>
              <w:left w:val="outset" w:sz="6" w:space="0" w:color="auto"/>
              <w:bottom w:val="outset" w:sz="6" w:space="0" w:color="auto"/>
              <w:right w:val="outset" w:sz="6" w:space="0" w:color="auto"/>
            </w:tcBorders>
            <w:vAlign w:val="center"/>
            <w:hideMark/>
          </w:tcPr>
          <w:p w:rsidR="00795D9D" w:rsidRPr="00A92A45" w:rsidRDefault="00795D9D" w:rsidP="006756F9">
            <w:pPr>
              <w:spacing w:before="75" w:after="75" w:line="240" w:lineRule="auto"/>
              <w:rPr>
                <w:rFonts w:eastAsia="Times New Roman"/>
                <w:lang w:eastAsia="lv-LV"/>
              </w:rPr>
            </w:pPr>
            <w:r>
              <w:rPr>
                <w:rFonts w:eastAsia="Times New Roman"/>
                <w:lang w:eastAsia="lv-LV"/>
              </w:rPr>
              <w:t>2.pants</w:t>
            </w:r>
          </w:p>
        </w:tc>
        <w:tc>
          <w:tcPr>
            <w:tcW w:w="1167" w:type="pct"/>
            <w:gridSpan w:val="3"/>
            <w:tcBorders>
              <w:top w:val="outset" w:sz="6" w:space="0" w:color="auto"/>
              <w:left w:val="outset" w:sz="6" w:space="0" w:color="auto"/>
              <w:bottom w:val="outset" w:sz="6" w:space="0" w:color="auto"/>
              <w:right w:val="outset" w:sz="6" w:space="0" w:color="auto"/>
            </w:tcBorders>
            <w:vAlign w:val="center"/>
            <w:hideMark/>
          </w:tcPr>
          <w:p w:rsidR="00795D9D" w:rsidRPr="004B1470" w:rsidRDefault="00795D9D" w:rsidP="004C74FA">
            <w:pPr>
              <w:spacing w:after="0" w:line="240" w:lineRule="auto"/>
              <w:rPr>
                <w:rFonts w:eastAsia="Times New Roman"/>
                <w:lang w:eastAsia="lv-LV"/>
              </w:rPr>
            </w:pPr>
            <w:r w:rsidRPr="004B1470">
              <w:rPr>
                <w:rFonts w:eastAsia="Times New Roman"/>
                <w:lang w:eastAsia="lv-LV"/>
              </w:rPr>
              <w:t>2.12. un 2.13.apakšpunkts</w:t>
            </w:r>
          </w:p>
        </w:tc>
        <w:tc>
          <w:tcPr>
            <w:tcW w:w="1325" w:type="pct"/>
            <w:gridSpan w:val="4"/>
            <w:tcBorders>
              <w:top w:val="outset" w:sz="6" w:space="0" w:color="auto"/>
              <w:left w:val="outset" w:sz="6" w:space="0" w:color="auto"/>
              <w:bottom w:val="outset" w:sz="6" w:space="0" w:color="auto"/>
              <w:right w:val="outset" w:sz="6" w:space="0" w:color="auto"/>
            </w:tcBorders>
            <w:hideMark/>
          </w:tcPr>
          <w:p w:rsidR="00795D9D" w:rsidRPr="00A92A45" w:rsidRDefault="00795D9D" w:rsidP="00795D9D">
            <w:pPr>
              <w:spacing w:after="0" w:line="240" w:lineRule="auto"/>
              <w:rPr>
                <w:rFonts w:eastAsia="Times New Roman"/>
                <w:lang w:eastAsia="lv-LV"/>
              </w:rPr>
            </w:pPr>
            <w:r>
              <w:rPr>
                <w:rFonts w:eastAsia="Times New Roman"/>
                <w:lang w:eastAsia="lv-LV"/>
              </w:rPr>
              <w:t>ievieš īstenošanas procedūras</w:t>
            </w:r>
          </w:p>
        </w:tc>
        <w:tc>
          <w:tcPr>
            <w:tcW w:w="1409" w:type="pct"/>
            <w:tcBorders>
              <w:top w:val="outset" w:sz="6" w:space="0" w:color="auto"/>
              <w:left w:val="outset" w:sz="6" w:space="0" w:color="auto"/>
              <w:bottom w:val="outset" w:sz="6" w:space="0" w:color="auto"/>
              <w:right w:val="outset" w:sz="6" w:space="0" w:color="auto"/>
            </w:tcBorders>
            <w:hideMark/>
          </w:tcPr>
          <w:p w:rsidR="00795D9D" w:rsidRPr="00A92A45" w:rsidRDefault="00795D9D" w:rsidP="00025D46">
            <w:pPr>
              <w:spacing w:after="0" w:line="240" w:lineRule="auto"/>
              <w:rPr>
                <w:rFonts w:eastAsia="Times New Roman"/>
                <w:lang w:eastAsia="lv-LV"/>
              </w:rPr>
            </w:pPr>
          </w:p>
        </w:tc>
      </w:tr>
      <w:tr w:rsidR="00795D9D" w:rsidRPr="00A92A45" w:rsidTr="00EE7970">
        <w:trPr>
          <w:trHeight w:val="434"/>
          <w:tblCellSpacing w:w="0" w:type="dxa"/>
        </w:trPr>
        <w:tc>
          <w:tcPr>
            <w:tcW w:w="1099" w:type="pct"/>
            <w:tcBorders>
              <w:top w:val="outset" w:sz="6" w:space="0" w:color="auto"/>
              <w:left w:val="outset" w:sz="6" w:space="0" w:color="auto"/>
              <w:bottom w:val="outset" w:sz="6" w:space="0" w:color="auto"/>
              <w:right w:val="outset" w:sz="6" w:space="0" w:color="auto"/>
            </w:tcBorders>
            <w:vAlign w:val="center"/>
            <w:hideMark/>
          </w:tcPr>
          <w:p w:rsidR="00795D9D" w:rsidRPr="00A92A45" w:rsidRDefault="00795D9D" w:rsidP="006756F9">
            <w:pPr>
              <w:spacing w:before="75" w:after="75" w:line="240" w:lineRule="auto"/>
              <w:rPr>
                <w:rFonts w:eastAsia="Times New Roman"/>
                <w:lang w:eastAsia="lv-LV"/>
              </w:rPr>
            </w:pPr>
            <w:r>
              <w:rPr>
                <w:rFonts w:eastAsia="Times New Roman"/>
                <w:lang w:eastAsia="lv-LV"/>
              </w:rPr>
              <w:t>3.pants</w:t>
            </w:r>
          </w:p>
        </w:tc>
        <w:tc>
          <w:tcPr>
            <w:tcW w:w="1167" w:type="pct"/>
            <w:gridSpan w:val="3"/>
            <w:tcBorders>
              <w:top w:val="outset" w:sz="6" w:space="0" w:color="auto"/>
              <w:left w:val="outset" w:sz="6" w:space="0" w:color="auto"/>
              <w:bottom w:val="outset" w:sz="6" w:space="0" w:color="auto"/>
              <w:right w:val="outset" w:sz="6" w:space="0" w:color="auto"/>
            </w:tcBorders>
            <w:vAlign w:val="center"/>
            <w:hideMark/>
          </w:tcPr>
          <w:p w:rsidR="00795D9D" w:rsidRPr="004B1470" w:rsidRDefault="004C74FA" w:rsidP="004C74FA">
            <w:pPr>
              <w:spacing w:after="0" w:line="240" w:lineRule="auto"/>
              <w:rPr>
                <w:rFonts w:eastAsia="Times New Roman"/>
                <w:lang w:eastAsia="lv-LV"/>
              </w:rPr>
            </w:pPr>
            <w:r w:rsidRPr="004B1470">
              <w:rPr>
                <w:rFonts w:eastAsia="Times New Roman"/>
                <w:lang w:eastAsia="lv-LV"/>
              </w:rPr>
              <w:t>5.nodaļa</w:t>
            </w:r>
          </w:p>
        </w:tc>
        <w:tc>
          <w:tcPr>
            <w:tcW w:w="1325" w:type="pct"/>
            <w:gridSpan w:val="4"/>
            <w:tcBorders>
              <w:top w:val="outset" w:sz="6" w:space="0" w:color="auto"/>
              <w:left w:val="outset" w:sz="6" w:space="0" w:color="auto"/>
              <w:bottom w:val="outset" w:sz="6" w:space="0" w:color="auto"/>
              <w:right w:val="outset" w:sz="6" w:space="0" w:color="auto"/>
            </w:tcBorders>
            <w:hideMark/>
          </w:tcPr>
          <w:p w:rsidR="00795D9D" w:rsidRDefault="00795D9D" w:rsidP="00795D9D">
            <w:pPr>
              <w:spacing w:after="0" w:line="240" w:lineRule="auto"/>
            </w:pPr>
            <w:r w:rsidRPr="00236EF5">
              <w:rPr>
                <w:rFonts w:eastAsia="Times New Roman"/>
                <w:lang w:eastAsia="lv-LV"/>
              </w:rPr>
              <w:t>ievieš īstenošanas procedūras</w:t>
            </w:r>
          </w:p>
        </w:tc>
        <w:tc>
          <w:tcPr>
            <w:tcW w:w="1409" w:type="pct"/>
            <w:tcBorders>
              <w:top w:val="outset" w:sz="6" w:space="0" w:color="auto"/>
              <w:left w:val="outset" w:sz="6" w:space="0" w:color="auto"/>
              <w:bottom w:val="outset" w:sz="6" w:space="0" w:color="auto"/>
              <w:right w:val="outset" w:sz="6" w:space="0" w:color="auto"/>
            </w:tcBorders>
            <w:hideMark/>
          </w:tcPr>
          <w:p w:rsidR="00795D9D" w:rsidRPr="00A92A45" w:rsidRDefault="00795D9D" w:rsidP="00025D46">
            <w:pPr>
              <w:spacing w:after="0" w:line="240" w:lineRule="auto"/>
              <w:rPr>
                <w:rFonts w:eastAsia="Times New Roman"/>
                <w:lang w:eastAsia="lv-LV"/>
              </w:rPr>
            </w:pPr>
          </w:p>
        </w:tc>
      </w:tr>
      <w:tr w:rsidR="00795D9D" w:rsidRPr="00A92A45" w:rsidTr="00EE7970">
        <w:trPr>
          <w:trHeight w:val="434"/>
          <w:tblCellSpacing w:w="0" w:type="dxa"/>
        </w:trPr>
        <w:tc>
          <w:tcPr>
            <w:tcW w:w="1099" w:type="pct"/>
            <w:tcBorders>
              <w:top w:val="outset" w:sz="6" w:space="0" w:color="auto"/>
              <w:left w:val="outset" w:sz="6" w:space="0" w:color="auto"/>
              <w:bottom w:val="outset" w:sz="6" w:space="0" w:color="auto"/>
              <w:right w:val="outset" w:sz="6" w:space="0" w:color="auto"/>
            </w:tcBorders>
            <w:vAlign w:val="center"/>
            <w:hideMark/>
          </w:tcPr>
          <w:p w:rsidR="00795D9D" w:rsidRPr="00A92A45" w:rsidRDefault="00795D9D" w:rsidP="006756F9">
            <w:pPr>
              <w:spacing w:before="75" w:after="75" w:line="240" w:lineRule="auto"/>
              <w:rPr>
                <w:rFonts w:eastAsia="Times New Roman"/>
                <w:lang w:eastAsia="lv-LV"/>
              </w:rPr>
            </w:pPr>
            <w:r>
              <w:rPr>
                <w:rFonts w:eastAsia="Times New Roman"/>
                <w:lang w:eastAsia="lv-LV"/>
              </w:rPr>
              <w:t>4.pants</w:t>
            </w:r>
          </w:p>
        </w:tc>
        <w:tc>
          <w:tcPr>
            <w:tcW w:w="1167" w:type="pct"/>
            <w:gridSpan w:val="3"/>
            <w:tcBorders>
              <w:top w:val="outset" w:sz="6" w:space="0" w:color="auto"/>
              <w:left w:val="outset" w:sz="6" w:space="0" w:color="auto"/>
              <w:bottom w:val="outset" w:sz="6" w:space="0" w:color="auto"/>
              <w:right w:val="outset" w:sz="6" w:space="0" w:color="auto"/>
            </w:tcBorders>
            <w:vAlign w:val="center"/>
            <w:hideMark/>
          </w:tcPr>
          <w:p w:rsidR="00795D9D" w:rsidRPr="004B1470" w:rsidRDefault="004B1470" w:rsidP="004B1470">
            <w:pPr>
              <w:spacing w:after="0" w:line="240" w:lineRule="auto"/>
              <w:rPr>
                <w:rFonts w:eastAsia="Times New Roman"/>
                <w:lang w:eastAsia="lv-LV"/>
              </w:rPr>
            </w:pPr>
            <w:r w:rsidRPr="004B1470">
              <w:rPr>
                <w:rFonts w:eastAsia="Times New Roman"/>
                <w:lang w:eastAsia="lv-LV"/>
              </w:rPr>
              <w:t>30</w:t>
            </w:r>
            <w:r w:rsidR="00795D9D" w:rsidRPr="004B1470">
              <w:rPr>
                <w:rFonts w:eastAsia="Times New Roman"/>
                <w:lang w:eastAsia="lv-LV"/>
              </w:rPr>
              <w:t xml:space="preserve">., </w:t>
            </w:r>
            <w:r w:rsidRPr="004B1470">
              <w:rPr>
                <w:rFonts w:eastAsia="Times New Roman"/>
                <w:lang w:eastAsia="lv-LV"/>
              </w:rPr>
              <w:t>34</w:t>
            </w:r>
            <w:r w:rsidR="00795D9D" w:rsidRPr="004B1470">
              <w:rPr>
                <w:rFonts w:eastAsia="Times New Roman"/>
                <w:lang w:eastAsia="lv-LV"/>
              </w:rPr>
              <w:t xml:space="preserve">., </w:t>
            </w:r>
            <w:r w:rsidRPr="004B1470">
              <w:rPr>
                <w:rFonts w:eastAsia="Times New Roman"/>
                <w:lang w:eastAsia="lv-LV"/>
              </w:rPr>
              <w:t>35</w:t>
            </w:r>
            <w:r w:rsidR="00795D9D" w:rsidRPr="004B1470">
              <w:rPr>
                <w:rFonts w:eastAsia="Times New Roman"/>
                <w:lang w:eastAsia="lv-LV"/>
              </w:rPr>
              <w:t xml:space="preserve">.punkts un </w:t>
            </w:r>
            <w:r w:rsidR="004C74FA" w:rsidRPr="004B1470">
              <w:rPr>
                <w:rFonts w:eastAsia="Times New Roman"/>
                <w:lang w:eastAsia="lv-LV"/>
              </w:rPr>
              <w:t>5.nodaļa</w:t>
            </w:r>
          </w:p>
        </w:tc>
        <w:tc>
          <w:tcPr>
            <w:tcW w:w="1325" w:type="pct"/>
            <w:gridSpan w:val="4"/>
            <w:tcBorders>
              <w:top w:val="outset" w:sz="6" w:space="0" w:color="auto"/>
              <w:left w:val="outset" w:sz="6" w:space="0" w:color="auto"/>
              <w:bottom w:val="outset" w:sz="6" w:space="0" w:color="auto"/>
              <w:right w:val="outset" w:sz="6" w:space="0" w:color="auto"/>
            </w:tcBorders>
            <w:hideMark/>
          </w:tcPr>
          <w:p w:rsidR="00795D9D" w:rsidRDefault="00795D9D" w:rsidP="00795D9D">
            <w:pPr>
              <w:spacing w:after="0" w:line="240" w:lineRule="auto"/>
            </w:pPr>
            <w:r w:rsidRPr="00236EF5">
              <w:rPr>
                <w:rFonts w:eastAsia="Times New Roman"/>
                <w:lang w:eastAsia="lv-LV"/>
              </w:rPr>
              <w:t>ievieš īstenošanas procedūras</w:t>
            </w:r>
          </w:p>
        </w:tc>
        <w:tc>
          <w:tcPr>
            <w:tcW w:w="1409" w:type="pct"/>
            <w:tcBorders>
              <w:top w:val="outset" w:sz="6" w:space="0" w:color="auto"/>
              <w:left w:val="outset" w:sz="6" w:space="0" w:color="auto"/>
              <w:bottom w:val="outset" w:sz="6" w:space="0" w:color="auto"/>
              <w:right w:val="outset" w:sz="6" w:space="0" w:color="auto"/>
            </w:tcBorders>
            <w:hideMark/>
          </w:tcPr>
          <w:p w:rsidR="00795D9D" w:rsidRPr="00A92A45" w:rsidRDefault="00795D9D" w:rsidP="00025D46">
            <w:pPr>
              <w:spacing w:after="0" w:line="240" w:lineRule="auto"/>
              <w:rPr>
                <w:rFonts w:eastAsia="Times New Roman"/>
                <w:lang w:eastAsia="lv-LV"/>
              </w:rPr>
            </w:pPr>
          </w:p>
        </w:tc>
      </w:tr>
      <w:tr w:rsidR="00795D9D" w:rsidRPr="00A92A45" w:rsidTr="00EE7970">
        <w:trPr>
          <w:trHeight w:val="434"/>
          <w:tblCellSpacing w:w="0" w:type="dxa"/>
        </w:trPr>
        <w:tc>
          <w:tcPr>
            <w:tcW w:w="1099" w:type="pct"/>
            <w:tcBorders>
              <w:top w:val="outset" w:sz="6" w:space="0" w:color="auto"/>
              <w:left w:val="outset" w:sz="6" w:space="0" w:color="auto"/>
              <w:bottom w:val="outset" w:sz="6" w:space="0" w:color="auto"/>
              <w:right w:val="outset" w:sz="6" w:space="0" w:color="auto"/>
            </w:tcBorders>
            <w:vAlign w:val="center"/>
            <w:hideMark/>
          </w:tcPr>
          <w:p w:rsidR="00795D9D" w:rsidRPr="00A92A45" w:rsidRDefault="00795D9D" w:rsidP="006756F9">
            <w:pPr>
              <w:spacing w:before="75" w:after="75" w:line="240" w:lineRule="auto"/>
              <w:rPr>
                <w:rFonts w:eastAsia="Times New Roman"/>
                <w:lang w:eastAsia="lv-LV"/>
              </w:rPr>
            </w:pPr>
            <w:r>
              <w:rPr>
                <w:rFonts w:eastAsia="Times New Roman"/>
                <w:lang w:eastAsia="lv-LV"/>
              </w:rPr>
              <w:t>5. – 9.pants un pielikums</w:t>
            </w:r>
          </w:p>
        </w:tc>
        <w:tc>
          <w:tcPr>
            <w:tcW w:w="1167" w:type="pct"/>
            <w:gridSpan w:val="3"/>
            <w:tcBorders>
              <w:top w:val="outset" w:sz="6" w:space="0" w:color="auto"/>
              <w:left w:val="outset" w:sz="6" w:space="0" w:color="auto"/>
              <w:bottom w:val="outset" w:sz="6" w:space="0" w:color="auto"/>
              <w:right w:val="outset" w:sz="6" w:space="0" w:color="auto"/>
            </w:tcBorders>
            <w:vAlign w:val="center"/>
            <w:hideMark/>
          </w:tcPr>
          <w:p w:rsidR="00795D9D" w:rsidRPr="004B1470" w:rsidRDefault="004C74FA" w:rsidP="004C74FA">
            <w:pPr>
              <w:spacing w:after="0" w:line="240" w:lineRule="auto"/>
              <w:rPr>
                <w:rFonts w:eastAsia="Times New Roman"/>
                <w:lang w:eastAsia="lv-LV"/>
              </w:rPr>
            </w:pPr>
            <w:r w:rsidRPr="004B1470">
              <w:rPr>
                <w:rFonts w:eastAsia="Times New Roman"/>
                <w:lang w:eastAsia="lv-LV"/>
              </w:rPr>
              <w:t>5.nodaļa</w:t>
            </w:r>
          </w:p>
        </w:tc>
        <w:tc>
          <w:tcPr>
            <w:tcW w:w="1325" w:type="pct"/>
            <w:gridSpan w:val="4"/>
            <w:tcBorders>
              <w:top w:val="outset" w:sz="6" w:space="0" w:color="auto"/>
              <w:left w:val="outset" w:sz="6" w:space="0" w:color="auto"/>
              <w:bottom w:val="outset" w:sz="6" w:space="0" w:color="auto"/>
              <w:right w:val="outset" w:sz="6" w:space="0" w:color="auto"/>
            </w:tcBorders>
            <w:hideMark/>
          </w:tcPr>
          <w:p w:rsidR="00795D9D" w:rsidRPr="00F131A4" w:rsidRDefault="00795D9D" w:rsidP="00795D9D">
            <w:pPr>
              <w:spacing w:after="0" w:line="240" w:lineRule="auto"/>
            </w:pPr>
            <w:r w:rsidRPr="00F131A4">
              <w:rPr>
                <w:rFonts w:eastAsia="Times New Roman"/>
                <w:lang w:eastAsia="lv-LV"/>
              </w:rPr>
              <w:t>ievieš īstenošanas procedūras</w:t>
            </w:r>
          </w:p>
        </w:tc>
        <w:tc>
          <w:tcPr>
            <w:tcW w:w="1409" w:type="pct"/>
            <w:tcBorders>
              <w:top w:val="outset" w:sz="6" w:space="0" w:color="auto"/>
              <w:left w:val="outset" w:sz="6" w:space="0" w:color="auto"/>
              <w:bottom w:val="outset" w:sz="6" w:space="0" w:color="auto"/>
              <w:right w:val="outset" w:sz="6" w:space="0" w:color="auto"/>
            </w:tcBorders>
            <w:hideMark/>
          </w:tcPr>
          <w:p w:rsidR="00795D9D" w:rsidRPr="00A92A45" w:rsidRDefault="00795D9D" w:rsidP="00025D46">
            <w:pPr>
              <w:spacing w:after="0" w:line="240" w:lineRule="auto"/>
              <w:rPr>
                <w:rFonts w:eastAsia="Times New Roman"/>
                <w:lang w:eastAsia="lv-LV"/>
              </w:rPr>
            </w:pPr>
          </w:p>
        </w:tc>
      </w:tr>
      <w:tr w:rsidR="00795D9D" w:rsidRPr="00A92A45" w:rsidTr="00B23D97">
        <w:trPr>
          <w:trHeight w:val="281"/>
          <w:tblCellSpacing w:w="0" w:type="dxa"/>
        </w:trPr>
        <w:tc>
          <w:tcPr>
            <w:tcW w:w="1099" w:type="pct"/>
            <w:tcBorders>
              <w:top w:val="outset" w:sz="6" w:space="0" w:color="auto"/>
              <w:left w:val="outset" w:sz="6" w:space="0" w:color="auto"/>
              <w:bottom w:val="outset" w:sz="6" w:space="0" w:color="auto"/>
              <w:right w:val="outset" w:sz="6" w:space="0" w:color="auto"/>
            </w:tcBorders>
            <w:vAlign w:val="center"/>
            <w:hideMark/>
          </w:tcPr>
          <w:p w:rsidR="00795D9D" w:rsidRPr="00A92A45" w:rsidRDefault="00795D9D" w:rsidP="00B30CCA">
            <w:pPr>
              <w:spacing w:before="75" w:after="75" w:line="240" w:lineRule="auto"/>
              <w:rPr>
                <w:rFonts w:eastAsia="Times New Roman"/>
                <w:lang w:eastAsia="lv-LV"/>
              </w:rPr>
            </w:pPr>
            <w:r w:rsidRPr="00A92A45">
              <w:rPr>
                <w:rFonts w:eastAsia="Times New Roman"/>
                <w:lang w:eastAsia="lv-LV"/>
              </w:rPr>
              <w:t xml:space="preserve"> Kā ir izmantota ES tiesību aktā paredzētā rīcības brīvība dalībvalstij pārņemt vai ieviest noteiktas ES tiesību </w:t>
            </w:r>
            <w:r w:rsidRPr="00A92A45">
              <w:rPr>
                <w:rFonts w:eastAsia="Times New Roman"/>
                <w:lang w:eastAsia="lv-LV"/>
              </w:rPr>
              <w:lastRenderedPageBreak/>
              <w:t>akta normas.</w:t>
            </w:r>
          </w:p>
          <w:p w:rsidR="00795D9D" w:rsidRPr="00A92A45" w:rsidRDefault="00795D9D" w:rsidP="00B30CCA">
            <w:pPr>
              <w:spacing w:before="75" w:after="75" w:line="240" w:lineRule="auto"/>
              <w:rPr>
                <w:rFonts w:eastAsia="Times New Roman"/>
                <w:lang w:eastAsia="lv-LV"/>
              </w:rPr>
            </w:pPr>
            <w:r w:rsidRPr="00A92A45">
              <w:rPr>
                <w:rFonts w:eastAsia="Times New Roman"/>
                <w:lang w:eastAsia="lv-LV"/>
              </w:rPr>
              <w:t>Kādēļ?</w:t>
            </w:r>
          </w:p>
        </w:tc>
        <w:tc>
          <w:tcPr>
            <w:tcW w:w="3901" w:type="pct"/>
            <w:gridSpan w:val="8"/>
            <w:tcBorders>
              <w:top w:val="outset" w:sz="6" w:space="0" w:color="auto"/>
              <w:left w:val="outset" w:sz="6" w:space="0" w:color="auto"/>
              <w:bottom w:val="outset" w:sz="6" w:space="0" w:color="auto"/>
              <w:right w:val="outset" w:sz="6" w:space="0" w:color="auto"/>
            </w:tcBorders>
            <w:hideMark/>
          </w:tcPr>
          <w:p w:rsidR="00795D9D" w:rsidRPr="00F131A4" w:rsidRDefault="00795D9D" w:rsidP="005525F5">
            <w:pPr>
              <w:spacing w:after="0" w:line="240" w:lineRule="auto"/>
              <w:ind w:firstLine="409"/>
              <w:jc w:val="both"/>
              <w:rPr>
                <w:rFonts w:eastAsia="Times New Roman"/>
                <w:lang w:eastAsia="lv-LV"/>
              </w:rPr>
            </w:pPr>
            <w:r w:rsidRPr="00F131A4">
              <w:rPr>
                <w:rFonts w:eastAsia="Times New Roman"/>
                <w:lang w:eastAsia="lv-LV"/>
              </w:rPr>
              <w:lastRenderedPageBreak/>
              <w:t xml:space="preserve">Noteikumu projektā </w:t>
            </w:r>
            <w:r w:rsidRPr="00F131A4">
              <w:rPr>
                <w:rFonts w:eastAsia="Times New Roman"/>
                <w:u w:val="single"/>
                <w:lang w:eastAsia="lv-LV"/>
              </w:rPr>
              <w:t>netiek pārņemtas</w:t>
            </w:r>
            <w:r w:rsidRPr="00F131A4">
              <w:rPr>
                <w:rFonts w:eastAsia="Times New Roman"/>
                <w:lang w:eastAsia="lv-LV"/>
              </w:rPr>
              <w:t xml:space="preserve"> </w:t>
            </w:r>
            <w:r w:rsidRPr="00F131A4">
              <w:rPr>
                <w:i/>
              </w:rPr>
              <w:t xml:space="preserve">direktīvas 3.panta 29. un 36.punktā, 31.pantā, </w:t>
            </w:r>
            <w:r w:rsidRPr="00F131A4">
              <w:rPr>
                <w:rFonts w:eastAsia="Times New Roman"/>
                <w:i/>
                <w:lang w:eastAsia="lv-LV"/>
              </w:rPr>
              <w:t>32.pantā</w:t>
            </w:r>
            <w:r w:rsidRPr="00F131A4">
              <w:rPr>
                <w:i/>
              </w:rPr>
              <w:t xml:space="preserve">, </w:t>
            </w:r>
            <w:r w:rsidR="008217FC" w:rsidRPr="00F131A4">
              <w:rPr>
                <w:i/>
              </w:rPr>
              <w:t xml:space="preserve">33.panta 1.punkta d) apakšpunkts, </w:t>
            </w:r>
            <w:r w:rsidRPr="00F131A4">
              <w:rPr>
                <w:rFonts w:eastAsia="Times New Roman"/>
                <w:i/>
                <w:lang w:eastAsia="lv-LV"/>
              </w:rPr>
              <w:t>33.panta 3.punktā</w:t>
            </w:r>
            <w:r w:rsidRPr="00F131A4">
              <w:rPr>
                <w:i/>
              </w:rPr>
              <w:t xml:space="preserve">, </w:t>
            </w:r>
            <w:r w:rsidRPr="00F131A4">
              <w:rPr>
                <w:rFonts w:eastAsia="Times New Roman"/>
                <w:i/>
                <w:lang w:eastAsia="lv-LV"/>
              </w:rPr>
              <w:t>33.panta 4.punktā</w:t>
            </w:r>
            <w:r w:rsidRPr="00F131A4">
              <w:rPr>
                <w:i/>
              </w:rPr>
              <w:t xml:space="preserve"> un </w:t>
            </w:r>
            <w:r w:rsidRPr="00F131A4">
              <w:rPr>
                <w:rFonts w:eastAsia="Times New Roman"/>
                <w:i/>
                <w:lang w:eastAsia="lv-LV"/>
              </w:rPr>
              <w:t>34.pantā</w:t>
            </w:r>
            <w:r w:rsidRPr="00F131A4">
              <w:rPr>
                <w:rFonts w:eastAsia="Times New Roman"/>
                <w:lang w:eastAsia="lv-LV"/>
              </w:rPr>
              <w:t xml:space="preserve"> noteiktās izvēles normas: </w:t>
            </w:r>
          </w:p>
          <w:p w:rsidR="008217FC" w:rsidRPr="00F131A4" w:rsidRDefault="00795D9D" w:rsidP="008217FC">
            <w:pPr>
              <w:pStyle w:val="ListParagraph"/>
              <w:numPr>
                <w:ilvl w:val="0"/>
                <w:numId w:val="14"/>
              </w:numPr>
              <w:spacing w:after="0" w:line="240" w:lineRule="auto"/>
              <w:ind w:left="0" w:firstLine="357"/>
              <w:jc w:val="both"/>
              <w:rPr>
                <w:rFonts w:eastAsia="Times New Roman"/>
                <w:lang w:eastAsia="lv-LV"/>
              </w:rPr>
            </w:pPr>
            <w:r w:rsidRPr="00F131A4">
              <w:rPr>
                <w:rFonts w:eastAsia="Times New Roman"/>
                <w:lang w:eastAsia="lv-LV"/>
              </w:rPr>
              <w:t xml:space="preserve">Netiek plānots piemērot atkāpi attiecībā uz „mazām izolētām sistēmām” (3.panta 36.punkts, 33.panta 3.punkts, 34.pants), jo nav </w:t>
            </w:r>
            <w:r w:rsidRPr="00F131A4">
              <w:rPr>
                <w:rFonts w:eastAsia="Times New Roman"/>
                <w:lang w:eastAsia="lv-LV"/>
              </w:rPr>
              <w:lastRenderedPageBreak/>
              <w:t>informācijas par to, ka Latvijā kāds operators varētu piemērot šo atkāpi;</w:t>
            </w:r>
          </w:p>
          <w:p w:rsidR="008217FC" w:rsidRPr="00F131A4" w:rsidRDefault="00795D9D" w:rsidP="008217FC">
            <w:pPr>
              <w:pStyle w:val="ListParagraph"/>
              <w:numPr>
                <w:ilvl w:val="0"/>
                <w:numId w:val="14"/>
              </w:numPr>
              <w:spacing w:after="0" w:line="240" w:lineRule="auto"/>
              <w:ind w:left="0" w:firstLine="357"/>
              <w:jc w:val="both"/>
              <w:rPr>
                <w:rFonts w:eastAsia="Times New Roman"/>
                <w:lang w:eastAsia="lv-LV"/>
              </w:rPr>
            </w:pPr>
            <w:r w:rsidRPr="00F131A4">
              <w:rPr>
                <w:rFonts w:eastAsia="Times New Roman"/>
                <w:lang w:eastAsia="lv-LV"/>
              </w:rPr>
              <w:t>Līdzīgi netiek pārņemts 33.panta 4.punkts, jo Latvijā nav nevienas iekārtas, kas ir sākusi darboties pirms 1986.gada un kuras jauda pārsniedz 1500 MW un kura dedzina vietējo cieto kurināmo</w:t>
            </w:r>
            <w:r w:rsidR="008217FC" w:rsidRPr="00F131A4">
              <w:rPr>
                <w:rFonts w:eastAsia="Times New Roman"/>
                <w:lang w:eastAsia="lv-LV"/>
              </w:rPr>
              <w:t xml:space="preserve">, kā arī 33.panta 1.punkta d) apakšpunkts, jo tas </w:t>
            </w:r>
            <w:r w:rsidR="008217FC" w:rsidRPr="00F131A4">
              <w:t>attiecas uz iekārtām</w:t>
            </w:r>
            <w:r w:rsidR="008217FC" w:rsidRPr="00F131A4">
              <w:rPr>
                <w:bCs/>
              </w:rPr>
              <w:t>, kādu Latvijā nav un arī nebūs (iekārtas, kas nodotas ekspluatācijā līdz 1987.gada 1.jūlijam un par kurām operators līdz 2004.gada jūnijam ir paziņojis pārvaldei, ka tās tiks darbinātas ne vairāk kā 20 000 darbības stundas laikposmā no 2008.gada 1.janvāra līdz 2015.gada 31.decembrim).</w:t>
            </w:r>
          </w:p>
          <w:p w:rsidR="00795D9D" w:rsidRPr="00F131A4" w:rsidRDefault="008217FC" w:rsidP="008217FC">
            <w:pPr>
              <w:spacing w:after="0" w:line="240" w:lineRule="auto"/>
              <w:ind w:firstLine="410"/>
              <w:jc w:val="both"/>
              <w:rPr>
                <w:bCs/>
              </w:rPr>
            </w:pPr>
            <w:r w:rsidRPr="00F131A4">
              <w:rPr>
                <w:rFonts w:eastAsia="Times New Roman"/>
                <w:lang w:eastAsia="lv-LV"/>
              </w:rPr>
              <w:t xml:space="preserve">3) </w:t>
            </w:r>
            <w:r w:rsidR="00795D9D" w:rsidRPr="00F131A4">
              <w:rPr>
                <w:rFonts w:eastAsia="Times New Roman"/>
                <w:lang w:eastAsia="lv-LV"/>
              </w:rPr>
              <w:t xml:space="preserve">Latvija neplāno izstrādāt arī 32.pantā minēto valsts pārejas plānu sekojošu iemeslu dēļ: </w:t>
            </w:r>
          </w:p>
          <w:p w:rsidR="00795D9D" w:rsidRPr="00F131A4" w:rsidRDefault="00795D9D" w:rsidP="005525F5">
            <w:pPr>
              <w:pStyle w:val="ListParagraph"/>
              <w:spacing w:after="0" w:line="240" w:lineRule="auto"/>
              <w:ind w:left="0" w:firstLine="357"/>
              <w:jc w:val="both"/>
              <w:rPr>
                <w:rFonts w:eastAsia="Times New Roman"/>
                <w:lang w:eastAsia="lv-LV"/>
              </w:rPr>
            </w:pPr>
            <w:r w:rsidRPr="00F131A4">
              <w:rPr>
                <w:rFonts w:eastAsia="Times New Roman"/>
                <w:lang w:eastAsia="lv-LV"/>
              </w:rPr>
              <w:t>- ņemot vērā citu valstu pieredzi, šāda plāna izstrādei un sistēmas izveidei nepieciešams papildus finansējums;</w:t>
            </w:r>
          </w:p>
          <w:p w:rsidR="00795D9D" w:rsidRPr="00F131A4" w:rsidRDefault="00795D9D" w:rsidP="005525F5">
            <w:pPr>
              <w:pStyle w:val="ListParagraph"/>
              <w:spacing w:after="0" w:line="240" w:lineRule="auto"/>
              <w:ind w:left="0" w:firstLine="357"/>
              <w:jc w:val="both"/>
              <w:rPr>
                <w:rFonts w:eastAsia="Times New Roman"/>
                <w:lang w:eastAsia="lv-LV"/>
              </w:rPr>
            </w:pPr>
            <w:r w:rsidRPr="00F131A4">
              <w:rPr>
                <w:rFonts w:eastAsia="Times New Roman"/>
                <w:lang w:eastAsia="lv-LV"/>
              </w:rPr>
              <w:t>- plāna izstrāde, tā ieviešanas kontrole un monitorings, kā arī atskaišu gatavošana radīs papildus slogu gan operatoram, gan Valsts vides dienestam;</w:t>
            </w:r>
          </w:p>
          <w:p w:rsidR="00795D9D" w:rsidRPr="00F131A4" w:rsidRDefault="008217FC" w:rsidP="005525F5">
            <w:pPr>
              <w:pStyle w:val="ListParagraph"/>
              <w:spacing w:after="0" w:line="240" w:lineRule="auto"/>
              <w:ind w:left="0" w:firstLine="357"/>
              <w:jc w:val="both"/>
              <w:rPr>
                <w:rFonts w:eastAsia="Times New Roman"/>
                <w:lang w:eastAsia="lv-LV"/>
              </w:rPr>
            </w:pPr>
            <w:r w:rsidRPr="00F131A4">
              <w:rPr>
                <w:rFonts w:eastAsia="Times New Roman"/>
                <w:lang w:eastAsia="lv-LV"/>
              </w:rPr>
              <w:t>4</w:t>
            </w:r>
            <w:r w:rsidR="00795D9D" w:rsidRPr="00F131A4">
              <w:rPr>
                <w:rFonts w:eastAsia="Times New Roman"/>
                <w:lang w:eastAsia="lv-LV"/>
              </w:rPr>
              <w:t>) Latvija nepārņems normas, kas saistītas ar vietējā cietā kurināmā izmantošanu (Direktīvas 3.panta 29.punkts, 31.pants, V pielikuma 5. un 6.daļa), jo Latvijas teritorijā nav sastopamas cietā kurināmā (piemēram, akmeņogļu vai degakmens) atradnes un līdz ar to šāds kurināmais Latvijā netiek iegūts.</w:t>
            </w:r>
          </w:p>
          <w:p w:rsidR="00795D9D" w:rsidRPr="00F131A4" w:rsidRDefault="00795D9D" w:rsidP="005525F5">
            <w:pPr>
              <w:spacing w:after="0" w:line="240" w:lineRule="auto"/>
              <w:jc w:val="both"/>
              <w:rPr>
                <w:rFonts w:eastAsia="Times New Roman"/>
                <w:lang w:eastAsia="lv-LV"/>
              </w:rPr>
            </w:pPr>
          </w:p>
          <w:p w:rsidR="00795D9D" w:rsidRPr="00F131A4" w:rsidRDefault="00795D9D" w:rsidP="005525F5">
            <w:pPr>
              <w:spacing w:after="0" w:line="240" w:lineRule="auto"/>
              <w:ind w:firstLine="409"/>
              <w:jc w:val="both"/>
              <w:rPr>
                <w:rFonts w:eastAsia="Times New Roman"/>
                <w:lang w:eastAsia="lv-LV"/>
              </w:rPr>
            </w:pPr>
            <w:r w:rsidRPr="00F131A4">
              <w:rPr>
                <w:rFonts w:eastAsia="Times New Roman"/>
                <w:u w:val="single"/>
                <w:lang w:eastAsia="lv-LV"/>
              </w:rPr>
              <w:t>Tika izmantota</w:t>
            </w:r>
            <w:r w:rsidRPr="00F131A4">
              <w:rPr>
                <w:rFonts w:eastAsia="Times New Roman"/>
                <w:lang w:eastAsia="lv-LV"/>
              </w:rPr>
              <w:t xml:space="preserve"> </w:t>
            </w:r>
            <w:r w:rsidRPr="00F131A4">
              <w:rPr>
                <w:rFonts w:eastAsia="Times New Roman"/>
                <w:i/>
                <w:lang w:eastAsia="lv-LV"/>
              </w:rPr>
              <w:t>direktīvas 31.pantā, 33.panta 1.punktā, 33.panta 2.punktā un 35.pantā</w:t>
            </w:r>
            <w:r w:rsidRPr="00F131A4">
              <w:rPr>
                <w:rFonts w:eastAsia="Times New Roman"/>
                <w:lang w:eastAsia="lv-LV"/>
              </w:rPr>
              <w:t xml:space="preserve"> </w:t>
            </w:r>
            <w:r w:rsidRPr="00F131A4">
              <w:rPr>
                <w:rFonts w:eastAsia="Times New Roman"/>
                <w:u w:val="single"/>
                <w:lang w:eastAsia="lv-LV"/>
              </w:rPr>
              <w:t>paredzētā rīcības brīvība</w:t>
            </w:r>
            <w:r w:rsidRPr="00F131A4">
              <w:rPr>
                <w:rFonts w:eastAsia="Times New Roman"/>
                <w:lang w:eastAsia="lv-LV"/>
              </w:rPr>
              <w:t xml:space="preserve"> sekojošu iemeslu dēļ:</w:t>
            </w:r>
          </w:p>
          <w:p w:rsidR="00795D9D" w:rsidRPr="00F131A4" w:rsidRDefault="00795D9D" w:rsidP="005525F5">
            <w:pPr>
              <w:spacing w:after="0" w:line="240" w:lineRule="auto"/>
              <w:ind w:firstLine="409"/>
              <w:jc w:val="both"/>
              <w:rPr>
                <w:rFonts w:eastAsia="Times New Roman"/>
                <w:lang w:eastAsia="lv-LV"/>
              </w:rPr>
            </w:pPr>
            <w:r w:rsidRPr="00F131A4">
              <w:rPr>
                <w:rFonts w:eastAsia="Times New Roman"/>
                <w:lang w:eastAsia="lv-LV"/>
              </w:rPr>
              <w:t>- Latvijā ir operatori, kas var izmantot šajos pantos paredzētās atkāpes;</w:t>
            </w:r>
          </w:p>
          <w:p w:rsidR="00795D9D" w:rsidRPr="00F131A4" w:rsidRDefault="00795D9D" w:rsidP="005525F5">
            <w:pPr>
              <w:spacing w:after="0" w:line="240" w:lineRule="auto"/>
              <w:ind w:firstLine="409"/>
              <w:jc w:val="both"/>
              <w:rPr>
                <w:rFonts w:eastAsia="Times New Roman"/>
                <w:lang w:eastAsia="lv-LV"/>
              </w:rPr>
            </w:pPr>
            <w:r w:rsidRPr="00F131A4">
              <w:rPr>
                <w:rFonts w:eastAsia="Times New Roman"/>
                <w:lang w:eastAsia="lv-LV"/>
              </w:rPr>
              <w:t>- Šādu atkāpju piemērošana ļaus uzņēmumiem pakāpeniski pielāgoties jaunajām, stingrākajām prasībām;</w:t>
            </w:r>
          </w:p>
          <w:p w:rsidR="00795D9D" w:rsidRPr="00F131A4" w:rsidRDefault="00795D9D" w:rsidP="005525F5">
            <w:pPr>
              <w:spacing w:after="0" w:line="240" w:lineRule="auto"/>
              <w:ind w:firstLine="409"/>
              <w:jc w:val="both"/>
            </w:pPr>
            <w:r w:rsidRPr="00F131A4">
              <w:t>- Tā kā gaisa kvalitātes normatīvi tiek pārsniegti galvenokārt Rīgā - ielās ar intensīvu transporta noslodzi, kur lielākais piesārņojuma avots ir transports, tad nebūtu samērīgi neļaut piemērot atkāpes arī visām pārējām lielajām sadedzināšanas iekārtām, kas atrodas ārpus Rīgas teritorijas. Atbilstoši likumā „Par piesārņojumu” 14.pantā noteiktajam pašvaldība, kuras teritorijā ir paaugstināts gaisa piesārņojums var izdot saistošos noteikumus, kas ierobežo arī sadedzināšanas iekārtu darbību, ja to radītā emisija var palielināt kopējo attiecīgā piesārņojuma daudzumu šajā teritorijā.</w:t>
            </w:r>
          </w:p>
          <w:p w:rsidR="00795D9D" w:rsidRPr="00F131A4" w:rsidRDefault="00795D9D" w:rsidP="006647BD">
            <w:pPr>
              <w:spacing w:after="0" w:line="240" w:lineRule="auto"/>
              <w:rPr>
                <w:rFonts w:eastAsia="Times New Roman"/>
                <w:lang w:eastAsia="lv-LV"/>
              </w:rPr>
            </w:pPr>
            <w:r w:rsidRPr="00F131A4">
              <w:rPr>
                <w:rFonts w:eastAsia="Times New Roman"/>
                <w:lang w:eastAsia="lv-LV"/>
              </w:rPr>
              <w:t> </w:t>
            </w:r>
          </w:p>
        </w:tc>
      </w:tr>
      <w:tr w:rsidR="00795D9D" w:rsidRPr="00A92A45" w:rsidTr="00B23D97">
        <w:trPr>
          <w:trHeight w:val="913"/>
          <w:tblCellSpacing w:w="0" w:type="dxa"/>
        </w:trPr>
        <w:tc>
          <w:tcPr>
            <w:tcW w:w="1099" w:type="pct"/>
            <w:tcBorders>
              <w:top w:val="outset" w:sz="6" w:space="0" w:color="auto"/>
              <w:left w:val="outset" w:sz="6" w:space="0" w:color="auto"/>
              <w:bottom w:val="outset" w:sz="6" w:space="0" w:color="auto"/>
              <w:right w:val="outset" w:sz="6" w:space="0" w:color="auto"/>
            </w:tcBorders>
            <w:vAlign w:val="center"/>
            <w:hideMark/>
          </w:tcPr>
          <w:p w:rsidR="00795D9D" w:rsidRPr="00A92A45" w:rsidRDefault="00795D9D" w:rsidP="00B30CCA">
            <w:pPr>
              <w:spacing w:before="75" w:after="75" w:line="240" w:lineRule="auto"/>
              <w:rPr>
                <w:rFonts w:eastAsia="Times New Roman"/>
                <w:lang w:eastAsia="lv-LV"/>
              </w:rPr>
            </w:pPr>
            <w:r w:rsidRPr="00A92A45">
              <w:rPr>
                <w:rFonts w:eastAsia="Times New Roman"/>
                <w:lang w:eastAsia="lv-LV"/>
              </w:rPr>
              <w:lastRenderedPageBreak/>
              <w:t xml:space="preserve"> Saistības sniegt paziņojumu ES institūcijām un ES dalībvalstīm atbilstoši normatīvajiem aktiem, kas regulē informācijas sniegšanu par tehnisko noteikumu, </w:t>
            </w:r>
            <w:r w:rsidRPr="00A92A45">
              <w:rPr>
                <w:rFonts w:eastAsia="Times New Roman"/>
                <w:lang w:eastAsia="lv-LV"/>
              </w:rPr>
              <w:lastRenderedPageBreak/>
              <w:t>valsts atbalsta piešķiršanas un finanšu noteikumu (attiecībā uz monetāro politiku) projektiem</w:t>
            </w:r>
          </w:p>
        </w:tc>
        <w:tc>
          <w:tcPr>
            <w:tcW w:w="3901" w:type="pct"/>
            <w:gridSpan w:val="8"/>
            <w:tcBorders>
              <w:top w:val="outset" w:sz="6" w:space="0" w:color="auto"/>
              <w:left w:val="outset" w:sz="6" w:space="0" w:color="auto"/>
              <w:bottom w:val="outset" w:sz="6" w:space="0" w:color="auto"/>
              <w:right w:val="outset" w:sz="6" w:space="0" w:color="auto"/>
            </w:tcBorders>
            <w:hideMark/>
          </w:tcPr>
          <w:p w:rsidR="00795D9D" w:rsidRPr="00A92A45" w:rsidRDefault="00795D9D" w:rsidP="00145088">
            <w:pPr>
              <w:spacing w:before="75" w:after="75" w:line="240" w:lineRule="auto"/>
              <w:rPr>
                <w:rFonts w:eastAsia="Times New Roman"/>
                <w:lang w:eastAsia="lv-LV"/>
              </w:rPr>
            </w:pPr>
            <w:r w:rsidRPr="00A92A45">
              <w:rPr>
                <w:rFonts w:eastAsia="Times New Roman"/>
                <w:lang w:eastAsia="lv-LV"/>
              </w:rPr>
              <w:lastRenderedPageBreak/>
              <w:t> </w:t>
            </w:r>
            <w:r w:rsidRPr="00E65E73">
              <w:rPr>
                <w:bCs/>
                <w:iCs/>
              </w:rPr>
              <w:t>Projekts šo jomu neskar</w:t>
            </w:r>
          </w:p>
        </w:tc>
      </w:tr>
      <w:tr w:rsidR="00795D9D" w:rsidRPr="00A92A45" w:rsidTr="00B23D97">
        <w:trPr>
          <w:trHeight w:val="579"/>
          <w:tblCellSpacing w:w="0" w:type="dxa"/>
        </w:trPr>
        <w:tc>
          <w:tcPr>
            <w:tcW w:w="1099" w:type="pct"/>
            <w:tcBorders>
              <w:top w:val="outset" w:sz="6" w:space="0" w:color="auto"/>
              <w:left w:val="outset" w:sz="6" w:space="0" w:color="auto"/>
              <w:bottom w:val="outset" w:sz="6" w:space="0" w:color="auto"/>
              <w:right w:val="outset" w:sz="6" w:space="0" w:color="auto"/>
            </w:tcBorders>
            <w:hideMark/>
          </w:tcPr>
          <w:p w:rsidR="00795D9D" w:rsidRPr="00A92A45" w:rsidRDefault="00795D9D" w:rsidP="00B30CCA">
            <w:pPr>
              <w:spacing w:before="75" w:after="75" w:line="240" w:lineRule="auto"/>
              <w:rPr>
                <w:rFonts w:eastAsia="Times New Roman"/>
                <w:lang w:eastAsia="lv-LV"/>
              </w:rPr>
            </w:pPr>
            <w:r w:rsidRPr="00A92A45">
              <w:rPr>
                <w:rFonts w:eastAsia="Times New Roman"/>
                <w:lang w:eastAsia="lv-LV"/>
              </w:rPr>
              <w:lastRenderedPageBreak/>
              <w:t> Cita informācija</w:t>
            </w:r>
          </w:p>
        </w:tc>
        <w:tc>
          <w:tcPr>
            <w:tcW w:w="3901" w:type="pct"/>
            <w:gridSpan w:val="8"/>
            <w:tcBorders>
              <w:top w:val="outset" w:sz="6" w:space="0" w:color="auto"/>
              <w:left w:val="outset" w:sz="6" w:space="0" w:color="auto"/>
              <w:bottom w:val="outset" w:sz="6" w:space="0" w:color="auto"/>
              <w:right w:val="outset" w:sz="6" w:space="0" w:color="auto"/>
            </w:tcBorders>
            <w:hideMark/>
          </w:tcPr>
          <w:p w:rsidR="00795D9D" w:rsidRPr="00A92A45" w:rsidRDefault="00795D9D" w:rsidP="00145088">
            <w:pPr>
              <w:spacing w:before="75" w:after="75" w:line="240" w:lineRule="auto"/>
            </w:pPr>
            <w:r w:rsidRPr="00A92A45">
              <w:rPr>
                <w:rFonts w:eastAsia="Times New Roman"/>
                <w:lang w:eastAsia="lv-LV"/>
              </w:rPr>
              <w:t xml:space="preserve"> Pārējās Direktīvas </w:t>
            </w:r>
            <w:r w:rsidRPr="00A92A45">
              <w:t>2010/75/ES prasības tiks pārņemtas ar šādiem normatīvajiem aktiem:</w:t>
            </w:r>
          </w:p>
          <w:p w:rsidR="00795D9D" w:rsidRPr="00A92A45" w:rsidRDefault="00795D9D" w:rsidP="009577D8">
            <w:pPr>
              <w:spacing w:before="75" w:after="75" w:line="240" w:lineRule="auto"/>
              <w:jc w:val="both"/>
            </w:pPr>
            <w:r w:rsidRPr="00A92A45">
              <w:t>1) grozījumi likumā „Par piesārņojumu”</w:t>
            </w:r>
            <w:r w:rsidR="00B7733A">
              <w:t xml:space="preserve"> </w:t>
            </w:r>
            <w:r w:rsidR="00B7733A" w:rsidRPr="00A92A45">
              <w:rPr>
                <w:rFonts w:eastAsia="Times New Roman"/>
                <w:lang w:eastAsia="lv-LV"/>
              </w:rPr>
              <w:t xml:space="preserve">(Izsludināti 03.05.2012. Valsts sekretāru sanāksmē, Protokols Nr.18, </w:t>
            </w:r>
            <w:r w:rsidR="00B7733A" w:rsidRPr="00A92A45">
              <w:t>9.§</w:t>
            </w:r>
            <w:r w:rsidR="00B7733A">
              <w:t>)</w:t>
            </w:r>
            <w:r w:rsidRPr="00A92A45">
              <w:t>;</w:t>
            </w:r>
          </w:p>
          <w:p w:rsidR="00795D9D" w:rsidRPr="00A92A45" w:rsidRDefault="00795D9D" w:rsidP="009577D8">
            <w:pPr>
              <w:spacing w:before="75" w:after="75" w:line="240" w:lineRule="auto"/>
              <w:jc w:val="both"/>
            </w:pPr>
            <w:r w:rsidRPr="00A92A45">
              <w:t xml:space="preserve">2) grozījumi </w:t>
            </w:r>
            <w:r w:rsidRPr="00A92A45">
              <w:rPr>
                <w:rFonts w:eastAsia="Calibri"/>
              </w:rPr>
              <w:t>Ministru kabineta 2010.gada 30.novembra noteikumos Nr.1082 „Kārtība, kādā piesakāmas A, B un C kategorijas piesārņojošas darbības un izsniedzamas atļaujas A un B kategorijas piesārņojošo darbību veikšanai”</w:t>
            </w:r>
            <w:r w:rsidR="000D6EBE">
              <w:rPr>
                <w:rFonts w:eastAsia="Calibri"/>
              </w:rPr>
              <w:t xml:space="preserve"> (</w:t>
            </w:r>
            <w:r w:rsidR="000D6EBE">
              <w:rPr>
                <w:bCs/>
              </w:rPr>
              <w:t xml:space="preserve">noteikumu projekts ir izstrādes stadijā un to plānots 2012.gadā izsludināt </w:t>
            </w:r>
            <w:r w:rsidR="00183BE3">
              <w:rPr>
                <w:bCs/>
              </w:rPr>
              <w:t>Valsts sekretāru sanāksmē</w:t>
            </w:r>
            <w:r w:rsidR="000D6EBE">
              <w:rPr>
                <w:bCs/>
              </w:rPr>
              <w:t>)</w:t>
            </w:r>
            <w:r w:rsidRPr="00A92A45">
              <w:t>;</w:t>
            </w:r>
          </w:p>
          <w:p w:rsidR="00183BE3" w:rsidRPr="00183BE3" w:rsidRDefault="00795D9D" w:rsidP="00183BE3">
            <w:pPr>
              <w:spacing w:after="0" w:line="240" w:lineRule="auto"/>
              <w:jc w:val="both"/>
              <w:rPr>
                <w:bCs/>
              </w:rPr>
            </w:pPr>
            <w:r w:rsidRPr="00A92A45">
              <w:rPr>
                <w:rFonts w:eastAsia="Calibri"/>
              </w:rPr>
              <w:t xml:space="preserve">3) Ministru kabineta noteikumu </w:t>
            </w:r>
            <w:r w:rsidRPr="00183BE3">
              <w:rPr>
                <w:rFonts w:eastAsia="Calibri"/>
              </w:rPr>
              <w:t>projekts „</w:t>
            </w:r>
            <w:r w:rsidRPr="00183BE3">
              <w:rPr>
                <w:bCs/>
              </w:rPr>
              <w:t>Noteikumi par gaistošo organisko savienojumu emisijas ierobežošanu no iekārtām, kurās izmanto organiskos šķīdinātājus”</w:t>
            </w:r>
            <w:r w:rsidR="00183BE3" w:rsidRPr="00183BE3">
              <w:rPr>
                <w:bCs/>
              </w:rPr>
              <w:t xml:space="preserve"> (tiks izsludināts Valsts sekretāru sanāksmē vienlaicīgi ar šo noteikumu projektu)</w:t>
            </w:r>
            <w:r w:rsidRPr="00183BE3">
              <w:rPr>
                <w:bCs/>
              </w:rPr>
              <w:t>;</w:t>
            </w:r>
          </w:p>
          <w:p w:rsidR="00795D9D" w:rsidRPr="00183BE3" w:rsidRDefault="00795D9D" w:rsidP="00183BE3">
            <w:pPr>
              <w:spacing w:after="0" w:line="240" w:lineRule="auto"/>
              <w:jc w:val="both"/>
              <w:outlineLvl w:val="3"/>
              <w:rPr>
                <w:rFonts w:ascii="Verdana" w:hAnsi="Verdana"/>
                <w:b/>
                <w:bCs/>
                <w:sz w:val="27"/>
                <w:szCs w:val="27"/>
              </w:rPr>
            </w:pPr>
            <w:r w:rsidRPr="00183BE3">
              <w:rPr>
                <w:bCs/>
              </w:rPr>
              <w:t xml:space="preserve">4) grozījumi </w:t>
            </w:r>
            <w:r w:rsidRPr="00183BE3">
              <w:rPr>
                <w:rStyle w:val="Strong"/>
                <w:b w:val="0"/>
              </w:rPr>
              <w:t>Ministru kabineta 2011.gada 24.maija noteikumos Nr.401 „Prasības atkritumu sadedzināšanai un atkritumu sadedzināšanas iekārtu darbībai””</w:t>
            </w:r>
            <w:r w:rsidR="00183BE3" w:rsidRPr="00183BE3">
              <w:rPr>
                <w:rStyle w:val="Strong"/>
                <w:b w:val="0"/>
              </w:rPr>
              <w:t xml:space="preserve"> (pieņemts ar </w:t>
            </w:r>
            <w:r w:rsidR="00183BE3">
              <w:rPr>
                <w:rFonts w:eastAsia="Times New Roman"/>
              </w:rPr>
              <w:t>2012.gada 2.</w:t>
            </w:r>
            <w:r w:rsidR="00183BE3" w:rsidRPr="00183BE3">
              <w:rPr>
                <w:rFonts w:eastAsia="Times New Roman"/>
              </w:rPr>
              <w:t xml:space="preserve">oktobra </w:t>
            </w:r>
            <w:r w:rsidR="00183BE3">
              <w:rPr>
                <w:rFonts w:eastAsia="Times New Roman"/>
                <w:bCs/>
              </w:rPr>
              <w:t xml:space="preserve">Ministru kabineta </w:t>
            </w:r>
            <w:r w:rsidR="00183BE3" w:rsidRPr="00183BE3">
              <w:rPr>
                <w:rFonts w:eastAsia="Times New Roman"/>
                <w:bCs/>
              </w:rPr>
              <w:t>noteikumiem Nr.676 „</w:t>
            </w:r>
            <w:r w:rsidR="00183BE3" w:rsidRPr="00183BE3">
              <w:rPr>
                <w:bCs/>
              </w:rPr>
              <w:t xml:space="preserve">Grozījumi Ministru kabineta 2011.gada 24.maija noteikumos Nr.401 </w:t>
            </w:r>
            <w:r w:rsidR="00183BE3">
              <w:rPr>
                <w:bCs/>
              </w:rPr>
              <w:t>„</w:t>
            </w:r>
            <w:r w:rsidR="00183BE3" w:rsidRPr="00183BE3">
              <w:rPr>
                <w:bCs/>
              </w:rPr>
              <w:t>Prasības atkritumu sadedzināšanai un atkritumu sadedzināšanas iekārtu darbībai</w:t>
            </w:r>
            <w:r w:rsidR="00183BE3">
              <w:rPr>
                <w:bCs/>
              </w:rPr>
              <w:t>”</w:t>
            </w:r>
            <w:r w:rsidR="00183BE3" w:rsidRPr="00183BE3">
              <w:rPr>
                <w:bCs/>
              </w:rPr>
              <w:t>)</w:t>
            </w:r>
            <w:r w:rsidR="00183BE3">
              <w:rPr>
                <w:bCs/>
              </w:rPr>
              <w:t>.</w:t>
            </w:r>
          </w:p>
        </w:tc>
      </w:tr>
    </w:tbl>
    <w:p w:rsidR="00B30CCA" w:rsidRPr="004067CA" w:rsidRDefault="00B30CCA" w:rsidP="00B30CCA">
      <w:pPr>
        <w:spacing w:before="75" w:after="75" w:line="240" w:lineRule="auto"/>
        <w:ind w:firstLine="375"/>
        <w:jc w:val="both"/>
        <w:rPr>
          <w:rFonts w:eastAsia="Times New Roman"/>
          <w:sz w:val="28"/>
          <w:szCs w:val="28"/>
          <w:lang w:eastAsia="lv-LV"/>
        </w:rPr>
      </w:pPr>
      <w:r w:rsidRPr="004067CA">
        <w:rPr>
          <w:rFonts w:eastAsia="Times New Roman"/>
          <w:sz w:val="28"/>
          <w:szCs w:val="28"/>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92"/>
        <w:gridCol w:w="1134"/>
        <w:gridCol w:w="2835"/>
        <w:gridCol w:w="2140"/>
      </w:tblGrid>
      <w:tr w:rsidR="00B30CCA" w:rsidRPr="00A92A45" w:rsidTr="00CD1DB9">
        <w:trPr>
          <w:trHeight w:val="792"/>
          <w:tblCellSpacing w:w="0" w:type="dxa"/>
        </w:trPr>
        <w:tc>
          <w:tcPr>
            <w:tcW w:w="9101" w:type="dxa"/>
            <w:gridSpan w:val="4"/>
            <w:tcBorders>
              <w:top w:val="outset" w:sz="6" w:space="0" w:color="auto"/>
              <w:left w:val="outset" w:sz="6" w:space="0" w:color="auto"/>
              <w:bottom w:val="outset" w:sz="6" w:space="0" w:color="auto"/>
              <w:right w:val="outset" w:sz="6" w:space="0" w:color="auto"/>
            </w:tcBorders>
            <w:vAlign w:val="center"/>
            <w:hideMark/>
          </w:tcPr>
          <w:p w:rsidR="00B30CCA" w:rsidRPr="00A92A45" w:rsidRDefault="00B30CCA" w:rsidP="00B30CCA">
            <w:pPr>
              <w:spacing w:before="150" w:after="150" w:line="240" w:lineRule="auto"/>
              <w:jc w:val="center"/>
              <w:rPr>
                <w:rFonts w:eastAsia="Times New Roman"/>
                <w:b/>
                <w:bCs/>
                <w:lang w:eastAsia="lv-LV"/>
              </w:rPr>
            </w:pPr>
            <w:r w:rsidRPr="00A92A45">
              <w:rPr>
                <w:rFonts w:eastAsia="Times New Roman"/>
                <w:b/>
                <w:bCs/>
                <w:lang w:eastAsia="lv-LV"/>
              </w:rPr>
              <w:t> 2.tabula</w:t>
            </w:r>
          </w:p>
          <w:p w:rsidR="00B30CCA" w:rsidRPr="00A92A45" w:rsidRDefault="00B30CCA" w:rsidP="00B30CCA">
            <w:pPr>
              <w:spacing w:before="150" w:after="150" w:line="240" w:lineRule="auto"/>
              <w:jc w:val="center"/>
              <w:rPr>
                <w:rFonts w:eastAsia="Times New Roman"/>
                <w:b/>
                <w:bCs/>
                <w:lang w:eastAsia="lv-LV"/>
              </w:rPr>
            </w:pPr>
            <w:r w:rsidRPr="00A92A45">
              <w:rPr>
                <w:rFonts w:eastAsia="Times New Roman"/>
                <w:b/>
                <w:bCs/>
                <w:lang w:eastAsia="lv-LV"/>
              </w:rPr>
              <w:t>Ar tiesību akta projektu uzņemtās saistības, kas izriet no starptautiskajiem tiesību aktiem vai starptautiskas institūcijas vai organizācijas dokumentiem</w:t>
            </w:r>
          </w:p>
          <w:p w:rsidR="00B30CCA" w:rsidRPr="00A92A45" w:rsidRDefault="00B30CCA" w:rsidP="00B30CCA">
            <w:pPr>
              <w:spacing w:before="150" w:after="150" w:line="240" w:lineRule="auto"/>
              <w:jc w:val="center"/>
              <w:rPr>
                <w:rFonts w:eastAsia="Times New Roman"/>
                <w:b/>
                <w:bCs/>
                <w:lang w:eastAsia="lv-LV"/>
              </w:rPr>
            </w:pPr>
            <w:r w:rsidRPr="00A92A45">
              <w:rPr>
                <w:rFonts w:eastAsia="Times New Roman"/>
                <w:b/>
                <w:bCs/>
                <w:lang w:eastAsia="lv-LV"/>
              </w:rPr>
              <w:t>Pasākumi šo saistību izpildei</w:t>
            </w:r>
          </w:p>
        </w:tc>
      </w:tr>
      <w:tr w:rsidR="00B30CCA" w:rsidRPr="00A92A45" w:rsidTr="00D663C9">
        <w:trPr>
          <w:trHeight w:val="1596"/>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Attiecīgā starptautiskā tiesību akta vai starptautiskas institūcijas vai organizācijas dokumenta (turpmāk – starptautiskais dokuments) datums, numurs un nosaukums</w:t>
            </w:r>
          </w:p>
        </w:tc>
        <w:tc>
          <w:tcPr>
            <w:tcW w:w="6109" w:type="dxa"/>
            <w:gridSpan w:val="3"/>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w:t>
            </w:r>
            <w:r w:rsidR="00445DEB" w:rsidRPr="00A92A45">
              <w:t xml:space="preserve">1979.gada Ženēvas Konvencija „Par robežšķērsojošo gaisa piesārņošanu lielos attālumos samazināšanu un ierobežošanu” un tās 1999.gada Gēteborgas protokols </w:t>
            </w:r>
            <w:r w:rsidR="00445DEB" w:rsidRPr="00A92A45">
              <w:rPr>
                <w:rFonts w:eastAsia="Times New Roman"/>
                <w:lang w:eastAsia="lv-LV"/>
              </w:rPr>
              <w:t xml:space="preserve">“Par paskābināšanas, eitrofikācijas un </w:t>
            </w:r>
            <w:proofErr w:type="spellStart"/>
            <w:r w:rsidR="00445DEB" w:rsidRPr="00A92A45">
              <w:rPr>
                <w:rFonts w:eastAsia="Times New Roman"/>
                <w:lang w:eastAsia="lv-LV"/>
              </w:rPr>
              <w:t>piezemes</w:t>
            </w:r>
            <w:proofErr w:type="spellEnd"/>
            <w:r w:rsidR="00445DEB" w:rsidRPr="00A92A45">
              <w:rPr>
                <w:rFonts w:eastAsia="Times New Roman"/>
                <w:lang w:eastAsia="lv-LV"/>
              </w:rPr>
              <w:t xml:space="preserve"> ozona līmeņa samazināšanu”</w:t>
            </w:r>
            <w:r w:rsidR="00D663C9" w:rsidRPr="00A92A45">
              <w:rPr>
                <w:rFonts w:eastAsia="Times New Roman"/>
                <w:lang w:eastAsia="lv-LV"/>
              </w:rPr>
              <w:t xml:space="preserve"> (turpmāk – protokols)</w:t>
            </w:r>
            <w:r w:rsidR="00445DEB" w:rsidRPr="00A92A45">
              <w:rPr>
                <w:rFonts w:eastAsia="Times New Roman"/>
                <w:lang w:eastAsia="lv-LV"/>
              </w:rPr>
              <w:t>.</w:t>
            </w:r>
          </w:p>
        </w:tc>
      </w:tr>
      <w:tr w:rsidR="00B30CCA" w:rsidRPr="00A92A45" w:rsidTr="00CD1DB9">
        <w:trPr>
          <w:trHeight w:val="163"/>
          <w:tblCellSpacing w:w="0" w:type="dxa"/>
        </w:trPr>
        <w:tc>
          <w:tcPr>
            <w:tcW w:w="9101" w:type="dxa"/>
            <w:gridSpan w:val="4"/>
            <w:tcBorders>
              <w:top w:val="outset" w:sz="6" w:space="0" w:color="auto"/>
              <w:left w:val="outset" w:sz="6" w:space="0" w:color="auto"/>
              <w:bottom w:val="outset" w:sz="6" w:space="0" w:color="auto"/>
              <w:right w:val="outset" w:sz="6" w:space="0" w:color="auto"/>
            </w:tcBorders>
            <w:vAlign w:val="center"/>
            <w:hideMark/>
          </w:tcPr>
          <w:p w:rsidR="00B30CCA" w:rsidRPr="00A92A45" w:rsidRDefault="00B30CCA" w:rsidP="00B30CCA">
            <w:pPr>
              <w:spacing w:before="75" w:after="75" w:line="163" w:lineRule="atLeast"/>
              <w:rPr>
                <w:rFonts w:eastAsia="Times New Roman"/>
                <w:lang w:eastAsia="lv-LV"/>
              </w:rPr>
            </w:pPr>
            <w:r w:rsidRPr="00A92A45">
              <w:rPr>
                <w:rFonts w:eastAsia="Times New Roman"/>
                <w:lang w:eastAsia="lv-LV"/>
              </w:rPr>
              <w:t>  </w:t>
            </w:r>
          </w:p>
        </w:tc>
      </w:tr>
      <w:tr w:rsidR="00B30CCA" w:rsidRPr="00A92A45" w:rsidTr="008A5948">
        <w:trPr>
          <w:trHeight w:val="341"/>
          <w:tblCellSpacing w:w="0" w:type="dxa"/>
        </w:trPr>
        <w:tc>
          <w:tcPr>
            <w:tcW w:w="4126" w:type="dxa"/>
            <w:gridSpan w:val="2"/>
            <w:tcBorders>
              <w:top w:val="outset" w:sz="6" w:space="0" w:color="auto"/>
              <w:left w:val="outset" w:sz="6" w:space="0" w:color="auto"/>
              <w:bottom w:val="outset" w:sz="6" w:space="0" w:color="auto"/>
              <w:right w:val="outset" w:sz="6" w:space="0" w:color="auto"/>
            </w:tcBorders>
            <w:vAlign w:val="center"/>
            <w:hideMark/>
          </w:tcPr>
          <w:p w:rsidR="00B30CCA" w:rsidRPr="00A92A45" w:rsidRDefault="00B30CCA" w:rsidP="00B30CCA">
            <w:pPr>
              <w:spacing w:before="75" w:after="75" w:line="240" w:lineRule="auto"/>
              <w:jc w:val="center"/>
              <w:rPr>
                <w:rFonts w:eastAsia="Times New Roman"/>
                <w:lang w:eastAsia="lv-LV"/>
              </w:rPr>
            </w:pPr>
            <w:r w:rsidRPr="00A92A45">
              <w:rPr>
                <w:rFonts w:eastAsia="Times New Roman"/>
                <w:lang w:eastAsia="lv-LV"/>
              </w:rPr>
              <w:t> A</w:t>
            </w:r>
          </w:p>
        </w:tc>
        <w:tc>
          <w:tcPr>
            <w:tcW w:w="2835" w:type="dxa"/>
            <w:tcBorders>
              <w:top w:val="outset" w:sz="6" w:space="0" w:color="auto"/>
              <w:left w:val="outset" w:sz="6" w:space="0" w:color="auto"/>
              <w:bottom w:val="outset" w:sz="6" w:space="0" w:color="auto"/>
              <w:right w:val="outset" w:sz="6" w:space="0" w:color="auto"/>
            </w:tcBorders>
            <w:vAlign w:val="center"/>
            <w:hideMark/>
          </w:tcPr>
          <w:p w:rsidR="00B30CCA" w:rsidRPr="00A92A45" w:rsidRDefault="00B30CCA" w:rsidP="00B30CCA">
            <w:pPr>
              <w:spacing w:before="75" w:after="75" w:line="240" w:lineRule="auto"/>
              <w:jc w:val="center"/>
              <w:rPr>
                <w:rFonts w:eastAsia="Times New Roman"/>
                <w:lang w:eastAsia="lv-LV"/>
              </w:rPr>
            </w:pPr>
            <w:r w:rsidRPr="00A92A45">
              <w:rPr>
                <w:rFonts w:eastAsia="Times New Roman"/>
                <w:lang w:eastAsia="lv-LV"/>
              </w:rPr>
              <w:t> B</w:t>
            </w:r>
          </w:p>
        </w:tc>
        <w:tc>
          <w:tcPr>
            <w:tcW w:w="2140" w:type="dxa"/>
            <w:tcBorders>
              <w:top w:val="outset" w:sz="6" w:space="0" w:color="auto"/>
              <w:left w:val="outset" w:sz="6" w:space="0" w:color="auto"/>
              <w:bottom w:val="outset" w:sz="6" w:space="0" w:color="auto"/>
              <w:right w:val="outset" w:sz="6" w:space="0" w:color="auto"/>
            </w:tcBorders>
            <w:vAlign w:val="center"/>
            <w:hideMark/>
          </w:tcPr>
          <w:p w:rsidR="00B30CCA" w:rsidRPr="00A92A45" w:rsidRDefault="00B30CCA" w:rsidP="00B30CCA">
            <w:pPr>
              <w:spacing w:before="75" w:after="75" w:line="240" w:lineRule="auto"/>
              <w:jc w:val="center"/>
              <w:rPr>
                <w:rFonts w:eastAsia="Times New Roman"/>
                <w:lang w:eastAsia="lv-LV"/>
              </w:rPr>
            </w:pPr>
            <w:r w:rsidRPr="00A92A45">
              <w:rPr>
                <w:rFonts w:eastAsia="Times New Roman"/>
                <w:lang w:eastAsia="lv-LV"/>
              </w:rPr>
              <w:t> C</w:t>
            </w:r>
          </w:p>
        </w:tc>
      </w:tr>
      <w:tr w:rsidR="00B30CCA" w:rsidRPr="00A92A45" w:rsidTr="008A5948">
        <w:trPr>
          <w:trHeight w:val="688"/>
          <w:tblCellSpacing w:w="0" w:type="dxa"/>
        </w:trPr>
        <w:tc>
          <w:tcPr>
            <w:tcW w:w="4126" w:type="dxa"/>
            <w:gridSpan w:val="2"/>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Starptautiskās saistības (pēc būtības), kas izriet no norādītā starptautiskā dokumenta.</w:t>
            </w:r>
          </w:p>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lastRenderedPageBreak/>
              <w:t> </w:t>
            </w:r>
          </w:p>
          <w:p w:rsidR="00B30CCA" w:rsidRPr="00A92A45" w:rsidRDefault="00B30CCA" w:rsidP="00B30CCA">
            <w:pPr>
              <w:spacing w:before="75" w:after="75" w:line="240" w:lineRule="auto"/>
              <w:rPr>
                <w:rFonts w:eastAsia="Times New Roman"/>
                <w:lang w:eastAsia="lv-LV"/>
              </w:rPr>
            </w:pPr>
          </w:p>
        </w:tc>
        <w:tc>
          <w:tcPr>
            <w:tcW w:w="2835"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lastRenderedPageBreak/>
              <w:t xml:space="preserve"> Ja pasākumi vai uzdevumi, ar ko tiks izpildītas starptautiskās saistības, tiek noteikti projektā, norāda </w:t>
            </w:r>
            <w:r w:rsidRPr="00A92A45">
              <w:rPr>
                <w:rFonts w:eastAsia="Times New Roman"/>
                <w:lang w:eastAsia="lv-LV"/>
              </w:rPr>
              <w:lastRenderedPageBreak/>
              <w:t>attiecīgo projekta vienību.</w:t>
            </w:r>
          </w:p>
        </w:tc>
        <w:tc>
          <w:tcPr>
            <w:tcW w:w="2140"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lastRenderedPageBreak/>
              <w:t xml:space="preserve"> Informācija par to, vai starptautiskās saistības, kas minētas šīs tabulas A ailē, </w:t>
            </w:r>
            <w:r w:rsidRPr="00A92A45">
              <w:rPr>
                <w:rFonts w:eastAsia="Times New Roman"/>
                <w:lang w:eastAsia="lv-LV"/>
              </w:rPr>
              <w:lastRenderedPageBreak/>
              <w:t>tiek izpildītas pilnībā vai daļēji.</w:t>
            </w:r>
          </w:p>
          <w:p w:rsidR="00B30CCA" w:rsidRPr="00A92A45" w:rsidRDefault="00B30CCA" w:rsidP="00B30CCA">
            <w:pPr>
              <w:spacing w:before="75" w:after="75" w:line="240" w:lineRule="auto"/>
              <w:rPr>
                <w:rFonts w:eastAsia="Times New Roman"/>
                <w:lang w:eastAsia="lv-LV"/>
              </w:rPr>
            </w:pPr>
          </w:p>
        </w:tc>
      </w:tr>
      <w:tr w:rsidR="00445DEB" w:rsidRPr="00A92A45" w:rsidTr="008A5948">
        <w:trPr>
          <w:trHeight w:val="1425"/>
          <w:tblCellSpacing w:w="0" w:type="dxa"/>
        </w:trPr>
        <w:tc>
          <w:tcPr>
            <w:tcW w:w="4126" w:type="dxa"/>
            <w:gridSpan w:val="2"/>
            <w:tcBorders>
              <w:top w:val="outset" w:sz="6" w:space="0" w:color="auto"/>
              <w:left w:val="outset" w:sz="6" w:space="0" w:color="auto"/>
              <w:bottom w:val="outset" w:sz="6" w:space="0" w:color="auto"/>
              <w:right w:val="outset" w:sz="6" w:space="0" w:color="auto"/>
            </w:tcBorders>
            <w:hideMark/>
          </w:tcPr>
          <w:p w:rsidR="00CD1DB9" w:rsidRPr="00A92A45" w:rsidRDefault="00445DEB" w:rsidP="00CD1DB9">
            <w:pPr>
              <w:spacing w:before="75" w:after="75" w:line="240" w:lineRule="auto"/>
              <w:rPr>
                <w:rFonts w:eastAsia="Times New Roman"/>
                <w:lang w:eastAsia="lv-LV"/>
              </w:rPr>
            </w:pPr>
            <w:r w:rsidRPr="00A92A45">
              <w:rPr>
                <w:rFonts w:eastAsia="Times New Roman"/>
                <w:lang w:eastAsia="lv-LV"/>
              </w:rPr>
              <w:lastRenderedPageBreak/>
              <w:t>P</w:t>
            </w:r>
            <w:r w:rsidR="00CD1DB9" w:rsidRPr="00A92A45">
              <w:rPr>
                <w:rFonts w:eastAsia="Times New Roman"/>
                <w:lang w:eastAsia="lv-LV"/>
              </w:rPr>
              <w:t>rotokols uzliek Latvijai šādus pienākumus:</w:t>
            </w:r>
          </w:p>
          <w:p w:rsidR="00CD1DB9" w:rsidRPr="00A92A45" w:rsidRDefault="00CD1DB9" w:rsidP="00CD1DB9">
            <w:pPr>
              <w:spacing w:before="75" w:after="75" w:line="240" w:lineRule="auto"/>
              <w:rPr>
                <w:rFonts w:eastAsia="Times New Roman"/>
                <w:lang w:eastAsia="lv-LV"/>
              </w:rPr>
            </w:pPr>
            <w:r w:rsidRPr="00A92A45">
              <w:rPr>
                <w:rFonts w:eastAsia="Times New Roman"/>
                <w:lang w:eastAsia="lv-LV"/>
              </w:rPr>
              <w:t xml:space="preserve">1) </w:t>
            </w:r>
            <w:r w:rsidR="00445DEB" w:rsidRPr="00A92A45">
              <w:rPr>
                <w:rFonts w:eastAsia="Times New Roman"/>
                <w:lang w:eastAsia="lv-LV"/>
              </w:rPr>
              <w:t xml:space="preserve">pienākums </w:t>
            </w:r>
            <w:r w:rsidRPr="00A92A45">
              <w:rPr>
                <w:rFonts w:eastAsia="Times New Roman"/>
                <w:lang w:eastAsia="lv-LV"/>
              </w:rPr>
              <w:t xml:space="preserve">veikt attiecīgus pasākumus, lai Latvija pēc 2010.gada nepārsniegtu </w:t>
            </w:r>
            <w:r w:rsidR="00445DEB" w:rsidRPr="00A92A45">
              <w:rPr>
                <w:rFonts w:eastAsia="Times New Roman"/>
                <w:lang w:eastAsia="lv-LV"/>
              </w:rPr>
              <w:t xml:space="preserve">maksimāli pieļaujamo </w:t>
            </w:r>
            <w:r w:rsidR="00E03864" w:rsidRPr="00A92A45">
              <w:rPr>
                <w:rFonts w:eastAsia="Times New Roman"/>
                <w:lang w:eastAsia="lv-LV"/>
              </w:rPr>
              <w:t>gaisu piesārņojoš</w:t>
            </w:r>
            <w:r w:rsidR="006C509C">
              <w:rPr>
                <w:rFonts w:eastAsia="Times New Roman"/>
                <w:lang w:eastAsia="lv-LV"/>
              </w:rPr>
              <w:t xml:space="preserve">o </w:t>
            </w:r>
            <w:r w:rsidR="00E03864" w:rsidRPr="00A92A45">
              <w:rPr>
                <w:rFonts w:eastAsia="Times New Roman"/>
                <w:lang w:eastAsia="lv-LV"/>
              </w:rPr>
              <w:t xml:space="preserve">vielu </w:t>
            </w:r>
            <w:r w:rsidR="00445DEB" w:rsidRPr="00A92A45">
              <w:rPr>
                <w:rFonts w:eastAsia="Times New Roman"/>
                <w:lang w:eastAsia="lv-LV"/>
              </w:rPr>
              <w:t xml:space="preserve">emisiju </w:t>
            </w:r>
            <w:r w:rsidR="00E03864" w:rsidRPr="00A92A45">
              <w:rPr>
                <w:rFonts w:eastAsia="Times New Roman"/>
                <w:lang w:eastAsia="lv-LV"/>
              </w:rPr>
              <w:t>gaisā</w:t>
            </w:r>
            <w:r w:rsidR="00445DEB" w:rsidRPr="00A92A45">
              <w:rPr>
                <w:rFonts w:eastAsia="Times New Roman"/>
                <w:lang w:eastAsia="lv-LV"/>
              </w:rPr>
              <w:t xml:space="preserve"> </w:t>
            </w:r>
            <w:r w:rsidRPr="00A92A45">
              <w:rPr>
                <w:rFonts w:eastAsia="Times New Roman"/>
                <w:lang w:eastAsia="lv-LV"/>
              </w:rPr>
              <w:t xml:space="preserve">(protokola 3.pants un </w:t>
            </w:r>
            <w:proofErr w:type="spellStart"/>
            <w:r w:rsidRPr="00A92A45">
              <w:rPr>
                <w:rFonts w:eastAsia="Times New Roman"/>
                <w:lang w:eastAsia="lv-LV"/>
              </w:rPr>
              <w:t>II.pielikum</w:t>
            </w:r>
            <w:r w:rsidR="00260A3A" w:rsidRPr="00A92A45">
              <w:rPr>
                <w:rFonts w:eastAsia="Times New Roman"/>
                <w:lang w:eastAsia="lv-LV"/>
              </w:rPr>
              <w:t>s</w:t>
            </w:r>
            <w:proofErr w:type="spellEnd"/>
            <w:r w:rsidRPr="00A92A45">
              <w:rPr>
                <w:rFonts w:eastAsia="Times New Roman"/>
                <w:lang w:eastAsia="lv-LV"/>
              </w:rPr>
              <w:t>);</w:t>
            </w:r>
          </w:p>
          <w:p w:rsidR="00445DEB" w:rsidRPr="00A92A45" w:rsidRDefault="00CD1DB9" w:rsidP="00B30CCA">
            <w:pPr>
              <w:spacing w:before="75" w:after="75" w:line="240" w:lineRule="auto"/>
              <w:rPr>
                <w:rFonts w:eastAsia="Times New Roman"/>
                <w:highlight w:val="yellow"/>
                <w:lang w:eastAsia="lv-LV"/>
              </w:rPr>
            </w:pPr>
            <w:r w:rsidRPr="00A92A45">
              <w:rPr>
                <w:rFonts w:eastAsia="Times New Roman"/>
                <w:lang w:eastAsia="lv-LV"/>
              </w:rPr>
              <w:t>2)</w:t>
            </w:r>
            <w:r w:rsidR="00E878C4" w:rsidRPr="00A92A45">
              <w:rPr>
                <w:rFonts w:eastAsia="Times New Roman"/>
                <w:lang w:eastAsia="lv-LV"/>
              </w:rPr>
              <w:t xml:space="preserve"> pienākums</w:t>
            </w:r>
            <w:r w:rsidRPr="00A92A45">
              <w:rPr>
                <w:rFonts w:eastAsia="Times New Roman"/>
                <w:lang w:eastAsia="lv-LV"/>
              </w:rPr>
              <w:t xml:space="preserve"> noteikt prasības, kas jāievēro</w:t>
            </w:r>
            <w:r w:rsidR="00260A3A" w:rsidRPr="00A92A45">
              <w:rPr>
                <w:rFonts w:eastAsia="Times New Roman"/>
                <w:lang w:eastAsia="lv-LV"/>
              </w:rPr>
              <w:t xml:space="preserve"> sadedzināšanas </w:t>
            </w:r>
            <w:r w:rsidRPr="00A92A45">
              <w:rPr>
                <w:rFonts w:eastAsia="Times New Roman"/>
                <w:lang w:eastAsia="lv-LV"/>
              </w:rPr>
              <w:t>iekārtām</w:t>
            </w:r>
            <w:r w:rsidR="00260A3A" w:rsidRPr="00A92A45">
              <w:rPr>
                <w:rFonts w:eastAsia="Times New Roman"/>
                <w:lang w:eastAsia="lv-LV"/>
              </w:rPr>
              <w:t xml:space="preserve"> ar jaudu virs 50 MW</w:t>
            </w:r>
            <w:r w:rsidRPr="00A92A45">
              <w:rPr>
                <w:rFonts w:eastAsia="Times New Roman"/>
                <w:lang w:eastAsia="lv-LV"/>
              </w:rPr>
              <w:t xml:space="preserve">, lai samazinātu to radīto </w:t>
            </w:r>
            <w:r w:rsidR="00260A3A" w:rsidRPr="00A92A45">
              <w:rPr>
                <w:rFonts w:eastAsia="Times New Roman"/>
                <w:lang w:eastAsia="lv-LV"/>
              </w:rPr>
              <w:t>gaisa piesārņojumu</w:t>
            </w:r>
            <w:r w:rsidRPr="00A92A45">
              <w:rPr>
                <w:rFonts w:eastAsia="Times New Roman"/>
                <w:lang w:eastAsia="lv-LV"/>
              </w:rPr>
              <w:t xml:space="preserve"> (3.pants un </w:t>
            </w:r>
            <w:r w:rsidR="00260A3A" w:rsidRPr="00A92A45">
              <w:rPr>
                <w:rFonts w:eastAsia="Times New Roman"/>
                <w:lang w:eastAsia="lv-LV"/>
              </w:rPr>
              <w:t>IV un V</w:t>
            </w:r>
            <w:r w:rsidR="00E03864" w:rsidRPr="00A92A45">
              <w:rPr>
                <w:rFonts w:eastAsia="Times New Roman"/>
                <w:lang w:eastAsia="lv-LV"/>
              </w:rPr>
              <w:t xml:space="preserve"> </w:t>
            </w:r>
            <w:r w:rsidRPr="00A92A45">
              <w:rPr>
                <w:rFonts w:eastAsia="Times New Roman"/>
                <w:lang w:eastAsia="lv-LV"/>
              </w:rPr>
              <w:t>pielikums)</w:t>
            </w:r>
            <w:r w:rsidR="00305AD0" w:rsidRPr="00A92A45">
              <w:rPr>
                <w:rFonts w:eastAsia="Times New Roman"/>
                <w:lang w:eastAsia="lv-LV"/>
              </w:rPr>
              <w:t>.</w:t>
            </w:r>
          </w:p>
        </w:tc>
        <w:tc>
          <w:tcPr>
            <w:tcW w:w="2835" w:type="dxa"/>
            <w:tcBorders>
              <w:top w:val="outset" w:sz="6" w:space="0" w:color="auto"/>
              <w:left w:val="outset" w:sz="6" w:space="0" w:color="auto"/>
              <w:bottom w:val="outset" w:sz="6" w:space="0" w:color="auto"/>
              <w:right w:val="outset" w:sz="6" w:space="0" w:color="auto"/>
            </w:tcBorders>
            <w:hideMark/>
          </w:tcPr>
          <w:p w:rsidR="00445DEB" w:rsidRPr="00A92A45" w:rsidRDefault="006F4A20" w:rsidP="00B30CCA">
            <w:pPr>
              <w:spacing w:before="75" w:after="75" w:line="240" w:lineRule="auto"/>
              <w:rPr>
                <w:rFonts w:eastAsia="Times New Roman"/>
                <w:lang w:eastAsia="lv-LV"/>
              </w:rPr>
            </w:pPr>
            <w:r w:rsidRPr="00A92A45">
              <w:rPr>
                <w:rFonts w:eastAsia="Times New Roman"/>
                <w:lang w:eastAsia="lv-LV"/>
              </w:rPr>
              <w:t>Izstrādātais noteikumu projekts palīdz izpildīt protokolā noteiktos pienākumus</w:t>
            </w:r>
          </w:p>
        </w:tc>
        <w:tc>
          <w:tcPr>
            <w:tcW w:w="2140" w:type="dxa"/>
            <w:tcBorders>
              <w:top w:val="outset" w:sz="6" w:space="0" w:color="auto"/>
              <w:left w:val="outset" w:sz="6" w:space="0" w:color="auto"/>
              <w:bottom w:val="outset" w:sz="6" w:space="0" w:color="auto"/>
              <w:right w:val="outset" w:sz="6" w:space="0" w:color="auto"/>
            </w:tcBorders>
            <w:hideMark/>
          </w:tcPr>
          <w:p w:rsidR="00445DEB" w:rsidRPr="00A92A45" w:rsidRDefault="003A35D0" w:rsidP="00B30CCA">
            <w:pPr>
              <w:spacing w:before="75" w:after="75" w:line="240" w:lineRule="auto"/>
              <w:rPr>
                <w:rFonts w:eastAsia="Times New Roman"/>
                <w:lang w:eastAsia="lv-LV"/>
              </w:rPr>
            </w:pPr>
            <w:r w:rsidRPr="00A92A45">
              <w:rPr>
                <w:rFonts w:eastAsia="Times New Roman"/>
                <w:lang w:eastAsia="lv-LV"/>
              </w:rPr>
              <w:t>Saistības izpildītas pilnībā</w:t>
            </w:r>
          </w:p>
        </w:tc>
      </w:tr>
      <w:tr w:rsidR="00B30CCA" w:rsidRPr="00A92A45" w:rsidTr="008A5948">
        <w:trPr>
          <w:trHeight w:val="161"/>
          <w:tblCellSpacing w:w="0" w:type="dxa"/>
        </w:trPr>
        <w:tc>
          <w:tcPr>
            <w:tcW w:w="4126" w:type="dxa"/>
            <w:gridSpan w:val="2"/>
            <w:tcBorders>
              <w:top w:val="outset" w:sz="6" w:space="0" w:color="auto"/>
              <w:left w:val="outset" w:sz="6" w:space="0" w:color="auto"/>
              <w:bottom w:val="outset" w:sz="6" w:space="0" w:color="auto"/>
              <w:right w:val="outset" w:sz="6" w:space="0" w:color="auto"/>
            </w:tcBorders>
            <w:vAlign w:val="center"/>
            <w:hideMark/>
          </w:tcPr>
          <w:p w:rsidR="00B30CCA" w:rsidRPr="00A92A45" w:rsidRDefault="00B30CCA" w:rsidP="00B30CCA">
            <w:pPr>
              <w:spacing w:before="75" w:after="75" w:line="161" w:lineRule="atLeast"/>
              <w:rPr>
                <w:rFonts w:eastAsia="Times New Roman"/>
                <w:lang w:eastAsia="lv-LV"/>
              </w:rPr>
            </w:pPr>
            <w:r w:rsidRPr="00A92A45">
              <w:rPr>
                <w:rFonts w:eastAsia="Times New Roman"/>
                <w:lang w:eastAsia="lv-LV"/>
              </w:rPr>
              <w:t> Vai starptautiskajā dokumentā paredzētās saistības nav pretrunā ar jau esošajām Latvijas Republikas starptautiskajām saistībām</w:t>
            </w:r>
          </w:p>
        </w:tc>
        <w:tc>
          <w:tcPr>
            <w:tcW w:w="4975" w:type="dxa"/>
            <w:gridSpan w:val="2"/>
            <w:tcBorders>
              <w:top w:val="outset" w:sz="6" w:space="0" w:color="auto"/>
              <w:left w:val="outset" w:sz="6" w:space="0" w:color="auto"/>
              <w:bottom w:val="outset" w:sz="6" w:space="0" w:color="auto"/>
              <w:right w:val="outset" w:sz="6" w:space="0" w:color="auto"/>
            </w:tcBorders>
            <w:hideMark/>
          </w:tcPr>
          <w:p w:rsidR="00B30CCA" w:rsidRPr="00A92A45" w:rsidRDefault="00B30CCA" w:rsidP="003A35D0">
            <w:pPr>
              <w:spacing w:before="75" w:after="75" w:line="161" w:lineRule="atLeast"/>
              <w:rPr>
                <w:rFonts w:eastAsia="Times New Roman"/>
                <w:lang w:eastAsia="lv-LV"/>
              </w:rPr>
            </w:pPr>
            <w:r w:rsidRPr="00A92A45">
              <w:rPr>
                <w:rFonts w:eastAsia="Times New Roman"/>
                <w:lang w:eastAsia="lv-LV"/>
              </w:rPr>
              <w:t> </w:t>
            </w:r>
            <w:r w:rsidR="003A35D0" w:rsidRPr="00A92A45">
              <w:rPr>
                <w:rFonts w:eastAsia="Times New Roman"/>
                <w:lang w:eastAsia="lv-LV"/>
              </w:rPr>
              <w:t>Nav pretrunā</w:t>
            </w:r>
          </w:p>
        </w:tc>
      </w:tr>
      <w:tr w:rsidR="00B30CCA" w:rsidRPr="00A92A45" w:rsidTr="008A5948">
        <w:trPr>
          <w:trHeight w:val="709"/>
          <w:tblCellSpacing w:w="0" w:type="dxa"/>
        </w:trPr>
        <w:tc>
          <w:tcPr>
            <w:tcW w:w="4126" w:type="dxa"/>
            <w:gridSpan w:val="2"/>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Cita informācija</w:t>
            </w:r>
          </w:p>
        </w:tc>
        <w:tc>
          <w:tcPr>
            <w:tcW w:w="4975" w:type="dxa"/>
            <w:gridSpan w:val="2"/>
            <w:tcBorders>
              <w:top w:val="outset" w:sz="6" w:space="0" w:color="auto"/>
              <w:left w:val="outset" w:sz="6" w:space="0" w:color="auto"/>
              <w:bottom w:val="outset" w:sz="6" w:space="0" w:color="auto"/>
              <w:right w:val="outset" w:sz="6" w:space="0" w:color="auto"/>
            </w:tcBorders>
            <w:hideMark/>
          </w:tcPr>
          <w:p w:rsidR="00B30CCA" w:rsidRPr="00A92A45" w:rsidRDefault="00B30CCA" w:rsidP="00E878C4">
            <w:pPr>
              <w:spacing w:before="75" w:after="75" w:line="240" w:lineRule="auto"/>
              <w:rPr>
                <w:rFonts w:eastAsia="Times New Roman"/>
                <w:lang w:eastAsia="lv-LV"/>
              </w:rPr>
            </w:pPr>
            <w:r w:rsidRPr="00A92A45">
              <w:rPr>
                <w:rFonts w:eastAsia="Times New Roman"/>
                <w:lang w:eastAsia="lv-LV"/>
              </w:rPr>
              <w:t> </w:t>
            </w:r>
            <w:r w:rsidR="00E878C4" w:rsidRPr="00A92A45">
              <w:rPr>
                <w:rFonts w:eastAsia="Times New Roman"/>
                <w:lang w:eastAsia="lv-LV"/>
              </w:rPr>
              <w:t>Nav</w:t>
            </w:r>
          </w:p>
        </w:tc>
      </w:tr>
    </w:tbl>
    <w:p w:rsidR="00B30CCA" w:rsidRPr="004067CA" w:rsidRDefault="00B30CCA" w:rsidP="00B30CCA">
      <w:pPr>
        <w:spacing w:before="75" w:after="75" w:line="240" w:lineRule="auto"/>
        <w:jc w:val="center"/>
        <w:rPr>
          <w:rFonts w:eastAsia="Times New Roman"/>
          <w:sz w:val="28"/>
          <w:szCs w:val="28"/>
          <w:lang w:eastAsia="lv-LV"/>
        </w:rPr>
      </w:pPr>
      <w:r w:rsidRPr="004067CA">
        <w:rPr>
          <w:rFonts w:eastAsia="Times New Roman"/>
          <w:sz w:val="28"/>
          <w:szCs w:val="28"/>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1"/>
        <w:gridCol w:w="3873"/>
        <w:gridCol w:w="4727"/>
      </w:tblGrid>
      <w:tr w:rsidR="00B30CCA" w:rsidRPr="00A92A45" w:rsidTr="00B30CCA">
        <w:trPr>
          <w:tblCellSpacing w:w="0" w:type="dxa"/>
        </w:trPr>
        <w:tc>
          <w:tcPr>
            <w:tcW w:w="10410" w:type="dxa"/>
            <w:gridSpan w:val="3"/>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jc w:val="center"/>
              <w:rPr>
                <w:rFonts w:eastAsia="Times New Roman"/>
                <w:lang w:eastAsia="lv-LV"/>
              </w:rPr>
            </w:pPr>
            <w:r w:rsidRPr="00A92A45">
              <w:rPr>
                <w:rFonts w:eastAsia="Times New Roman"/>
                <w:b/>
                <w:bCs/>
                <w:lang w:eastAsia="lv-LV"/>
              </w:rPr>
              <w:t> VI. Sabiedrības līdzdalība un šīs līdzdalības rezultāti</w:t>
            </w:r>
          </w:p>
        </w:tc>
      </w:tr>
      <w:tr w:rsidR="00B30CCA" w:rsidRPr="00A92A45" w:rsidTr="00B30CCA">
        <w:trPr>
          <w:trHeight w:val="553"/>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1.</w:t>
            </w:r>
          </w:p>
        </w:tc>
        <w:tc>
          <w:tcPr>
            <w:tcW w:w="4485"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Sabiedrības informēšana par projekta izstrādes uzsākšanu</w:t>
            </w:r>
          </w:p>
        </w:tc>
        <w:tc>
          <w:tcPr>
            <w:tcW w:w="5355"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9441A">
            <w:pPr>
              <w:spacing w:before="75" w:after="75" w:line="240" w:lineRule="auto"/>
            </w:pPr>
            <w:r w:rsidRPr="00A92A45">
              <w:rPr>
                <w:rFonts w:eastAsia="Times New Roman"/>
                <w:lang w:eastAsia="lv-LV"/>
              </w:rPr>
              <w:t> </w:t>
            </w:r>
            <w:r w:rsidR="002D59D7" w:rsidRPr="00A92A45">
              <w:t xml:space="preserve">Noteikumu projekts </w:t>
            </w:r>
            <w:r w:rsidR="00B9441A">
              <w:t>27.09.2012.</w:t>
            </w:r>
            <w:r w:rsidR="00B9441A" w:rsidRPr="00A92A45">
              <w:t xml:space="preserve"> </w:t>
            </w:r>
            <w:r w:rsidR="0031501C" w:rsidRPr="00A92A45">
              <w:t xml:space="preserve">tika </w:t>
            </w:r>
            <w:r w:rsidR="002D59D7" w:rsidRPr="00A92A45">
              <w:t xml:space="preserve">ievietots Vides aizsardzības un reģionālās attīstības ministrijas </w:t>
            </w:r>
            <w:proofErr w:type="spellStart"/>
            <w:r w:rsidR="002D59D7" w:rsidRPr="00A92A45">
              <w:t>mājaslapā</w:t>
            </w:r>
            <w:proofErr w:type="spellEnd"/>
            <w:r w:rsidR="002D59D7" w:rsidRPr="00A92A45">
              <w:t xml:space="preserve"> internetā </w:t>
            </w:r>
            <w:hyperlink r:id="rId8" w:history="1">
              <w:r w:rsidR="002D59D7" w:rsidRPr="00A92A45">
                <w:rPr>
                  <w:rStyle w:val="Hyperlink"/>
                </w:rPr>
                <w:t>www.varam.gov.lv</w:t>
              </w:r>
            </w:hyperlink>
            <w:r w:rsidR="002D59D7" w:rsidRPr="00A92A45">
              <w:t xml:space="preserve">.    </w:t>
            </w:r>
          </w:p>
        </w:tc>
      </w:tr>
      <w:tr w:rsidR="00B30CCA" w:rsidRPr="00A92A45" w:rsidTr="00B30CCA">
        <w:trPr>
          <w:trHeight w:val="339"/>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2.</w:t>
            </w:r>
          </w:p>
        </w:tc>
        <w:tc>
          <w:tcPr>
            <w:tcW w:w="4485"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Sabiedrības līdzdalība projekta izstrādē</w:t>
            </w:r>
          </w:p>
        </w:tc>
        <w:tc>
          <w:tcPr>
            <w:tcW w:w="5355" w:type="dxa"/>
            <w:tcBorders>
              <w:top w:val="outset" w:sz="6" w:space="0" w:color="auto"/>
              <w:left w:val="outset" w:sz="6" w:space="0" w:color="auto"/>
              <w:bottom w:val="outset" w:sz="6" w:space="0" w:color="auto"/>
              <w:right w:val="outset" w:sz="6" w:space="0" w:color="auto"/>
            </w:tcBorders>
            <w:hideMark/>
          </w:tcPr>
          <w:p w:rsidR="00B30CCA" w:rsidRPr="00A92A45" w:rsidRDefault="00B30CCA" w:rsidP="0083718C">
            <w:pPr>
              <w:spacing w:after="0" w:line="240" w:lineRule="auto"/>
            </w:pPr>
            <w:r w:rsidRPr="00A92A45">
              <w:rPr>
                <w:rFonts w:eastAsia="Times New Roman"/>
                <w:lang w:eastAsia="lv-LV"/>
              </w:rPr>
              <w:t> </w:t>
            </w:r>
            <w:r w:rsidR="0083718C" w:rsidRPr="00A92A45">
              <w:t>Sabiedrība var sniegt komentārus par internetā ievietoto noteikumu projektu.</w:t>
            </w:r>
          </w:p>
        </w:tc>
      </w:tr>
      <w:tr w:rsidR="00B30CCA" w:rsidRPr="00A92A45" w:rsidTr="00B30CCA">
        <w:trPr>
          <w:trHeight w:val="375"/>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3.</w:t>
            </w:r>
          </w:p>
        </w:tc>
        <w:tc>
          <w:tcPr>
            <w:tcW w:w="4485"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Sabiedrības līdzdalības rezultāti</w:t>
            </w:r>
          </w:p>
        </w:tc>
        <w:tc>
          <w:tcPr>
            <w:tcW w:w="5355" w:type="dxa"/>
            <w:tcBorders>
              <w:top w:val="outset" w:sz="6" w:space="0" w:color="auto"/>
              <w:left w:val="outset" w:sz="6" w:space="0" w:color="auto"/>
              <w:bottom w:val="outset" w:sz="6" w:space="0" w:color="auto"/>
              <w:right w:val="outset" w:sz="6" w:space="0" w:color="auto"/>
            </w:tcBorders>
            <w:hideMark/>
          </w:tcPr>
          <w:p w:rsidR="00B30CCA" w:rsidRPr="00A92A45" w:rsidRDefault="00B30CCA" w:rsidP="00E65E73">
            <w:pPr>
              <w:spacing w:before="75" w:after="75" w:line="240" w:lineRule="auto"/>
              <w:rPr>
                <w:rFonts w:eastAsia="Times New Roman"/>
                <w:lang w:eastAsia="lv-LV"/>
              </w:rPr>
            </w:pPr>
            <w:r w:rsidRPr="00A92A45">
              <w:rPr>
                <w:rFonts w:eastAsia="Times New Roman"/>
                <w:lang w:eastAsia="lv-LV"/>
              </w:rPr>
              <w:t> </w:t>
            </w:r>
            <w:r w:rsidR="00E65E73">
              <w:rPr>
                <w:bCs/>
                <w:iCs/>
              </w:rPr>
              <w:t>Nav</w:t>
            </w:r>
          </w:p>
        </w:tc>
      </w:tr>
      <w:tr w:rsidR="00B30CCA" w:rsidRPr="00A92A45" w:rsidTr="00B30CCA">
        <w:trPr>
          <w:trHeight w:val="397"/>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4.</w:t>
            </w:r>
          </w:p>
        </w:tc>
        <w:tc>
          <w:tcPr>
            <w:tcW w:w="4485"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Saeimas un ekspertu līdzdalība</w:t>
            </w:r>
          </w:p>
        </w:tc>
        <w:tc>
          <w:tcPr>
            <w:tcW w:w="5355" w:type="dxa"/>
            <w:tcBorders>
              <w:top w:val="outset" w:sz="6" w:space="0" w:color="auto"/>
              <w:left w:val="outset" w:sz="6" w:space="0" w:color="auto"/>
              <w:bottom w:val="outset" w:sz="6" w:space="0" w:color="auto"/>
              <w:right w:val="outset" w:sz="6" w:space="0" w:color="auto"/>
            </w:tcBorders>
            <w:hideMark/>
          </w:tcPr>
          <w:p w:rsidR="00B30CCA" w:rsidRPr="00A92A45" w:rsidRDefault="00B30CCA" w:rsidP="004F7FE7">
            <w:pPr>
              <w:spacing w:before="75" w:after="75" w:line="240" w:lineRule="auto"/>
              <w:rPr>
                <w:rFonts w:eastAsia="Times New Roman"/>
                <w:lang w:eastAsia="lv-LV"/>
              </w:rPr>
            </w:pPr>
            <w:r w:rsidRPr="00A92A45">
              <w:rPr>
                <w:rFonts w:eastAsia="Times New Roman"/>
                <w:lang w:eastAsia="lv-LV"/>
              </w:rPr>
              <w:t> </w:t>
            </w:r>
            <w:r w:rsidR="004F7FE7" w:rsidRPr="00A92A45">
              <w:rPr>
                <w:rFonts w:eastAsia="Times New Roman"/>
                <w:lang w:eastAsia="lv-LV"/>
              </w:rPr>
              <w:t>Nav notikusi</w:t>
            </w:r>
          </w:p>
        </w:tc>
      </w:tr>
      <w:tr w:rsidR="00B30CCA" w:rsidRPr="00A92A45" w:rsidTr="00B30CCA">
        <w:trPr>
          <w:trHeight w:val="476"/>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5.</w:t>
            </w:r>
          </w:p>
        </w:tc>
        <w:tc>
          <w:tcPr>
            <w:tcW w:w="4485"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Cita informācija</w:t>
            </w:r>
          </w:p>
        </w:tc>
        <w:tc>
          <w:tcPr>
            <w:tcW w:w="5355" w:type="dxa"/>
            <w:tcBorders>
              <w:top w:val="outset" w:sz="6" w:space="0" w:color="auto"/>
              <w:left w:val="outset" w:sz="6" w:space="0" w:color="auto"/>
              <w:bottom w:val="outset" w:sz="6" w:space="0" w:color="auto"/>
              <w:right w:val="outset" w:sz="6" w:space="0" w:color="auto"/>
            </w:tcBorders>
            <w:hideMark/>
          </w:tcPr>
          <w:p w:rsidR="00B30CCA" w:rsidRPr="00A92A45" w:rsidRDefault="00B30CCA" w:rsidP="004F7FE7">
            <w:pPr>
              <w:spacing w:before="75" w:after="75" w:line="240" w:lineRule="auto"/>
              <w:rPr>
                <w:rFonts w:eastAsia="Times New Roman"/>
                <w:lang w:eastAsia="lv-LV"/>
              </w:rPr>
            </w:pPr>
            <w:r w:rsidRPr="00A92A45">
              <w:rPr>
                <w:rFonts w:eastAsia="Times New Roman"/>
                <w:lang w:eastAsia="lv-LV"/>
              </w:rPr>
              <w:t> </w:t>
            </w:r>
            <w:r w:rsidR="004F7FE7" w:rsidRPr="00A92A45">
              <w:rPr>
                <w:rFonts w:eastAsia="Times New Roman"/>
                <w:lang w:eastAsia="lv-LV"/>
              </w:rPr>
              <w:t>Nav</w:t>
            </w:r>
          </w:p>
        </w:tc>
      </w:tr>
    </w:tbl>
    <w:p w:rsidR="00B30CCA" w:rsidRPr="004067CA" w:rsidRDefault="00B30CCA" w:rsidP="00B30CCA">
      <w:pPr>
        <w:spacing w:before="75" w:after="75" w:line="240" w:lineRule="auto"/>
        <w:ind w:firstLine="375"/>
        <w:jc w:val="both"/>
        <w:rPr>
          <w:rFonts w:eastAsia="Times New Roman"/>
          <w:sz w:val="28"/>
          <w:szCs w:val="28"/>
          <w:lang w:eastAsia="lv-LV"/>
        </w:rPr>
      </w:pPr>
      <w:r w:rsidRPr="004067CA">
        <w:rPr>
          <w:rFonts w:eastAsia="Times New Roman"/>
          <w:sz w:val="28"/>
          <w:szCs w:val="28"/>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5"/>
        <w:gridCol w:w="3936"/>
        <w:gridCol w:w="4660"/>
      </w:tblGrid>
      <w:tr w:rsidR="00B30CCA" w:rsidRPr="00A92A45" w:rsidTr="008209FD">
        <w:trPr>
          <w:tblCellSpacing w:w="0" w:type="dxa"/>
        </w:trPr>
        <w:tc>
          <w:tcPr>
            <w:tcW w:w="9101" w:type="dxa"/>
            <w:gridSpan w:val="3"/>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jc w:val="center"/>
              <w:rPr>
                <w:rFonts w:eastAsia="Times New Roman"/>
                <w:lang w:eastAsia="lv-LV"/>
              </w:rPr>
            </w:pPr>
            <w:r w:rsidRPr="00A92A45">
              <w:rPr>
                <w:rFonts w:eastAsia="Times New Roman"/>
                <w:b/>
                <w:bCs/>
                <w:lang w:eastAsia="lv-LV"/>
              </w:rPr>
              <w:t> VII. Tiesību akta projekta izpildes nodrošināšana un tās ietekme uz institūcijām</w:t>
            </w:r>
          </w:p>
        </w:tc>
      </w:tr>
      <w:tr w:rsidR="00B30CCA" w:rsidRPr="00A92A45" w:rsidTr="008209FD">
        <w:trPr>
          <w:trHeight w:val="427"/>
          <w:tblCellSpacing w:w="0" w:type="dxa"/>
        </w:trPr>
        <w:tc>
          <w:tcPr>
            <w:tcW w:w="505"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1.</w:t>
            </w:r>
          </w:p>
        </w:tc>
        <w:tc>
          <w:tcPr>
            <w:tcW w:w="3936"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Projekta izpildē iesaistītās institūcijas</w:t>
            </w:r>
          </w:p>
        </w:tc>
        <w:tc>
          <w:tcPr>
            <w:tcW w:w="4660" w:type="dxa"/>
            <w:tcBorders>
              <w:top w:val="outset" w:sz="6" w:space="0" w:color="auto"/>
              <w:left w:val="outset" w:sz="6" w:space="0" w:color="auto"/>
              <w:bottom w:val="outset" w:sz="6" w:space="0" w:color="auto"/>
              <w:right w:val="outset" w:sz="6" w:space="0" w:color="auto"/>
            </w:tcBorders>
            <w:hideMark/>
          </w:tcPr>
          <w:p w:rsidR="00B30CCA" w:rsidRPr="00A92A45" w:rsidRDefault="00B30CCA" w:rsidP="00855E83">
            <w:pPr>
              <w:spacing w:before="75" w:after="75" w:line="240" w:lineRule="auto"/>
              <w:rPr>
                <w:rFonts w:eastAsia="Times New Roman"/>
                <w:lang w:eastAsia="lv-LV"/>
              </w:rPr>
            </w:pPr>
            <w:r w:rsidRPr="00A92A45">
              <w:rPr>
                <w:rFonts w:eastAsia="Times New Roman"/>
                <w:lang w:eastAsia="lv-LV"/>
              </w:rPr>
              <w:t> </w:t>
            </w:r>
            <w:r w:rsidR="006B507A" w:rsidRPr="00A92A45">
              <w:rPr>
                <w:rFonts w:eastAsia="Times New Roman"/>
                <w:lang w:eastAsia="lv-LV"/>
              </w:rPr>
              <w:t xml:space="preserve">Valsts Vides dienests, valsts </w:t>
            </w:r>
            <w:r w:rsidR="00855E83" w:rsidRPr="00A92A45">
              <w:rPr>
                <w:rFonts w:eastAsia="Times New Roman"/>
                <w:lang w:eastAsia="lv-LV"/>
              </w:rPr>
              <w:t>SIA</w:t>
            </w:r>
            <w:r w:rsidR="006B507A" w:rsidRPr="00A92A45">
              <w:rPr>
                <w:rFonts w:eastAsia="Times New Roman"/>
                <w:lang w:eastAsia="lv-LV"/>
              </w:rPr>
              <w:t xml:space="preserve"> „Latvijas Vides, ģeoloģijas un meteoroloģijas centrs”.</w:t>
            </w:r>
          </w:p>
        </w:tc>
      </w:tr>
      <w:tr w:rsidR="00B30CCA" w:rsidRPr="00A92A45" w:rsidTr="008209FD">
        <w:trPr>
          <w:trHeight w:val="463"/>
          <w:tblCellSpacing w:w="0" w:type="dxa"/>
        </w:trPr>
        <w:tc>
          <w:tcPr>
            <w:tcW w:w="505"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2.</w:t>
            </w:r>
          </w:p>
        </w:tc>
        <w:tc>
          <w:tcPr>
            <w:tcW w:w="3936"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Projekta izpildes ietekme uz pārvaldes funkcijām</w:t>
            </w:r>
          </w:p>
        </w:tc>
        <w:tc>
          <w:tcPr>
            <w:tcW w:w="4660" w:type="dxa"/>
            <w:tcBorders>
              <w:top w:val="outset" w:sz="6" w:space="0" w:color="auto"/>
              <w:left w:val="outset" w:sz="6" w:space="0" w:color="auto"/>
              <w:bottom w:val="outset" w:sz="6" w:space="0" w:color="auto"/>
              <w:right w:val="outset" w:sz="6" w:space="0" w:color="auto"/>
            </w:tcBorders>
            <w:hideMark/>
          </w:tcPr>
          <w:p w:rsidR="00B30CCA" w:rsidRPr="00A92A45" w:rsidRDefault="00B30CCA" w:rsidP="008875B0">
            <w:pPr>
              <w:spacing w:before="75" w:after="75" w:line="240" w:lineRule="auto"/>
              <w:rPr>
                <w:rFonts w:eastAsia="Times New Roman"/>
                <w:lang w:eastAsia="lv-LV"/>
              </w:rPr>
            </w:pPr>
            <w:r w:rsidRPr="00A92A45">
              <w:rPr>
                <w:rFonts w:eastAsia="Times New Roman"/>
                <w:lang w:eastAsia="lv-LV"/>
              </w:rPr>
              <w:t> </w:t>
            </w:r>
            <w:r w:rsidR="008875B0" w:rsidRPr="00A92A45">
              <w:rPr>
                <w:rFonts w:eastAsia="Times New Roman"/>
                <w:lang w:eastAsia="lv-LV"/>
              </w:rPr>
              <w:t xml:space="preserve">Noteiktās funkcijas </w:t>
            </w:r>
            <w:r w:rsidR="008C3C7C" w:rsidRPr="00A92A45">
              <w:rPr>
                <w:rFonts w:eastAsia="Times New Roman"/>
                <w:lang w:eastAsia="lv-LV"/>
              </w:rPr>
              <w:t xml:space="preserve">tiks </w:t>
            </w:r>
            <w:r w:rsidR="00A0434D" w:rsidRPr="00A92A45">
              <w:rPr>
                <w:rFonts w:eastAsia="Times New Roman"/>
                <w:lang w:eastAsia="lv-LV"/>
              </w:rPr>
              <w:t>veik</w:t>
            </w:r>
            <w:r w:rsidR="008C3C7C" w:rsidRPr="00A92A45">
              <w:rPr>
                <w:rFonts w:eastAsia="Times New Roman"/>
                <w:lang w:eastAsia="lv-LV"/>
              </w:rPr>
              <w:t>tas</w:t>
            </w:r>
            <w:r w:rsidR="00A0434D" w:rsidRPr="00A92A45">
              <w:rPr>
                <w:rFonts w:eastAsia="Times New Roman"/>
                <w:lang w:eastAsia="lv-LV"/>
              </w:rPr>
              <w:t xml:space="preserve"> esoš</w:t>
            </w:r>
            <w:r w:rsidR="008C3C7C" w:rsidRPr="00A92A45">
              <w:rPr>
                <w:rFonts w:eastAsia="Times New Roman"/>
                <w:lang w:eastAsia="lv-LV"/>
              </w:rPr>
              <w:t>o</w:t>
            </w:r>
            <w:r w:rsidR="00A0434D" w:rsidRPr="00A92A45">
              <w:rPr>
                <w:rFonts w:eastAsia="Times New Roman"/>
                <w:lang w:eastAsia="lv-LV"/>
              </w:rPr>
              <w:t xml:space="preserve"> institūcij</w:t>
            </w:r>
            <w:r w:rsidR="008C3C7C" w:rsidRPr="00A92A45">
              <w:rPr>
                <w:rFonts w:eastAsia="Times New Roman"/>
                <w:lang w:eastAsia="lv-LV"/>
              </w:rPr>
              <w:t>u ietvaros</w:t>
            </w:r>
            <w:r w:rsidR="00A0434D" w:rsidRPr="00A92A45">
              <w:rPr>
                <w:rFonts w:eastAsia="Times New Roman"/>
                <w:lang w:eastAsia="lv-LV"/>
              </w:rPr>
              <w:t>.</w:t>
            </w:r>
          </w:p>
        </w:tc>
      </w:tr>
      <w:tr w:rsidR="00B30CCA" w:rsidRPr="00A92A45" w:rsidTr="008209FD">
        <w:trPr>
          <w:trHeight w:val="725"/>
          <w:tblCellSpacing w:w="0" w:type="dxa"/>
        </w:trPr>
        <w:tc>
          <w:tcPr>
            <w:tcW w:w="505"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lastRenderedPageBreak/>
              <w:t> 3.</w:t>
            </w:r>
          </w:p>
        </w:tc>
        <w:tc>
          <w:tcPr>
            <w:tcW w:w="3936"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Projekta izpildes ietekme uz pārvaldes institucionālo struktūru.</w:t>
            </w:r>
          </w:p>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Jaunu institūciju izveide</w:t>
            </w:r>
          </w:p>
        </w:tc>
        <w:tc>
          <w:tcPr>
            <w:tcW w:w="4660" w:type="dxa"/>
            <w:tcBorders>
              <w:top w:val="outset" w:sz="6" w:space="0" w:color="auto"/>
              <w:left w:val="outset" w:sz="6" w:space="0" w:color="auto"/>
              <w:bottom w:val="outset" w:sz="6" w:space="0" w:color="auto"/>
              <w:right w:val="outset" w:sz="6" w:space="0" w:color="auto"/>
            </w:tcBorders>
            <w:hideMark/>
          </w:tcPr>
          <w:p w:rsidR="00B30CCA" w:rsidRPr="00A92A45" w:rsidRDefault="00B30CCA" w:rsidP="005E155D">
            <w:pPr>
              <w:spacing w:before="75" w:after="75" w:line="240" w:lineRule="auto"/>
              <w:rPr>
                <w:rFonts w:eastAsia="Times New Roman"/>
                <w:lang w:eastAsia="lv-LV"/>
              </w:rPr>
            </w:pPr>
            <w:r w:rsidRPr="00A92A45">
              <w:rPr>
                <w:rFonts w:eastAsia="Times New Roman"/>
                <w:lang w:eastAsia="lv-LV"/>
              </w:rPr>
              <w:t> </w:t>
            </w:r>
            <w:r w:rsidR="00E65E73" w:rsidRPr="00E65E73">
              <w:rPr>
                <w:bCs/>
                <w:iCs/>
              </w:rPr>
              <w:t>Projekts šo jomu neskar</w:t>
            </w:r>
          </w:p>
        </w:tc>
      </w:tr>
      <w:tr w:rsidR="00B30CCA" w:rsidRPr="00A92A45" w:rsidTr="008209FD">
        <w:trPr>
          <w:trHeight w:val="780"/>
          <w:tblCellSpacing w:w="0" w:type="dxa"/>
        </w:trPr>
        <w:tc>
          <w:tcPr>
            <w:tcW w:w="505"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4.</w:t>
            </w:r>
          </w:p>
        </w:tc>
        <w:tc>
          <w:tcPr>
            <w:tcW w:w="3936"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Projekta izpildes ietekme uz pārvaldes institucionālo struktūru.</w:t>
            </w:r>
          </w:p>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Esošu institūciju likvidācija</w:t>
            </w:r>
          </w:p>
        </w:tc>
        <w:tc>
          <w:tcPr>
            <w:tcW w:w="4660" w:type="dxa"/>
            <w:tcBorders>
              <w:top w:val="outset" w:sz="6" w:space="0" w:color="auto"/>
              <w:left w:val="outset" w:sz="6" w:space="0" w:color="auto"/>
              <w:bottom w:val="outset" w:sz="6" w:space="0" w:color="auto"/>
              <w:right w:val="outset" w:sz="6" w:space="0" w:color="auto"/>
            </w:tcBorders>
            <w:hideMark/>
          </w:tcPr>
          <w:p w:rsidR="00B30CCA" w:rsidRPr="00A92A45" w:rsidRDefault="00B30CCA" w:rsidP="005E155D">
            <w:pPr>
              <w:spacing w:before="75" w:after="75" w:line="240" w:lineRule="auto"/>
              <w:rPr>
                <w:rFonts w:eastAsia="Times New Roman"/>
                <w:lang w:eastAsia="lv-LV"/>
              </w:rPr>
            </w:pPr>
            <w:r w:rsidRPr="00A92A45">
              <w:rPr>
                <w:rFonts w:eastAsia="Times New Roman"/>
                <w:lang w:eastAsia="lv-LV"/>
              </w:rPr>
              <w:t> </w:t>
            </w:r>
            <w:r w:rsidR="00E65E73" w:rsidRPr="00E65E73">
              <w:rPr>
                <w:bCs/>
                <w:iCs/>
              </w:rPr>
              <w:t>Projekts šo jomu neskar</w:t>
            </w:r>
          </w:p>
        </w:tc>
      </w:tr>
      <w:tr w:rsidR="00B30CCA" w:rsidRPr="00A92A45" w:rsidTr="008209FD">
        <w:trPr>
          <w:trHeight w:val="703"/>
          <w:tblCellSpacing w:w="0" w:type="dxa"/>
        </w:trPr>
        <w:tc>
          <w:tcPr>
            <w:tcW w:w="505"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5.</w:t>
            </w:r>
          </w:p>
        </w:tc>
        <w:tc>
          <w:tcPr>
            <w:tcW w:w="3936"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Projekta izpildes ietekme uz pārvaldes institucionālo struktūru.</w:t>
            </w:r>
          </w:p>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Esošu institūciju reorganizācija</w:t>
            </w:r>
          </w:p>
        </w:tc>
        <w:tc>
          <w:tcPr>
            <w:tcW w:w="4660" w:type="dxa"/>
            <w:tcBorders>
              <w:top w:val="outset" w:sz="6" w:space="0" w:color="auto"/>
              <w:left w:val="outset" w:sz="6" w:space="0" w:color="auto"/>
              <w:bottom w:val="outset" w:sz="6" w:space="0" w:color="auto"/>
              <w:right w:val="outset" w:sz="6" w:space="0" w:color="auto"/>
            </w:tcBorders>
            <w:hideMark/>
          </w:tcPr>
          <w:p w:rsidR="00B30CCA" w:rsidRPr="00A92A45" w:rsidRDefault="00B30CCA" w:rsidP="005E155D">
            <w:pPr>
              <w:spacing w:before="75" w:after="75" w:line="240" w:lineRule="auto"/>
              <w:rPr>
                <w:rFonts w:eastAsia="Times New Roman"/>
                <w:lang w:eastAsia="lv-LV"/>
              </w:rPr>
            </w:pPr>
            <w:r w:rsidRPr="00A92A45">
              <w:rPr>
                <w:rFonts w:eastAsia="Times New Roman"/>
                <w:lang w:eastAsia="lv-LV"/>
              </w:rPr>
              <w:t> </w:t>
            </w:r>
            <w:r w:rsidR="00E65E73" w:rsidRPr="00E65E73">
              <w:rPr>
                <w:bCs/>
                <w:iCs/>
              </w:rPr>
              <w:t>Projekts šo jomu neskar</w:t>
            </w:r>
          </w:p>
        </w:tc>
      </w:tr>
      <w:tr w:rsidR="00B30CCA" w:rsidRPr="00A92A45" w:rsidTr="008209FD">
        <w:trPr>
          <w:trHeight w:val="476"/>
          <w:tblCellSpacing w:w="0" w:type="dxa"/>
        </w:trPr>
        <w:tc>
          <w:tcPr>
            <w:tcW w:w="505"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6.</w:t>
            </w:r>
          </w:p>
        </w:tc>
        <w:tc>
          <w:tcPr>
            <w:tcW w:w="3936" w:type="dxa"/>
            <w:tcBorders>
              <w:top w:val="outset" w:sz="6" w:space="0" w:color="auto"/>
              <w:left w:val="outset" w:sz="6" w:space="0" w:color="auto"/>
              <w:bottom w:val="outset" w:sz="6" w:space="0" w:color="auto"/>
              <w:right w:val="outset" w:sz="6" w:space="0" w:color="auto"/>
            </w:tcBorders>
            <w:hideMark/>
          </w:tcPr>
          <w:p w:rsidR="00B30CCA" w:rsidRPr="00A92A45" w:rsidRDefault="00B30CCA" w:rsidP="00B30CCA">
            <w:pPr>
              <w:spacing w:before="75" w:after="75" w:line="240" w:lineRule="auto"/>
              <w:rPr>
                <w:rFonts w:eastAsia="Times New Roman"/>
                <w:lang w:eastAsia="lv-LV"/>
              </w:rPr>
            </w:pPr>
            <w:r w:rsidRPr="00A92A45">
              <w:rPr>
                <w:rFonts w:eastAsia="Times New Roman"/>
                <w:lang w:eastAsia="lv-LV"/>
              </w:rPr>
              <w:t> Cita informācija</w:t>
            </w:r>
          </w:p>
        </w:tc>
        <w:tc>
          <w:tcPr>
            <w:tcW w:w="4660" w:type="dxa"/>
            <w:tcBorders>
              <w:top w:val="outset" w:sz="6" w:space="0" w:color="auto"/>
              <w:left w:val="outset" w:sz="6" w:space="0" w:color="auto"/>
              <w:bottom w:val="outset" w:sz="6" w:space="0" w:color="auto"/>
              <w:right w:val="outset" w:sz="6" w:space="0" w:color="auto"/>
            </w:tcBorders>
            <w:hideMark/>
          </w:tcPr>
          <w:p w:rsidR="00B30CCA" w:rsidRPr="00A92A45" w:rsidRDefault="00B30CCA" w:rsidP="005E155D">
            <w:pPr>
              <w:spacing w:before="75" w:after="75" w:line="240" w:lineRule="auto"/>
              <w:rPr>
                <w:rFonts w:eastAsia="Times New Roman"/>
                <w:lang w:eastAsia="lv-LV"/>
              </w:rPr>
            </w:pPr>
            <w:r w:rsidRPr="00A92A45">
              <w:rPr>
                <w:rFonts w:eastAsia="Times New Roman"/>
                <w:lang w:eastAsia="lv-LV"/>
              </w:rPr>
              <w:t> </w:t>
            </w:r>
            <w:r w:rsidR="005E155D" w:rsidRPr="00A92A45">
              <w:rPr>
                <w:rFonts w:eastAsia="Times New Roman"/>
                <w:lang w:eastAsia="lv-LV"/>
              </w:rPr>
              <w:t>Nav</w:t>
            </w:r>
          </w:p>
        </w:tc>
      </w:tr>
    </w:tbl>
    <w:p w:rsidR="003B4D12" w:rsidRPr="004067CA" w:rsidRDefault="008209FD" w:rsidP="00615686">
      <w:pPr>
        <w:spacing w:before="75" w:after="75" w:line="240" w:lineRule="auto"/>
        <w:rPr>
          <w:sz w:val="28"/>
          <w:szCs w:val="28"/>
        </w:rPr>
      </w:pPr>
      <w:r w:rsidRPr="004067CA">
        <w:rPr>
          <w:sz w:val="28"/>
          <w:szCs w:val="28"/>
        </w:rPr>
        <w:t xml:space="preserve">Anotācijas III </w:t>
      </w:r>
      <w:r w:rsidRPr="001C19A8">
        <w:rPr>
          <w:sz w:val="28"/>
          <w:szCs w:val="28"/>
        </w:rPr>
        <w:t xml:space="preserve">sadaļa – </w:t>
      </w:r>
      <w:r w:rsidR="001C19A8" w:rsidRPr="001C19A8">
        <w:rPr>
          <w:bCs/>
          <w:iCs/>
          <w:sz w:val="28"/>
          <w:szCs w:val="28"/>
        </w:rPr>
        <w:t>Projekts šo jomu neskar</w:t>
      </w:r>
      <w:r w:rsidRPr="001C19A8">
        <w:rPr>
          <w:sz w:val="28"/>
          <w:szCs w:val="28"/>
        </w:rPr>
        <w:t>.</w:t>
      </w:r>
    </w:p>
    <w:p w:rsidR="00615686" w:rsidRDefault="00615686" w:rsidP="00C56546">
      <w:pPr>
        <w:pStyle w:val="BodyTextIndent3"/>
        <w:spacing w:after="0"/>
        <w:ind w:left="0" w:firstLine="720"/>
        <w:rPr>
          <w:sz w:val="28"/>
          <w:szCs w:val="28"/>
          <w:lang w:val="lv-LV"/>
        </w:rPr>
      </w:pPr>
    </w:p>
    <w:p w:rsidR="00C37C34" w:rsidRPr="004067CA" w:rsidRDefault="00C37C34" w:rsidP="00C56546">
      <w:pPr>
        <w:pStyle w:val="BodyTextIndent3"/>
        <w:spacing w:after="0"/>
        <w:ind w:left="0" w:firstLine="720"/>
        <w:rPr>
          <w:sz w:val="28"/>
          <w:szCs w:val="28"/>
          <w:lang w:val="lv-LV"/>
        </w:rPr>
      </w:pPr>
      <w:r w:rsidRPr="004067CA">
        <w:rPr>
          <w:sz w:val="28"/>
          <w:szCs w:val="28"/>
          <w:lang w:val="lv-LV"/>
        </w:rPr>
        <w:t>Iesniedzējs:</w:t>
      </w:r>
    </w:p>
    <w:p w:rsidR="00C56546" w:rsidRPr="004D0A02" w:rsidRDefault="00C56546" w:rsidP="004D0A02">
      <w:pPr>
        <w:pStyle w:val="BodyTextIndent3"/>
        <w:spacing w:after="0"/>
        <w:ind w:left="0" w:firstLine="720"/>
        <w:rPr>
          <w:sz w:val="28"/>
          <w:szCs w:val="28"/>
          <w:lang w:val="lv-LV"/>
        </w:rPr>
      </w:pPr>
      <w:r w:rsidRPr="004067CA">
        <w:rPr>
          <w:sz w:val="28"/>
          <w:szCs w:val="28"/>
          <w:lang w:val="lv-LV"/>
        </w:rPr>
        <w:t>Vides aizsardzības un reģionālās attīstības ministrs</w:t>
      </w:r>
      <w:r w:rsidRPr="004067CA">
        <w:rPr>
          <w:sz w:val="28"/>
          <w:szCs w:val="28"/>
          <w:lang w:val="lv-LV"/>
        </w:rPr>
        <w:tab/>
      </w:r>
      <w:r w:rsidRPr="004067CA">
        <w:rPr>
          <w:sz w:val="28"/>
          <w:szCs w:val="28"/>
          <w:lang w:val="lv-LV"/>
        </w:rPr>
        <w:tab/>
      </w:r>
      <w:r w:rsidRPr="004067CA">
        <w:rPr>
          <w:sz w:val="28"/>
          <w:szCs w:val="28"/>
          <w:lang w:val="lv-LV"/>
        </w:rPr>
        <w:tab/>
      </w:r>
      <w:proofErr w:type="spellStart"/>
      <w:r w:rsidRPr="004067CA">
        <w:rPr>
          <w:sz w:val="28"/>
          <w:szCs w:val="28"/>
          <w:lang w:val="lv-LV"/>
        </w:rPr>
        <w:t>E.Sprūdžs</w:t>
      </w:r>
      <w:proofErr w:type="spellEnd"/>
      <w:r w:rsidRPr="004067CA">
        <w:rPr>
          <w:sz w:val="28"/>
          <w:szCs w:val="28"/>
          <w:lang w:val="lv-LV"/>
        </w:rPr>
        <w:tab/>
      </w:r>
    </w:p>
    <w:p w:rsidR="00C37C34" w:rsidRPr="004067CA" w:rsidRDefault="00C56546" w:rsidP="00C37C34">
      <w:pPr>
        <w:tabs>
          <w:tab w:val="left" w:pos="0"/>
        </w:tabs>
        <w:spacing w:after="0" w:line="240" w:lineRule="auto"/>
        <w:jc w:val="both"/>
        <w:rPr>
          <w:sz w:val="28"/>
          <w:szCs w:val="28"/>
        </w:rPr>
      </w:pPr>
      <w:r w:rsidRPr="004067CA">
        <w:rPr>
          <w:sz w:val="28"/>
          <w:szCs w:val="28"/>
        </w:rPr>
        <w:tab/>
        <w:t xml:space="preserve">Vīza: </w:t>
      </w:r>
    </w:p>
    <w:p w:rsidR="005E155D" w:rsidRPr="00A92A45" w:rsidRDefault="00C37C34" w:rsidP="00A92A45">
      <w:pPr>
        <w:tabs>
          <w:tab w:val="left" w:pos="0"/>
        </w:tabs>
        <w:spacing w:after="0" w:line="240" w:lineRule="auto"/>
        <w:jc w:val="both"/>
        <w:rPr>
          <w:sz w:val="28"/>
          <w:szCs w:val="28"/>
        </w:rPr>
      </w:pPr>
      <w:r w:rsidRPr="004067CA">
        <w:rPr>
          <w:sz w:val="28"/>
          <w:szCs w:val="28"/>
        </w:rPr>
        <w:tab/>
      </w:r>
      <w:r w:rsidR="00C56546" w:rsidRPr="004067CA">
        <w:rPr>
          <w:sz w:val="28"/>
          <w:szCs w:val="28"/>
        </w:rPr>
        <w:t>Valsts sekretārs</w:t>
      </w:r>
      <w:r w:rsidR="00C56546" w:rsidRPr="004067CA">
        <w:rPr>
          <w:sz w:val="28"/>
          <w:szCs w:val="28"/>
        </w:rPr>
        <w:tab/>
      </w:r>
      <w:r w:rsidR="00C56546" w:rsidRPr="004067CA">
        <w:rPr>
          <w:sz w:val="28"/>
          <w:szCs w:val="28"/>
        </w:rPr>
        <w:tab/>
      </w:r>
      <w:r w:rsidR="00C56546" w:rsidRPr="004067CA">
        <w:rPr>
          <w:sz w:val="28"/>
          <w:szCs w:val="28"/>
        </w:rPr>
        <w:tab/>
      </w:r>
      <w:r w:rsidR="00C56546" w:rsidRPr="004067CA">
        <w:rPr>
          <w:sz w:val="28"/>
          <w:szCs w:val="28"/>
        </w:rPr>
        <w:tab/>
      </w:r>
      <w:r w:rsidR="00C56546" w:rsidRPr="004067CA">
        <w:rPr>
          <w:sz w:val="28"/>
          <w:szCs w:val="28"/>
        </w:rPr>
        <w:tab/>
      </w:r>
      <w:r w:rsidR="00C56546" w:rsidRPr="004067CA">
        <w:rPr>
          <w:sz w:val="28"/>
          <w:szCs w:val="28"/>
        </w:rPr>
        <w:tab/>
      </w:r>
      <w:r w:rsidR="00C56546" w:rsidRPr="004067CA">
        <w:rPr>
          <w:sz w:val="28"/>
          <w:szCs w:val="28"/>
        </w:rPr>
        <w:tab/>
      </w:r>
      <w:proofErr w:type="spellStart"/>
      <w:r w:rsidRPr="004067CA">
        <w:rPr>
          <w:sz w:val="28"/>
          <w:szCs w:val="28"/>
        </w:rPr>
        <w:t>A.Antonovs</w:t>
      </w:r>
      <w:proofErr w:type="spellEnd"/>
    </w:p>
    <w:p w:rsidR="005E155D" w:rsidRDefault="005E155D"/>
    <w:p w:rsidR="00F14BB8" w:rsidRDefault="00A4662B" w:rsidP="005E155D">
      <w:pPr>
        <w:spacing w:after="0" w:line="240" w:lineRule="auto"/>
      </w:pPr>
      <w:r>
        <w:t>15</w:t>
      </w:r>
      <w:r w:rsidR="00E16C82">
        <w:t>.0</w:t>
      </w:r>
      <w:r>
        <w:t>2</w:t>
      </w:r>
      <w:r w:rsidR="00E16C82">
        <w:t>.2013</w:t>
      </w:r>
      <w:r w:rsidR="00F14BB8">
        <w:t xml:space="preserve"> 13:23</w:t>
      </w:r>
    </w:p>
    <w:p w:rsidR="005E155D" w:rsidRPr="006A5BF3" w:rsidRDefault="00496F06" w:rsidP="005E155D">
      <w:pPr>
        <w:spacing w:after="0" w:line="240" w:lineRule="auto"/>
        <w:rPr>
          <w:sz w:val="22"/>
          <w:szCs w:val="22"/>
        </w:rPr>
      </w:pPr>
      <w:fldSimple w:instr=" NUMWORDS  \* Arabic  \* MERGEFORMAT ">
        <w:r w:rsidR="00F131A4" w:rsidRPr="00F131A4">
          <w:rPr>
            <w:noProof/>
            <w:sz w:val="22"/>
            <w:szCs w:val="22"/>
          </w:rPr>
          <w:t>3556</w:t>
        </w:r>
      </w:fldSimple>
    </w:p>
    <w:p w:rsidR="005E155D" w:rsidRPr="006A5BF3" w:rsidRDefault="005E155D" w:rsidP="005E155D">
      <w:pPr>
        <w:spacing w:after="0" w:line="240" w:lineRule="auto"/>
        <w:rPr>
          <w:sz w:val="22"/>
          <w:szCs w:val="22"/>
        </w:rPr>
      </w:pPr>
      <w:r w:rsidRPr="006A5BF3">
        <w:rPr>
          <w:sz w:val="22"/>
          <w:szCs w:val="22"/>
        </w:rPr>
        <w:t xml:space="preserve">L.Maslova </w:t>
      </w:r>
    </w:p>
    <w:p w:rsidR="005E155D" w:rsidRPr="004D0A02" w:rsidRDefault="005E155D" w:rsidP="004D0A02">
      <w:pPr>
        <w:spacing w:after="0" w:line="240" w:lineRule="auto"/>
        <w:rPr>
          <w:sz w:val="22"/>
          <w:szCs w:val="22"/>
        </w:rPr>
      </w:pPr>
      <w:smartTag w:uri="schemas-tilde-lv/tildestengine" w:element="phone">
        <w:smartTagPr>
          <w:attr w:name="phone_number" w:val="7026586"/>
          <w:attr w:name="phone_prefix" w:val="6"/>
        </w:smartTagPr>
        <w:r w:rsidRPr="006A5BF3">
          <w:rPr>
            <w:sz w:val="22"/>
            <w:szCs w:val="22"/>
          </w:rPr>
          <w:t>67026586</w:t>
        </w:r>
      </w:smartTag>
      <w:r w:rsidRPr="006A5BF3">
        <w:rPr>
          <w:sz w:val="22"/>
          <w:szCs w:val="22"/>
        </w:rPr>
        <w:t>, lana.maslova@v</w:t>
      </w:r>
      <w:r>
        <w:rPr>
          <w:sz w:val="22"/>
          <w:szCs w:val="22"/>
        </w:rPr>
        <w:t>aram</w:t>
      </w:r>
      <w:r w:rsidRPr="006A5BF3">
        <w:rPr>
          <w:sz w:val="22"/>
          <w:szCs w:val="22"/>
        </w:rPr>
        <w:t>.gov.lv</w:t>
      </w:r>
    </w:p>
    <w:sectPr w:rsidR="005E155D" w:rsidRPr="004D0A02" w:rsidSect="00C3644B">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60D" w:rsidRDefault="00C4460D" w:rsidP="004163D3">
      <w:pPr>
        <w:spacing w:after="0" w:line="240" w:lineRule="auto"/>
      </w:pPr>
      <w:r>
        <w:separator/>
      </w:r>
    </w:p>
  </w:endnote>
  <w:endnote w:type="continuationSeparator" w:id="0">
    <w:p w:rsidR="00C4460D" w:rsidRDefault="00C4460D" w:rsidP="00416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C6" w:rsidRPr="002129E1" w:rsidRDefault="00690AC6" w:rsidP="002129E1">
    <w:pPr>
      <w:spacing w:after="0" w:line="240" w:lineRule="auto"/>
      <w:jc w:val="both"/>
    </w:pPr>
    <w:r w:rsidRPr="002129E1">
      <w:t>VARAMAnot_</w:t>
    </w:r>
    <w:r w:rsidR="00BB0691">
      <w:t>1502</w:t>
    </w:r>
    <w:r>
      <w:t>13</w:t>
    </w:r>
    <w:r w:rsidRPr="002129E1">
      <w:t>_</w:t>
    </w:r>
    <w:r>
      <w:t xml:space="preserve">LSI; </w:t>
    </w:r>
    <w:r w:rsidRPr="002129E1">
      <w:t>Noteikumu projekta „</w:t>
    </w:r>
    <w:r w:rsidRPr="002129E1">
      <w:rPr>
        <w:bCs/>
      </w:rPr>
      <w:t xml:space="preserve">Kārtība, kādā novēršama, ierobežojama un kontrolējama gaisu piesārņojošo vielu emisija no sadedzināšanas iekārtām” </w:t>
    </w:r>
    <w:r w:rsidRPr="002129E1">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C6" w:rsidRPr="000C59A9" w:rsidRDefault="00690AC6" w:rsidP="000C59A9">
    <w:pPr>
      <w:spacing w:after="0" w:line="240" w:lineRule="auto"/>
      <w:jc w:val="both"/>
    </w:pPr>
    <w:r w:rsidRPr="002129E1">
      <w:t>VARAMAnot_</w:t>
    </w:r>
    <w:r w:rsidR="00BB0691">
      <w:t>1502</w:t>
    </w:r>
    <w:r>
      <w:t>13</w:t>
    </w:r>
    <w:r w:rsidRPr="002129E1">
      <w:t>_</w:t>
    </w:r>
    <w:r>
      <w:t xml:space="preserve">LSI; </w:t>
    </w:r>
    <w:r w:rsidRPr="002129E1">
      <w:t>Noteikumu projekta „</w:t>
    </w:r>
    <w:r w:rsidRPr="002129E1">
      <w:rPr>
        <w:bCs/>
      </w:rPr>
      <w:t xml:space="preserve">Kārtība, kādā novēršama, ierobežojama un kontrolējama gaisu piesārņojošo vielu emisija no sadedzināšanas iekārtām” </w:t>
    </w:r>
    <w:r w:rsidRPr="002129E1">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60D" w:rsidRDefault="00C4460D" w:rsidP="004163D3">
      <w:pPr>
        <w:spacing w:after="0" w:line="240" w:lineRule="auto"/>
      </w:pPr>
      <w:r>
        <w:separator/>
      </w:r>
    </w:p>
  </w:footnote>
  <w:footnote w:type="continuationSeparator" w:id="0">
    <w:p w:rsidR="00C4460D" w:rsidRDefault="00C4460D" w:rsidP="004163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6221"/>
      <w:docPartObj>
        <w:docPartGallery w:val="Page Numbers (Top of Page)"/>
        <w:docPartUnique/>
      </w:docPartObj>
    </w:sdtPr>
    <w:sdtContent>
      <w:p w:rsidR="00690AC6" w:rsidRDefault="00496F06">
        <w:pPr>
          <w:pStyle w:val="Header"/>
          <w:jc w:val="center"/>
        </w:pPr>
        <w:fldSimple w:instr=" PAGE   \* MERGEFORMAT ">
          <w:r w:rsidR="00F131A4">
            <w:rPr>
              <w:noProof/>
            </w:rPr>
            <w:t>16</w:t>
          </w:r>
        </w:fldSimple>
      </w:p>
    </w:sdtContent>
  </w:sdt>
  <w:p w:rsidR="00690AC6" w:rsidRDefault="00690A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2A0"/>
    <w:multiLevelType w:val="hybridMultilevel"/>
    <w:tmpl w:val="1E4A6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84E4D"/>
    <w:multiLevelType w:val="hybridMultilevel"/>
    <w:tmpl w:val="4D88F038"/>
    <w:lvl w:ilvl="0" w:tplc="D4EACEF0">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nsid w:val="170E2FDD"/>
    <w:multiLevelType w:val="hybridMultilevel"/>
    <w:tmpl w:val="63924B00"/>
    <w:lvl w:ilvl="0" w:tplc="12D85B8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0516C1"/>
    <w:multiLevelType w:val="hybridMultilevel"/>
    <w:tmpl w:val="D250BF56"/>
    <w:lvl w:ilvl="0" w:tplc="AB1A9D36">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9307E"/>
    <w:multiLevelType w:val="hybridMultilevel"/>
    <w:tmpl w:val="015447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C650CF"/>
    <w:multiLevelType w:val="hybridMultilevel"/>
    <w:tmpl w:val="8BBE98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892870"/>
    <w:multiLevelType w:val="hybridMultilevel"/>
    <w:tmpl w:val="693E10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365C9"/>
    <w:multiLevelType w:val="hybridMultilevel"/>
    <w:tmpl w:val="D8C80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7674F5"/>
    <w:multiLevelType w:val="hybridMultilevel"/>
    <w:tmpl w:val="0E30C590"/>
    <w:lvl w:ilvl="0" w:tplc="EAFC84BE">
      <w:start w:val="1"/>
      <w:numFmt w:val="decimal"/>
      <w:lvlText w:val="%1)"/>
      <w:lvlJc w:val="left"/>
      <w:pPr>
        <w:ind w:left="1072" w:hanging="675"/>
      </w:pPr>
      <w:rPr>
        <w:rFonts w:eastAsia="Times New Roman"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9">
    <w:nsid w:val="47C47B78"/>
    <w:multiLevelType w:val="hybridMultilevel"/>
    <w:tmpl w:val="0D0E1038"/>
    <w:lvl w:ilvl="0" w:tplc="D4EACEF0">
      <w:start w:val="1"/>
      <w:numFmt w:val="decimal"/>
      <w:lvlText w:val="%1)"/>
      <w:lvlJc w:val="left"/>
      <w:pPr>
        <w:ind w:left="643" w:hanging="360"/>
      </w:pPr>
      <w:rPr>
        <w:rFonts w:hint="default"/>
      </w:rPr>
    </w:lvl>
    <w:lvl w:ilvl="1" w:tplc="04090019" w:tentative="1">
      <w:start w:val="1"/>
      <w:numFmt w:val="lowerLetter"/>
      <w:lvlText w:val="%2."/>
      <w:lvlJc w:val="left"/>
      <w:pPr>
        <w:ind w:left="1326" w:hanging="360"/>
      </w:p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10">
    <w:nsid w:val="4E1011C9"/>
    <w:multiLevelType w:val="hybridMultilevel"/>
    <w:tmpl w:val="16A62ED0"/>
    <w:lvl w:ilvl="0" w:tplc="32E84A06">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3E6DC0"/>
    <w:multiLevelType w:val="hybridMultilevel"/>
    <w:tmpl w:val="6EFA0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0D737B"/>
    <w:multiLevelType w:val="hybridMultilevel"/>
    <w:tmpl w:val="693E10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F904A6"/>
    <w:multiLevelType w:val="hybridMultilevel"/>
    <w:tmpl w:val="325C46C4"/>
    <w:lvl w:ilvl="0" w:tplc="573020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F46C05"/>
    <w:multiLevelType w:val="hybridMultilevel"/>
    <w:tmpl w:val="BA246E3C"/>
    <w:lvl w:ilvl="0" w:tplc="D4EACEF0">
      <w:start w:val="1"/>
      <w:numFmt w:val="decimal"/>
      <w:lvlText w:val="%1)"/>
      <w:lvlJc w:val="left"/>
      <w:pPr>
        <w:ind w:left="1154"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5">
    <w:nsid w:val="6DF05ACA"/>
    <w:multiLevelType w:val="hybridMultilevel"/>
    <w:tmpl w:val="4E44D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C2DEC"/>
    <w:multiLevelType w:val="hybridMultilevel"/>
    <w:tmpl w:val="6E58B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1E694E"/>
    <w:multiLevelType w:val="hybridMultilevel"/>
    <w:tmpl w:val="0650ADB6"/>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6D4D56"/>
    <w:multiLevelType w:val="hybridMultilevel"/>
    <w:tmpl w:val="7132298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16"/>
  </w:num>
  <w:num w:numId="4">
    <w:abstractNumId w:val="4"/>
  </w:num>
  <w:num w:numId="5">
    <w:abstractNumId w:val="17"/>
  </w:num>
  <w:num w:numId="6">
    <w:abstractNumId w:val="13"/>
  </w:num>
  <w:num w:numId="7">
    <w:abstractNumId w:val="2"/>
  </w:num>
  <w:num w:numId="8">
    <w:abstractNumId w:val="18"/>
  </w:num>
  <w:num w:numId="9">
    <w:abstractNumId w:val="1"/>
  </w:num>
  <w:num w:numId="10">
    <w:abstractNumId w:val="14"/>
  </w:num>
  <w:num w:numId="11">
    <w:abstractNumId w:val="9"/>
  </w:num>
  <w:num w:numId="12">
    <w:abstractNumId w:val="10"/>
  </w:num>
  <w:num w:numId="13">
    <w:abstractNumId w:val="3"/>
  </w:num>
  <w:num w:numId="14">
    <w:abstractNumId w:val="6"/>
  </w:num>
  <w:num w:numId="15">
    <w:abstractNumId w:val="8"/>
  </w:num>
  <w:num w:numId="16">
    <w:abstractNumId w:val="5"/>
  </w:num>
  <w:num w:numId="17">
    <w:abstractNumId w:val="0"/>
  </w:num>
  <w:num w:numId="18">
    <w:abstractNumId w:val="1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30CCA"/>
    <w:rsid w:val="000051B2"/>
    <w:rsid w:val="00005E3F"/>
    <w:rsid w:val="00010D6C"/>
    <w:rsid w:val="000130F4"/>
    <w:rsid w:val="00015C66"/>
    <w:rsid w:val="0001797C"/>
    <w:rsid w:val="00021015"/>
    <w:rsid w:val="00022BC0"/>
    <w:rsid w:val="00023227"/>
    <w:rsid w:val="00025633"/>
    <w:rsid w:val="00025D46"/>
    <w:rsid w:val="00031FCA"/>
    <w:rsid w:val="000327EF"/>
    <w:rsid w:val="000376B9"/>
    <w:rsid w:val="00037BC5"/>
    <w:rsid w:val="00041192"/>
    <w:rsid w:val="00041D62"/>
    <w:rsid w:val="0004446E"/>
    <w:rsid w:val="00046443"/>
    <w:rsid w:val="0004670A"/>
    <w:rsid w:val="000522AB"/>
    <w:rsid w:val="00053445"/>
    <w:rsid w:val="00053B7F"/>
    <w:rsid w:val="000567A3"/>
    <w:rsid w:val="00057E99"/>
    <w:rsid w:val="0006293C"/>
    <w:rsid w:val="00062C97"/>
    <w:rsid w:val="00062CBB"/>
    <w:rsid w:val="00064B8D"/>
    <w:rsid w:val="000654A4"/>
    <w:rsid w:val="00066188"/>
    <w:rsid w:val="0006689B"/>
    <w:rsid w:val="00066BEB"/>
    <w:rsid w:val="00070DB2"/>
    <w:rsid w:val="00077270"/>
    <w:rsid w:val="00077B73"/>
    <w:rsid w:val="0008094D"/>
    <w:rsid w:val="0009108F"/>
    <w:rsid w:val="000960C2"/>
    <w:rsid w:val="0009720D"/>
    <w:rsid w:val="000A1681"/>
    <w:rsid w:val="000A5996"/>
    <w:rsid w:val="000A616E"/>
    <w:rsid w:val="000A629A"/>
    <w:rsid w:val="000B2FE7"/>
    <w:rsid w:val="000B37AD"/>
    <w:rsid w:val="000B5D61"/>
    <w:rsid w:val="000B73BF"/>
    <w:rsid w:val="000C01C2"/>
    <w:rsid w:val="000C03B2"/>
    <w:rsid w:val="000C107A"/>
    <w:rsid w:val="000C59A9"/>
    <w:rsid w:val="000C7A32"/>
    <w:rsid w:val="000D3F4A"/>
    <w:rsid w:val="000D6EBE"/>
    <w:rsid w:val="000E2CAC"/>
    <w:rsid w:val="000F27C4"/>
    <w:rsid w:val="000F79FA"/>
    <w:rsid w:val="001007BD"/>
    <w:rsid w:val="00103181"/>
    <w:rsid w:val="00105620"/>
    <w:rsid w:val="00105F8F"/>
    <w:rsid w:val="00106003"/>
    <w:rsid w:val="0010642D"/>
    <w:rsid w:val="00106B80"/>
    <w:rsid w:val="00106CFD"/>
    <w:rsid w:val="001075DF"/>
    <w:rsid w:val="0010790E"/>
    <w:rsid w:val="00110B98"/>
    <w:rsid w:val="0011103E"/>
    <w:rsid w:val="00111202"/>
    <w:rsid w:val="00114577"/>
    <w:rsid w:val="00115FFE"/>
    <w:rsid w:val="00122B68"/>
    <w:rsid w:val="00126575"/>
    <w:rsid w:val="00132A78"/>
    <w:rsid w:val="00134C27"/>
    <w:rsid w:val="00140C21"/>
    <w:rsid w:val="00140C6D"/>
    <w:rsid w:val="0014385A"/>
    <w:rsid w:val="00145088"/>
    <w:rsid w:val="0015005F"/>
    <w:rsid w:val="001528FD"/>
    <w:rsid w:val="00153DB9"/>
    <w:rsid w:val="00154CF4"/>
    <w:rsid w:val="00157BE3"/>
    <w:rsid w:val="00161BC8"/>
    <w:rsid w:val="00166332"/>
    <w:rsid w:val="00167337"/>
    <w:rsid w:val="001734ED"/>
    <w:rsid w:val="0017356A"/>
    <w:rsid w:val="00176966"/>
    <w:rsid w:val="00177949"/>
    <w:rsid w:val="00181694"/>
    <w:rsid w:val="00183BE3"/>
    <w:rsid w:val="00186E95"/>
    <w:rsid w:val="001874D6"/>
    <w:rsid w:val="001876D6"/>
    <w:rsid w:val="00195966"/>
    <w:rsid w:val="001A127C"/>
    <w:rsid w:val="001A1582"/>
    <w:rsid w:val="001A1BF7"/>
    <w:rsid w:val="001A6A6A"/>
    <w:rsid w:val="001B0CD8"/>
    <w:rsid w:val="001B29D8"/>
    <w:rsid w:val="001B5AB6"/>
    <w:rsid w:val="001B6419"/>
    <w:rsid w:val="001B6A26"/>
    <w:rsid w:val="001B6A60"/>
    <w:rsid w:val="001B6B0A"/>
    <w:rsid w:val="001C19A8"/>
    <w:rsid w:val="001C377E"/>
    <w:rsid w:val="001C467C"/>
    <w:rsid w:val="001D122E"/>
    <w:rsid w:val="001D13D2"/>
    <w:rsid w:val="001D6C0C"/>
    <w:rsid w:val="001E35F1"/>
    <w:rsid w:val="001E6A01"/>
    <w:rsid w:val="001E6AF9"/>
    <w:rsid w:val="001F0A7D"/>
    <w:rsid w:val="001F277B"/>
    <w:rsid w:val="001F2BC7"/>
    <w:rsid w:val="001F2E90"/>
    <w:rsid w:val="001F34A8"/>
    <w:rsid w:val="001F7B41"/>
    <w:rsid w:val="001F7BF8"/>
    <w:rsid w:val="001F7FF4"/>
    <w:rsid w:val="00201350"/>
    <w:rsid w:val="00203804"/>
    <w:rsid w:val="00205716"/>
    <w:rsid w:val="002062FC"/>
    <w:rsid w:val="0021034A"/>
    <w:rsid w:val="002129E1"/>
    <w:rsid w:val="002138F4"/>
    <w:rsid w:val="00214313"/>
    <w:rsid w:val="002218AD"/>
    <w:rsid w:val="00221F94"/>
    <w:rsid w:val="00222AAA"/>
    <w:rsid w:val="00225B03"/>
    <w:rsid w:val="00226CDB"/>
    <w:rsid w:val="00231380"/>
    <w:rsid w:val="00233C13"/>
    <w:rsid w:val="002351D9"/>
    <w:rsid w:val="00236B29"/>
    <w:rsid w:val="00237DB7"/>
    <w:rsid w:val="00243D15"/>
    <w:rsid w:val="00245FE9"/>
    <w:rsid w:val="00247339"/>
    <w:rsid w:val="002478F1"/>
    <w:rsid w:val="00250A9E"/>
    <w:rsid w:val="00252B1A"/>
    <w:rsid w:val="0025565F"/>
    <w:rsid w:val="0025618C"/>
    <w:rsid w:val="00260A3A"/>
    <w:rsid w:val="0026140D"/>
    <w:rsid w:val="002614B6"/>
    <w:rsid w:val="00261B36"/>
    <w:rsid w:val="0026210C"/>
    <w:rsid w:val="00262572"/>
    <w:rsid w:val="002636BB"/>
    <w:rsid w:val="002666C7"/>
    <w:rsid w:val="002714C8"/>
    <w:rsid w:val="002757BF"/>
    <w:rsid w:val="00276454"/>
    <w:rsid w:val="002777C5"/>
    <w:rsid w:val="00277C74"/>
    <w:rsid w:val="002821B7"/>
    <w:rsid w:val="00283C73"/>
    <w:rsid w:val="0028450F"/>
    <w:rsid w:val="002873C7"/>
    <w:rsid w:val="0029117E"/>
    <w:rsid w:val="0029149B"/>
    <w:rsid w:val="00292CDB"/>
    <w:rsid w:val="00294FA0"/>
    <w:rsid w:val="0029541E"/>
    <w:rsid w:val="00295C80"/>
    <w:rsid w:val="002A227D"/>
    <w:rsid w:val="002A2F35"/>
    <w:rsid w:val="002A7FB9"/>
    <w:rsid w:val="002B0577"/>
    <w:rsid w:val="002B2602"/>
    <w:rsid w:val="002B74A2"/>
    <w:rsid w:val="002C26EF"/>
    <w:rsid w:val="002C3993"/>
    <w:rsid w:val="002C4FD5"/>
    <w:rsid w:val="002C5EEB"/>
    <w:rsid w:val="002D2ECA"/>
    <w:rsid w:val="002D59D7"/>
    <w:rsid w:val="002D69B4"/>
    <w:rsid w:val="002E1C9A"/>
    <w:rsid w:val="002E6C07"/>
    <w:rsid w:val="002F0D18"/>
    <w:rsid w:val="002F123E"/>
    <w:rsid w:val="002F2B9C"/>
    <w:rsid w:val="002F2CCC"/>
    <w:rsid w:val="002F2EF6"/>
    <w:rsid w:val="002F4814"/>
    <w:rsid w:val="002F6AB3"/>
    <w:rsid w:val="00300737"/>
    <w:rsid w:val="00305ACE"/>
    <w:rsid w:val="00305AD0"/>
    <w:rsid w:val="0031438E"/>
    <w:rsid w:val="0031449C"/>
    <w:rsid w:val="0031501C"/>
    <w:rsid w:val="00315AC9"/>
    <w:rsid w:val="00316E56"/>
    <w:rsid w:val="00317B53"/>
    <w:rsid w:val="003200F0"/>
    <w:rsid w:val="00323BF6"/>
    <w:rsid w:val="00323EC6"/>
    <w:rsid w:val="00337CA7"/>
    <w:rsid w:val="0034014D"/>
    <w:rsid w:val="00342D82"/>
    <w:rsid w:val="00343238"/>
    <w:rsid w:val="00344D89"/>
    <w:rsid w:val="003455F7"/>
    <w:rsid w:val="00354499"/>
    <w:rsid w:val="003550E6"/>
    <w:rsid w:val="00360497"/>
    <w:rsid w:val="0036164A"/>
    <w:rsid w:val="00361B89"/>
    <w:rsid w:val="0036610B"/>
    <w:rsid w:val="00371633"/>
    <w:rsid w:val="00375028"/>
    <w:rsid w:val="003766AF"/>
    <w:rsid w:val="003810A8"/>
    <w:rsid w:val="00381FA7"/>
    <w:rsid w:val="00382BB1"/>
    <w:rsid w:val="0038610A"/>
    <w:rsid w:val="003874E1"/>
    <w:rsid w:val="00387696"/>
    <w:rsid w:val="003921D9"/>
    <w:rsid w:val="00395BDF"/>
    <w:rsid w:val="003A189D"/>
    <w:rsid w:val="003A275F"/>
    <w:rsid w:val="003A35D0"/>
    <w:rsid w:val="003A4DC5"/>
    <w:rsid w:val="003A61B2"/>
    <w:rsid w:val="003B35F3"/>
    <w:rsid w:val="003B3A38"/>
    <w:rsid w:val="003B42AF"/>
    <w:rsid w:val="003B4D12"/>
    <w:rsid w:val="003C6C4B"/>
    <w:rsid w:val="003D25E3"/>
    <w:rsid w:val="003D7532"/>
    <w:rsid w:val="003E3BAC"/>
    <w:rsid w:val="003E4569"/>
    <w:rsid w:val="003E48DC"/>
    <w:rsid w:val="003E6F7B"/>
    <w:rsid w:val="003E7B7B"/>
    <w:rsid w:val="003F63FA"/>
    <w:rsid w:val="003F75C4"/>
    <w:rsid w:val="004006A0"/>
    <w:rsid w:val="00400A3A"/>
    <w:rsid w:val="00400C72"/>
    <w:rsid w:val="0040154A"/>
    <w:rsid w:val="00402311"/>
    <w:rsid w:val="00402C14"/>
    <w:rsid w:val="00403726"/>
    <w:rsid w:val="00404398"/>
    <w:rsid w:val="00406170"/>
    <w:rsid w:val="004067CA"/>
    <w:rsid w:val="0041005B"/>
    <w:rsid w:val="004109D0"/>
    <w:rsid w:val="00411E04"/>
    <w:rsid w:val="004163D3"/>
    <w:rsid w:val="004212F8"/>
    <w:rsid w:val="004259FB"/>
    <w:rsid w:val="00425E36"/>
    <w:rsid w:val="00432783"/>
    <w:rsid w:val="00436D5B"/>
    <w:rsid w:val="004412DD"/>
    <w:rsid w:val="004447EF"/>
    <w:rsid w:val="00444C05"/>
    <w:rsid w:val="00444DDE"/>
    <w:rsid w:val="004452C4"/>
    <w:rsid w:val="00445DEB"/>
    <w:rsid w:val="004524D8"/>
    <w:rsid w:val="00452B92"/>
    <w:rsid w:val="00456B32"/>
    <w:rsid w:val="00457D50"/>
    <w:rsid w:val="00460D15"/>
    <w:rsid w:val="0046550B"/>
    <w:rsid w:val="00466431"/>
    <w:rsid w:val="00467844"/>
    <w:rsid w:val="00470E7E"/>
    <w:rsid w:val="00471A70"/>
    <w:rsid w:val="00480674"/>
    <w:rsid w:val="004848DB"/>
    <w:rsid w:val="00485B16"/>
    <w:rsid w:val="00487C68"/>
    <w:rsid w:val="00496F06"/>
    <w:rsid w:val="004A2A8E"/>
    <w:rsid w:val="004A30EB"/>
    <w:rsid w:val="004A6E7A"/>
    <w:rsid w:val="004B0EA7"/>
    <w:rsid w:val="004B1470"/>
    <w:rsid w:val="004B258C"/>
    <w:rsid w:val="004B59DA"/>
    <w:rsid w:val="004B7F6E"/>
    <w:rsid w:val="004C15B8"/>
    <w:rsid w:val="004C62AF"/>
    <w:rsid w:val="004C6A11"/>
    <w:rsid w:val="004C74FA"/>
    <w:rsid w:val="004D0A02"/>
    <w:rsid w:val="004D17F6"/>
    <w:rsid w:val="004D291C"/>
    <w:rsid w:val="004D2A0F"/>
    <w:rsid w:val="004D3099"/>
    <w:rsid w:val="004D3201"/>
    <w:rsid w:val="004D3899"/>
    <w:rsid w:val="004D3D0C"/>
    <w:rsid w:val="004D5CD7"/>
    <w:rsid w:val="004D5E2E"/>
    <w:rsid w:val="004E0371"/>
    <w:rsid w:val="004E1730"/>
    <w:rsid w:val="004E28C5"/>
    <w:rsid w:val="004E7340"/>
    <w:rsid w:val="004F2880"/>
    <w:rsid w:val="004F7FE7"/>
    <w:rsid w:val="00504B46"/>
    <w:rsid w:val="005103D6"/>
    <w:rsid w:val="00511B92"/>
    <w:rsid w:val="00515D59"/>
    <w:rsid w:val="00515D5B"/>
    <w:rsid w:val="00516850"/>
    <w:rsid w:val="00526AE9"/>
    <w:rsid w:val="00526BA1"/>
    <w:rsid w:val="005322A2"/>
    <w:rsid w:val="00533DA9"/>
    <w:rsid w:val="00536C7D"/>
    <w:rsid w:val="00536E1D"/>
    <w:rsid w:val="0054016E"/>
    <w:rsid w:val="005429BC"/>
    <w:rsid w:val="005444B1"/>
    <w:rsid w:val="00547497"/>
    <w:rsid w:val="005525F5"/>
    <w:rsid w:val="0055331F"/>
    <w:rsid w:val="00553F22"/>
    <w:rsid w:val="00556EE9"/>
    <w:rsid w:val="005606CE"/>
    <w:rsid w:val="005653AB"/>
    <w:rsid w:val="005662BB"/>
    <w:rsid w:val="00571696"/>
    <w:rsid w:val="00572DAB"/>
    <w:rsid w:val="00573715"/>
    <w:rsid w:val="0057538E"/>
    <w:rsid w:val="00582E5B"/>
    <w:rsid w:val="00583CF0"/>
    <w:rsid w:val="00586814"/>
    <w:rsid w:val="0058686D"/>
    <w:rsid w:val="00591F75"/>
    <w:rsid w:val="0059206D"/>
    <w:rsid w:val="005932F2"/>
    <w:rsid w:val="005936C1"/>
    <w:rsid w:val="00594611"/>
    <w:rsid w:val="00594D7D"/>
    <w:rsid w:val="005A3A5D"/>
    <w:rsid w:val="005A6296"/>
    <w:rsid w:val="005A718F"/>
    <w:rsid w:val="005B1F96"/>
    <w:rsid w:val="005B2612"/>
    <w:rsid w:val="005B4A40"/>
    <w:rsid w:val="005B5E2A"/>
    <w:rsid w:val="005C15F0"/>
    <w:rsid w:val="005D2F73"/>
    <w:rsid w:val="005D537D"/>
    <w:rsid w:val="005D7E65"/>
    <w:rsid w:val="005E155D"/>
    <w:rsid w:val="005E1AF6"/>
    <w:rsid w:val="005E2485"/>
    <w:rsid w:val="005E5CC6"/>
    <w:rsid w:val="005E6F48"/>
    <w:rsid w:val="00602E2A"/>
    <w:rsid w:val="00604B76"/>
    <w:rsid w:val="00606DF7"/>
    <w:rsid w:val="00615686"/>
    <w:rsid w:val="00616FBB"/>
    <w:rsid w:val="00620DDB"/>
    <w:rsid w:val="00630096"/>
    <w:rsid w:val="00630421"/>
    <w:rsid w:val="00630C5F"/>
    <w:rsid w:val="006318F0"/>
    <w:rsid w:val="006319DA"/>
    <w:rsid w:val="00633352"/>
    <w:rsid w:val="0063675A"/>
    <w:rsid w:val="00637D84"/>
    <w:rsid w:val="00641C87"/>
    <w:rsid w:val="00644C9D"/>
    <w:rsid w:val="00646FEC"/>
    <w:rsid w:val="00647C69"/>
    <w:rsid w:val="006520BE"/>
    <w:rsid w:val="00660FF7"/>
    <w:rsid w:val="006629D2"/>
    <w:rsid w:val="006647BD"/>
    <w:rsid w:val="00671C47"/>
    <w:rsid w:val="006756F9"/>
    <w:rsid w:val="0067758F"/>
    <w:rsid w:val="00682A33"/>
    <w:rsid w:val="00682B21"/>
    <w:rsid w:val="00682F66"/>
    <w:rsid w:val="00683452"/>
    <w:rsid w:val="00690AC6"/>
    <w:rsid w:val="00690C37"/>
    <w:rsid w:val="006914EE"/>
    <w:rsid w:val="00696577"/>
    <w:rsid w:val="006A0CDA"/>
    <w:rsid w:val="006A0F7C"/>
    <w:rsid w:val="006A3C67"/>
    <w:rsid w:val="006A54DE"/>
    <w:rsid w:val="006A59F9"/>
    <w:rsid w:val="006B507A"/>
    <w:rsid w:val="006B551D"/>
    <w:rsid w:val="006B6441"/>
    <w:rsid w:val="006C0B76"/>
    <w:rsid w:val="006C2FDC"/>
    <w:rsid w:val="006C31AD"/>
    <w:rsid w:val="006C509C"/>
    <w:rsid w:val="006C54AE"/>
    <w:rsid w:val="006D4E87"/>
    <w:rsid w:val="006D5C6C"/>
    <w:rsid w:val="006E1B24"/>
    <w:rsid w:val="006E250E"/>
    <w:rsid w:val="006E27FB"/>
    <w:rsid w:val="006E49DB"/>
    <w:rsid w:val="006E595C"/>
    <w:rsid w:val="006E74FA"/>
    <w:rsid w:val="006F2872"/>
    <w:rsid w:val="006F4A20"/>
    <w:rsid w:val="006F50F6"/>
    <w:rsid w:val="006F5B55"/>
    <w:rsid w:val="006F6E78"/>
    <w:rsid w:val="007003A9"/>
    <w:rsid w:val="00703F15"/>
    <w:rsid w:val="007058D3"/>
    <w:rsid w:val="0070628C"/>
    <w:rsid w:val="007066A0"/>
    <w:rsid w:val="00711FDF"/>
    <w:rsid w:val="0071461D"/>
    <w:rsid w:val="007154EC"/>
    <w:rsid w:val="00715AD7"/>
    <w:rsid w:val="007168E6"/>
    <w:rsid w:val="00716916"/>
    <w:rsid w:val="00721521"/>
    <w:rsid w:val="00722E10"/>
    <w:rsid w:val="00730BD1"/>
    <w:rsid w:val="0073130B"/>
    <w:rsid w:val="0073158E"/>
    <w:rsid w:val="00731AEB"/>
    <w:rsid w:val="00732BB6"/>
    <w:rsid w:val="00733355"/>
    <w:rsid w:val="007351C9"/>
    <w:rsid w:val="0074370C"/>
    <w:rsid w:val="00745776"/>
    <w:rsid w:val="00745F6C"/>
    <w:rsid w:val="0074608E"/>
    <w:rsid w:val="00747AAD"/>
    <w:rsid w:val="00753118"/>
    <w:rsid w:val="00753525"/>
    <w:rsid w:val="007567A9"/>
    <w:rsid w:val="00756C8C"/>
    <w:rsid w:val="00757495"/>
    <w:rsid w:val="0076359C"/>
    <w:rsid w:val="007649BC"/>
    <w:rsid w:val="00764A41"/>
    <w:rsid w:val="00770CCB"/>
    <w:rsid w:val="00770F72"/>
    <w:rsid w:val="0077553A"/>
    <w:rsid w:val="00776908"/>
    <w:rsid w:val="0077743D"/>
    <w:rsid w:val="0078033A"/>
    <w:rsid w:val="007814FB"/>
    <w:rsid w:val="00782C26"/>
    <w:rsid w:val="00786E4F"/>
    <w:rsid w:val="007911F1"/>
    <w:rsid w:val="007939D2"/>
    <w:rsid w:val="00793B4C"/>
    <w:rsid w:val="00795D9D"/>
    <w:rsid w:val="007A1333"/>
    <w:rsid w:val="007A2AEB"/>
    <w:rsid w:val="007A2D9F"/>
    <w:rsid w:val="007A535E"/>
    <w:rsid w:val="007B4B0C"/>
    <w:rsid w:val="007B6561"/>
    <w:rsid w:val="007B76DE"/>
    <w:rsid w:val="007B78A4"/>
    <w:rsid w:val="007C7107"/>
    <w:rsid w:val="007C78FB"/>
    <w:rsid w:val="007D0936"/>
    <w:rsid w:val="007D1D84"/>
    <w:rsid w:val="007D6DB1"/>
    <w:rsid w:val="007E00E7"/>
    <w:rsid w:val="007E0A4C"/>
    <w:rsid w:val="007F4C0F"/>
    <w:rsid w:val="007F4FB5"/>
    <w:rsid w:val="008019EC"/>
    <w:rsid w:val="00810340"/>
    <w:rsid w:val="00810CD3"/>
    <w:rsid w:val="00812946"/>
    <w:rsid w:val="008141F4"/>
    <w:rsid w:val="00816BD9"/>
    <w:rsid w:val="00817DBD"/>
    <w:rsid w:val="0082042A"/>
    <w:rsid w:val="00820786"/>
    <w:rsid w:val="008209FD"/>
    <w:rsid w:val="008217FC"/>
    <w:rsid w:val="00826D7C"/>
    <w:rsid w:val="00826F46"/>
    <w:rsid w:val="008309D0"/>
    <w:rsid w:val="008325E4"/>
    <w:rsid w:val="008332F0"/>
    <w:rsid w:val="0083718C"/>
    <w:rsid w:val="008407F5"/>
    <w:rsid w:val="008418EE"/>
    <w:rsid w:val="00843540"/>
    <w:rsid w:val="00843CFC"/>
    <w:rsid w:val="00844837"/>
    <w:rsid w:val="00844DF0"/>
    <w:rsid w:val="00847342"/>
    <w:rsid w:val="00847606"/>
    <w:rsid w:val="008526C9"/>
    <w:rsid w:val="00855E83"/>
    <w:rsid w:val="00861F39"/>
    <w:rsid w:val="00870030"/>
    <w:rsid w:val="00874A1E"/>
    <w:rsid w:val="008762A1"/>
    <w:rsid w:val="008861DA"/>
    <w:rsid w:val="008875B0"/>
    <w:rsid w:val="00892BC3"/>
    <w:rsid w:val="00892EC3"/>
    <w:rsid w:val="008A135F"/>
    <w:rsid w:val="008A15DD"/>
    <w:rsid w:val="008A5948"/>
    <w:rsid w:val="008B0EE7"/>
    <w:rsid w:val="008B3672"/>
    <w:rsid w:val="008C0E5C"/>
    <w:rsid w:val="008C3C7C"/>
    <w:rsid w:val="008D0FAD"/>
    <w:rsid w:val="008D309A"/>
    <w:rsid w:val="008D4865"/>
    <w:rsid w:val="008D6079"/>
    <w:rsid w:val="008D62B4"/>
    <w:rsid w:val="008D6541"/>
    <w:rsid w:val="008E0A22"/>
    <w:rsid w:val="008E340B"/>
    <w:rsid w:val="008E5BB7"/>
    <w:rsid w:val="008F1312"/>
    <w:rsid w:val="008F27BA"/>
    <w:rsid w:val="008F3D21"/>
    <w:rsid w:val="008F6C3E"/>
    <w:rsid w:val="00902B71"/>
    <w:rsid w:val="00905A08"/>
    <w:rsid w:val="00905DDA"/>
    <w:rsid w:val="009066B0"/>
    <w:rsid w:val="0090791E"/>
    <w:rsid w:val="009108AB"/>
    <w:rsid w:val="00910B48"/>
    <w:rsid w:val="00914A99"/>
    <w:rsid w:val="00916AD4"/>
    <w:rsid w:val="00923DA4"/>
    <w:rsid w:val="009265FE"/>
    <w:rsid w:val="00931711"/>
    <w:rsid w:val="00934218"/>
    <w:rsid w:val="009348E8"/>
    <w:rsid w:val="00935D1B"/>
    <w:rsid w:val="009361B2"/>
    <w:rsid w:val="009405E0"/>
    <w:rsid w:val="009406A1"/>
    <w:rsid w:val="00941327"/>
    <w:rsid w:val="00945848"/>
    <w:rsid w:val="00947446"/>
    <w:rsid w:val="009476D4"/>
    <w:rsid w:val="00952B80"/>
    <w:rsid w:val="009548DB"/>
    <w:rsid w:val="009577D8"/>
    <w:rsid w:val="0096057A"/>
    <w:rsid w:val="00960B6D"/>
    <w:rsid w:val="00960DC4"/>
    <w:rsid w:val="009650EA"/>
    <w:rsid w:val="00966A76"/>
    <w:rsid w:val="00967CFA"/>
    <w:rsid w:val="009709B9"/>
    <w:rsid w:val="009716A8"/>
    <w:rsid w:val="0097740F"/>
    <w:rsid w:val="0098249E"/>
    <w:rsid w:val="00986E5A"/>
    <w:rsid w:val="0098762E"/>
    <w:rsid w:val="00992F2B"/>
    <w:rsid w:val="009A087B"/>
    <w:rsid w:val="009A128A"/>
    <w:rsid w:val="009A3074"/>
    <w:rsid w:val="009A77AE"/>
    <w:rsid w:val="009B1115"/>
    <w:rsid w:val="009B245F"/>
    <w:rsid w:val="009B679B"/>
    <w:rsid w:val="009B70E7"/>
    <w:rsid w:val="009B75E7"/>
    <w:rsid w:val="009B7777"/>
    <w:rsid w:val="009C0DD3"/>
    <w:rsid w:val="009C19B2"/>
    <w:rsid w:val="009C57BE"/>
    <w:rsid w:val="009C794E"/>
    <w:rsid w:val="009D00F5"/>
    <w:rsid w:val="009D0732"/>
    <w:rsid w:val="009D311C"/>
    <w:rsid w:val="009D4100"/>
    <w:rsid w:val="009D4605"/>
    <w:rsid w:val="009D5229"/>
    <w:rsid w:val="009D5C04"/>
    <w:rsid w:val="009D5EC0"/>
    <w:rsid w:val="009D6961"/>
    <w:rsid w:val="009E50F3"/>
    <w:rsid w:val="009E74A8"/>
    <w:rsid w:val="009F3DA7"/>
    <w:rsid w:val="009F670D"/>
    <w:rsid w:val="00A00CD7"/>
    <w:rsid w:val="00A0254E"/>
    <w:rsid w:val="00A02957"/>
    <w:rsid w:val="00A0434D"/>
    <w:rsid w:val="00A05E66"/>
    <w:rsid w:val="00A07759"/>
    <w:rsid w:val="00A1058F"/>
    <w:rsid w:val="00A11BC4"/>
    <w:rsid w:val="00A14D20"/>
    <w:rsid w:val="00A154D2"/>
    <w:rsid w:val="00A16402"/>
    <w:rsid w:val="00A164FF"/>
    <w:rsid w:val="00A20635"/>
    <w:rsid w:val="00A207B9"/>
    <w:rsid w:val="00A23BFC"/>
    <w:rsid w:val="00A23E65"/>
    <w:rsid w:val="00A24278"/>
    <w:rsid w:val="00A317AA"/>
    <w:rsid w:val="00A31D6E"/>
    <w:rsid w:val="00A3205C"/>
    <w:rsid w:val="00A4317C"/>
    <w:rsid w:val="00A4662B"/>
    <w:rsid w:val="00A52D22"/>
    <w:rsid w:val="00A55468"/>
    <w:rsid w:val="00A5571D"/>
    <w:rsid w:val="00A63CA1"/>
    <w:rsid w:val="00A64238"/>
    <w:rsid w:val="00A645C1"/>
    <w:rsid w:val="00A7219B"/>
    <w:rsid w:val="00A7711C"/>
    <w:rsid w:val="00A80D0F"/>
    <w:rsid w:val="00A83693"/>
    <w:rsid w:val="00A84B50"/>
    <w:rsid w:val="00A869C4"/>
    <w:rsid w:val="00A92A45"/>
    <w:rsid w:val="00A93915"/>
    <w:rsid w:val="00A94342"/>
    <w:rsid w:val="00A95D96"/>
    <w:rsid w:val="00A97F17"/>
    <w:rsid w:val="00AA0874"/>
    <w:rsid w:val="00AA31A1"/>
    <w:rsid w:val="00AA34C8"/>
    <w:rsid w:val="00AA4AC9"/>
    <w:rsid w:val="00AA5D83"/>
    <w:rsid w:val="00AA694F"/>
    <w:rsid w:val="00AA6D40"/>
    <w:rsid w:val="00AB0A62"/>
    <w:rsid w:val="00AB1C4F"/>
    <w:rsid w:val="00AB738E"/>
    <w:rsid w:val="00AC74F5"/>
    <w:rsid w:val="00AD3345"/>
    <w:rsid w:val="00AE2613"/>
    <w:rsid w:val="00AF3AE0"/>
    <w:rsid w:val="00AF6F46"/>
    <w:rsid w:val="00AF7514"/>
    <w:rsid w:val="00AF7FD0"/>
    <w:rsid w:val="00B019DA"/>
    <w:rsid w:val="00B03718"/>
    <w:rsid w:val="00B05D5A"/>
    <w:rsid w:val="00B06B46"/>
    <w:rsid w:val="00B1101B"/>
    <w:rsid w:val="00B1134C"/>
    <w:rsid w:val="00B179E8"/>
    <w:rsid w:val="00B22F23"/>
    <w:rsid w:val="00B23C92"/>
    <w:rsid w:val="00B23D97"/>
    <w:rsid w:val="00B30CCA"/>
    <w:rsid w:val="00B31CCD"/>
    <w:rsid w:val="00B34276"/>
    <w:rsid w:val="00B4630B"/>
    <w:rsid w:val="00B520FD"/>
    <w:rsid w:val="00B53BDC"/>
    <w:rsid w:val="00B55407"/>
    <w:rsid w:val="00B60DE2"/>
    <w:rsid w:val="00B6232E"/>
    <w:rsid w:val="00B7309B"/>
    <w:rsid w:val="00B73362"/>
    <w:rsid w:val="00B7527B"/>
    <w:rsid w:val="00B7733A"/>
    <w:rsid w:val="00B835A6"/>
    <w:rsid w:val="00B84672"/>
    <w:rsid w:val="00B9441A"/>
    <w:rsid w:val="00BA448A"/>
    <w:rsid w:val="00BA6839"/>
    <w:rsid w:val="00BA79B5"/>
    <w:rsid w:val="00BB0691"/>
    <w:rsid w:val="00BB2FBA"/>
    <w:rsid w:val="00BB7F56"/>
    <w:rsid w:val="00BC3184"/>
    <w:rsid w:val="00BC3DF0"/>
    <w:rsid w:val="00BD3A73"/>
    <w:rsid w:val="00BD5065"/>
    <w:rsid w:val="00BD62E8"/>
    <w:rsid w:val="00BD64AD"/>
    <w:rsid w:val="00BD68F4"/>
    <w:rsid w:val="00BD6D4E"/>
    <w:rsid w:val="00BE3120"/>
    <w:rsid w:val="00BE54C1"/>
    <w:rsid w:val="00BE70B0"/>
    <w:rsid w:val="00BF2590"/>
    <w:rsid w:val="00BF3A2C"/>
    <w:rsid w:val="00BF3F84"/>
    <w:rsid w:val="00BF5CF9"/>
    <w:rsid w:val="00BF602B"/>
    <w:rsid w:val="00BF61B6"/>
    <w:rsid w:val="00C0660E"/>
    <w:rsid w:val="00C072A6"/>
    <w:rsid w:val="00C11033"/>
    <w:rsid w:val="00C112F7"/>
    <w:rsid w:val="00C11B80"/>
    <w:rsid w:val="00C12684"/>
    <w:rsid w:val="00C20BC1"/>
    <w:rsid w:val="00C21F6A"/>
    <w:rsid w:val="00C26EB7"/>
    <w:rsid w:val="00C271F2"/>
    <w:rsid w:val="00C30959"/>
    <w:rsid w:val="00C31FB4"/>
    <w:rsid w:val="00C33FFD"/>
    <w:rsid w:val="00C3644B"/>
    <w:rsid w:val="00C36AA8"/>
    <w:rsid w:val="00C37C34"/>
    <w:rsid w:val="00C406CD"/>
    <w:rsid w:val="00C4460D"/>
    <w:rsid w:val="00C4617A"/>
    <w:rsid w:val="00C53F66"/>
    <w:rsid w:val="00C54F91"/>
    <w:rsid w:val="00C55C9D"/>
    <w:rsid w:val="00C56546"/>
    <w:rsid w:val="00C57C91"/>
    <w:rsid w:val="00C609AC"/>
    <w:rsid w:val="00C60E7F"/>
    <w:rsid w:val="00C62F05"/>
    <w:rsid w:val="00C64234"/>
    <w:rsid w:val="00C649E8"/>
    <w:rsid w:val="00C65765"/>
    <w:rsid w:val="00C66AFC"/>
    <w:rsid w:val="00C67C58"/>
    <w:rsid w:val="00C7365C"/>
    <w:rsid w:val="00C736BF"/>
    <w:rsid w:val="00C73C50"/>
    <w:rsid w:val="00C76431"/>
    <w:rsid w:val="00C76531"/>
    <w:rsid w:val="00C77F35"/>
    <w:rsid w:val="00C86036"/>
    <w:rsid w:val="00C870A6"/>
    <w:rsid w:val="00C92A8F"/>
    <w:rsid w:val="00C92FD2"/>
    <w:rsid w:val="00C946B6"/>
    <w:rsid w:val="00C95FF5"/>
    <w:rsid w:val="00C970D0"/>
    <w:rsid w:val="00C974AF"/>
    <w:rsid w:val="00CA209A"/>
    <w:rsid w:val="00CA4232"/>
    <w:rsid w:val="00CA59E7"/>
    <w:rsid w:val="00CA69C2"/>
    <w:rsid w:val="00CA7C1C"/>
    <w:rsid w:val="00CB0602"/>
    <w:rsid w:val="00CB5AFD"/>
    <w:rsid w:val="00CC27D8"/>
    <w:rsid w:val="00CC3642"/>
    <w:rsid w:val="00CC3FE1"/>
    <w:rsid w:val="00CC4B8E"/>
    <w:rsid w:val="00CC6700"/>
    <w:rsid w:val="00CD0B93"/>
    <w:rsid w:val="00CD1A0F"/>
    <w:rsid w:val="00CD1DB9"/>
    <w:rsid w:val="00CD3FCF"/>
    <w:rsid w:val="00CD70E5"/>
    <w:rsid w:val="00CD78B8"/>
    <w:rsid w:val="00CE0655"/>
    <w:rsid w:val="00CE0C21"/>
    <w:rsid w:val="00CE0EC3"/>
    <w:rsid w:val="00CE345F"/>
    <w:rsid w:val="00CE57A9"/>
    <w:rsid w:val="00CF2546"/>
    <w:rsid w:val="00CF6C38"/>
    <w:rsid w:val="00D00003"/>
    <w:rsid w:val="00D03C46"/>
    <w:rsid w:val="00D067C2"/>
    <w:rsid w:val="00D06949"/>
    <w:rsid w:val="00D0735C"/>
    <w:rsid w:val="00D07F31"/>
    <w:rsid w:val="00D14E96"/>
    <w:rsid w:val="00D2118C"/>
    <w:rsid w:val="00D2250C"/>
    <w:rsid w:val="00D266F8"/>
    <w:rsid w:val="00D32ECE"/>
    <w:rsid w:val="00D34340"/>
    <w:rsid w:val="00D36893"/>
    <w:rsid w:val="00D40FF3"/>
    <w:rsid w:val="00D41044"/>
    <w:rsid w:val="00D42EF5"/>
    <w:rsid w:val="00D450EE"/>
    <w:rsid w:val="00D525B2"/>
    <w:rsid w:val="00D572DF"/>
    <w:rsid w:val="00D60FB0"/>
    <w:rsid w:val="00D64E73"/>
    <w:rsid w:val="00D65EB6"/>
    <w:rsid w:val="00D663C9"/>
    <w:rsid w:val="00D72A82"/>
    <w:rsid w:val="00D76D52"/>
    <w:rsid w:val="00D80334"/>
    <w:rsid w:val="00D81BC0"/>
    <w:rsid w:val="00D83577"/>
    <w:rsid w:val="00D83695"/>
    <w:rsid w:val="00D83E3E"/>
    <w:rsid w:val="00D8461D"/>
    <w:rsid w:val="00D85CB5"/>
    <w:rsid w:val="00D943E3"/>
    <w:rsid w:val="00D97FE6"/>
    <w:rsid w:val="00DA082C"/>
    <w:rsid w:val="00DA345F"/>
    <w:rsid w:val="00DA6B5E"/>
    <w:rsid w:val="00DA7CFE"/>
    <w:rsid w:val="00DB3C3D"/>
    <w:rsid w:val="00DC023B"/>
    <w:rsid w:val="00DC0413"/>
    <w:rsid w:val="00DC2B1C"/>
    <w:rsid w:val="00DC50C7"/>
    <w:rsid w:val="00DD2E4C"/>
    <w:rsid w:val="00DE4B88"/>
    <w:rsid w:val="00DE53F0"/>
    <w:rsid w:val="00DF0328"/>
    <w:rsid w:val="00DF0B12"/>
    <w:rsid w:val="00DF492A"/>
    <w:rsid w:val="00DF65FD"/>
    <w:rsid w:val="00E0139B"/>
    <w:rsid w:val="00E03864"/>
    <w:rsid w:val="00E03DCE"/>
    <w:rsid w:val="00E06A59"/>
    <w:rsid w:val="00E1228F"/>
    <w:rsid w:val="00E14FD9"/>
    <w:rsid w:val="00E15305"/>
    <w:rsid w:val="00E15F2B"/>
    <w:rsid w:val="00E16510"/>
    <w:rsid w:val="00E16C82"/>
    <w:rsid w:val="00E2296D"/>
    <w:rsid w:val="00E261ED"/>
    <w:rsid w:val="00E269A3"/>
    <w:rsid w:val="00E37AAB"/>
    <w:rsid w:val="00E54CE9"/>
    <w:rsid w:val="00E61958"/>
    <w:rsid w:val="00E627DC"/>
    <w:rsid w:val="00E63A74"/>
    <w:rsid w:val="00E63B39"/>
    <w:rsid w:val="00E63BE7"/>
    <w:rsid w:val="00E63F53"/>
    <w:rsid w:val="00E64BF0"/>
    <w:rsid w:val="00E65E73"/>
    <w:rsid w:val="00E664EE"/>
    <w:rsid w:val="00E72EE8"/>
    <w:rsid w:val="00E75700"/>
    <w:rsid w:val="00E77CE4"/>
    <w:rsid w:val="00E83369"/>
    <w:rsid w:val="00E83632"/>
    <w:rsid w:val="00E84705"/>
    <w:rsid w:val="00E878C4"/>
    <w:rsid w:val="00E917EC"/>
    <w:rsid w:val="00E92D39"/>
    <w:rsid w:val="00E94187"/>
    <w:rsid w:val="00E945B5"/>
    <w:rsid w:val="00E946A0"/>
    <w:rsid w:val="00E952DE"/>
    <w:rsid w:val="00EA08AA"/>
    <w:rsid w:val="00EA3C62"/>
    <w:rsid w:val="00EA3F87"/>
    <w:rsid w:val="00EA4A51"/>
    <w:rsid w:val="00EA6196"/>
    <w:rsid w:val="00EB2554"/>
    <w:rsid w:val="00EB431A"/>
    <w:rsid w:val="00EB7525"/>
    <w:rsid w:val="00EC3548"/>
    <w:rsid w:val="00EC50B1"/>
    <w:rsid w:val="00EC67D9"/>
    <w:rsid w:val="00ED3C09"/>
    <w:rsid w:val="00ED793C"/>
    <w:rsid w:val="00EE4F17"/>
    <w:rsid w:val="00EE7725"/>
    <w:rsid w:val="00EE77F1"/>
    <w:rsid w:val="00EE7970"/>
    <w:rsid w:val="00EF2E8C"/>
    <w:rsid w:val="00F01036"/>
    <w:rsid w:val="00F05A94"/>
    <w:rsid w:val="00F07E16"/>
    <w:rsid w:val="00F131A4"/>
    <w:rsid w:val="00F14BB8"/>
    <w:rsid w:val="00F166D0"/>
    <w:rsid w:val="00F22FE3"/>
    <w:rsid w:val="00F24DFF"/>
    <w:rsid w:val="00F24E22"/>
    <w:rsid w:val="00F31EF3"/>
    <w:rsid w:val="00F32499"/>
    <w:rsid w:val="00F33212"/>
    <w:rsid w:val="00F33994"/>
    <w:rsid w:val="00F373C1"/>
    <w:rsid w:val="00F37CFA"/>
    <w:rsid w:val="00F41FB3"/>
    <w:rsid w:val="00F43B82"/>
    <w:rsid w:val="00F43C7D"/>
    <w:rsid w:val="00F46BB2"/>
    <w:rsid w:val="00F47082"/>
    <w:rsid w:val="00F50423"/>
    <w:rsid w:val="00F52DC5"/>
    <w:rsid w:val="00F55B1B"/>
    <w:rsid w:val="00F567D6"/>
    <w:rsid w:val="00F658F6"/>
    <w:rsid w:val="00F7799A"/>
    <w:rsid w:val="00F81288"/>
    <w:rsid w:val="00F8406D"/>
    <w:rsid w:val="00F90F10"/>
    <w:rsid w:val="00F93F65"/>
    <w:rsid w:val="00F9519C"/>
    <w:rsid w:val="00F96649"/>
    <w:rsid w:val="00FA5D09"/>
    <w:rsid w:val="00FA729C"/>
    <w:rsid w:val="00FB103F"/>
    <w:rsid w:val="00FB36C1"/>
    <w:rsid w:val="00FB432F"/>
    <w:rsid w:val="00FC3C89"/>
    <w:rsid w:val="00FC407B"/>
    <w:rsid w:val="00FC5048"/>
    <w:rsid w:val="00FC7AF6"/>
    <w:rsid w:val="00FD04B5"/>
    <w:rsid w:val="00FD11D6"/>
    <w:rsid w:val="00FD3D37"/>
    <w:rsid w:val="00FE3765"/>
    <w:rsid w:val="00FF04E2"/>
    <w:rsid w:val="00FF1474"/>
    <w:rsid w:val="00FF52B3"/>
    <w:rsid w:val="00FF5A06"/>
    <w:rsid w:val="00FF6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D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B30CCA"/>
    <w:pPr>
      <w:spacing w:before="75" w:after="75" w:line="240" w:lineRule="auto"/>
      <w:ind w:firstLine="375"/>
      <w:jc w:val="both"/>
    </w:pPr>
    <w:rPr>
      <w:rFonts w:eastAsia="Times New Roman"/>
      <w:lang w:eastAsia="lv-LV"/>
    </w:rPr>
  </w:style>
  <w:style w:type="paragraph" w:customStyle="1" w:styleId="naisnod">
    <w:name w:val="naisnod"/>
    <w:basedOn w:val="Normal"/>
    <w:rsid w:val="00B30CCA"/>
    <w:pPr>
      <w:spacing w:before="150" w:after="150" w:line="240" w:lineRule="auto"/>
      <w:jc w:val="center"/>
    </w:pPr>
    <w:rPr>
      <w:rFonts w:eastAsia="Times New Roman"/>
      <w:b/>
      <w:bCs/>
      <w:lang w:eastAsia="lv-LV"/>
    </w:rPr>
  </w:style>
  <w:style w:type="paragraph" w:customStyle="1" w:styleId="naislab">
    <w:name w:val="naislab"/>
    <w:basedOn w:val="Normal"/>
    <w:rsid w:val="00B30CCA"/>
    <w:pPr>
      <w:spacing w:before="75" w:after="75" w:line="240" w:lineRule="auto"/>
      <w:jc w:val="right"/>
    </w:pPr>
    <w:rPr>
      <w:rFonts w:eastAsia="Times New Roman"/>
      <w:lang w:eastAsia="lv-LV"/>
    </w:rPr>
  </w:style>
  <w:style w:type="paragraph" w:customStyle="1" w:styleId="naiskr">
    <w:name w:val="naiskr"/>
    <w:basedOn w:val="Normal"/>
    <w:rsid w:val="00B30CCA"/>
    <w:pPr>
      <w:spacing w:before="75" w:after="75" w:line="240" w:lineRule="auto"/>
    </w:pPr>
    <w:rPr>
      <w:rFonts w:eastAsia="Times New Roman"/>
      <w:lang w:eastAsia="lv-LV"/>
    </w:rPr>
  </w:style>
  <w:style w:type="paragraph" w:customStyle="1" w:styleId="naisc">
    <w:name w:val="naisc"/>
    <w:basedOn w:val="Normal"/>
    <w:rsid w:val="00B30CCA"/>
    <w:pPr>
      <w:spacing w:before="75" w:after="75" w:line="240" w:lineRule="auto"/>
      <w:jc w:val="center"/>
    </w:pPr>
    <w:rPr>
      <w:rFonts w:eastAsia="Times New Roman"/>
      <w:lang w:eastAsia="lv-LV"/>
    </w:rPr>
  </w:style>
  <w:style w:type="paragraph" w:styleId="ListParagraph">
    <w:name w:val="List Paragraph"/>
    <w:basedOn w:val="Normal"/>
    <w:uiPriority w:val="34"/>
    <w:qFormat/>
    <w:rsid w:val="007351C9"/>
    <w:pPr>
      <w:ind w:left="720"/>
      <w:contextualSpacing/>
    </w:pPr>
  </w:style>
  <w:style w:type="character" w:styleId="Hyperlink">
    <w:name w:val="Hyperlink"/>
    <w:basedOn w:val="DefaultParagraphFont"/>
    <w:uiPriority w:val="99"/>
    <w:unhideWhenUsed/>
    <w:rsid w:val="00630C5F"/>
    <w:rPr>
      <w:strike w:val="0"/>
      <w:dstrike w:val="0"/>
      <w:color w:val="40407C"/>
      <w:u w:val="none"/>
      <w:effect w:val="none"/>
    </w:rPr>
  </w:style>
  <w:style w:type="paragraph" w:styleId="Header">
    <w:name w:val="header"/>
    <w:basedOn w:val="Normal"/>
    <w:link w:val="HeaderChar"/>
    <w:uiPriority w:val="99"/>
    <w:unhideWhenUsed/>
    <w:rsid w:val="004163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63D3"/>
  </w:style>
  <w:style w:type="paragraph" w:styleId="Footer">
    <w:name w:val="footer"/>
    <w:basedOn w:val="Normal"/>
    <w:link w:val="FooterChar"/>
    <w:uiPriority w:val="99"/>
    <w:unhideWhenUsed/>
    <w:rsid w:val="004163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163D3"/>
  </w:style>
  <w:style w:type="paragraph" w:styleId="BalloonText">
    <w:name w:val="Balloon Text"/>
    <w:basedOn w:val="Normal"/>
    <w:link w:val="BalloonTextChar"/>
    <w:uiPriority w:val="99"/>
    <w:semiHidden/>
    <w:unhideWhenUsed/>
    <w:rsid w:val="00416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3D3"/>
    <w:rPr>
      <w:rFonts w:ascii="Tahoma" w:hAnsi="Tahoma" w:cs="Tahoma"/>
      <w:sz w:val="16"/>
      <w:szCs w:val="16"/>
    </w:rPr>
  </w:style>
  <w:style w:type="paragraph" w:styleId="BodyTextIndent3">
    <w:name w:val="Body Text Indent 3"/>
    <w:basedOn w:val="Normal"/>
    <w:link w:val="BodyTextIndent3Char"/>
    <w:rsid w:val="00C56546"/>
    <w:pPr>
      <w:spacing w:after="120" w:line="240" w:lineRule="auto"/>
      <w:ind w:left="283"/>
    </w:pPr>
    <w:rPr>
      <w:rFonts w:eastAsia="Times New Roman"/>
      <w:sz w:val="16"/>
      <w:szCs w:val="16"/>
      <w:lang w:val="en-US"/>
    </w:rPr>
  </w:style>
  <w:style w:type="character" w:customStyle="1" w:styleId="BodyTextIndent3Char">
    <w:name w:val="Body Text Indent 3 Char"/>
    <w:basedOn w:val="DefaultParagraphFont"/>
    <w:link w:val="BodyTextIndent3"/>
    <w:rsid w:val="00C56546"/>
    <w:rPr>
      <w:rFonts w:eastAsia="Times New Roman"/>
      <w:sz w:val="16"/>
      <w:szCs w:val="16"/>
      <w:lang w:val="en-US"/>
    </w:rPr>
  </w:style>
  <w:style w:type="paragraph" w:styleId="NormalWeb">
    <w:name w:val="Normal (Web)"/>
    <w:basedOn w:val="Normal"/>
    <w:uiPriority w:val="99"/>
    <w:semiHidden/>
    <w:unhideWhenUsed/>
    <w:rsid w:val="0026210C"/>
    <w:pPr>
      <w:spacing w:before="100" w:beforeAutospacing="1" w:after="100" w:afterAutospacing="1" w:line="240" w:lineRule="auto"/>
    </w:pPr>
    <w:rPr>
      <w:rFonts w:eastAsia="Times New Roman"/>
      <w:lang w:val="en-US"/>
    </w:rPr>
  </w:style>
  <w:style w:type="character" w:styleId="Strong">
    <w:name w:val="Strong"/>
    <w:basedOn w:val="DefaultParagraphFont"/>
    <w:uiPriority w:val="22"/>
    <w:qFormat/>
    <w:rsid w:val="00A80D0F"/>
    <w:rPr>
      <w:b/>
      <w:bCs/>
    </w:rPr>
  </w:style>
  <w:style w:type="character" w:styleId="CommentReference">
    <w:name w:val="annotation reference"/>
    <w:basedOn w:val="DefaultParagraphFont"/>
    <w:uiPriority w:val="99"/>
    <w:semiHidden/>
    <w:unhideWhenUsed/>
    <w:rsid w:val="00A83693"/>
    <w:rPr>
      <w:sz w:val="16"/>
      <w:szCs w:val="16"/>
    </w:rPr>
  </w:style>
  <w:style w:type="paragraph" w:styleId="CommentText">
    <w:name w:val="annotation text"/>
    <w:basedOn w:val="Normal"/>
    <w:link w:val="CommentTextChar"/>
    <w:uiPriority w:val="99"/>
    <w:semiHidden/>
    <w:unhideWhenUsed/>
    <w:rsid w:val="00A83693"/>
    <w:pPr>
      <w:spacing w:line="240" w:lineRule="auto"/>
    </w:pPr>
    <w:rPr>
      <w:sz w:val="20"/>
      <w:szCs w:val="20"/>
    </w:rPr>
  </w:style>
  <w:style w:type="character" w:customStyle="1" w:styleId="CommentTextChar">
    <w:name w:val="Comment Text Char"/>
    <w:basedOn w:val="DefaultParagraphFont"/>
    <w:link w:val="CommentText"/>
    <w:uiPriority w:val="99"/>
    <w:semiHidden/>
    <w:rsid w:val="00A83693"/>
    <w:rPr>
      <w:sz w:val="20"/>
      <w:szCs w:val="20"/>
    </w:rPr>
  </w:style>
  <w:style w:type="paragraph" w:styleId="CommentSubject">
    <w:name w:val="annotation subject"/>
    <w:basedOn w:val="CommentText"/>
    <w:next w:val="CommentText"/>
    <w:link w:val="CommentSubjectChar"/>
    <w:uiPriority w:val="99"/>
    <w:semiHidden/>
    <w:unhideWhenUsed/>
    <w:rsid w:val="00A83693"/>
    <w:rPr>
      <w:b/>
      <w:bCs/>
    </w:rPr>
  </w:style>
  <w:style w:type="character" w:customStyle="1" w:styleId="CommentSubjectChar">
    <w:name w:val="Comment Subject Char"/>
    <w:basedOn w:val="CommentTextChar"/>
    <w:link w:val="CommentSubject"/>
    <w:uiPriority w:val="99"/>
    <w:semiHidden/>
    <w:rsid w:val="00A83693"/>
    <w:rPr>
      <w:b/>
      <w:bCs/>
    </w:rPr>
  </w:style>
  <w:style w:type="paragraph" w:customStyle="1" w:styleId="tv2131">
    <w:name w:val="tv2131"/>
    <w:basedOn w:val="Normal"/>
    <w:rsid w:val="00690AC6"/>
    <w:pPr>
      <w:spacing w:before="240" w:after="0" w:line="360" w:lineRule="auto"/>
      <w:ind w:firstLine="343"/>
      <w:jc w:val="both"/>
    </w:pPr>
    <w:rPr>
      <w:rFonts w:ascii="Verdana" w:eastAsia="Times New Roman" w:hAnsi="Verdana"/>
      <w:sz w:val="21"/>
      <w:szCs w:val="21"/>
      <w:lang w:val="en-US"/>
    </w:rPr>
  </w:style>
</w:styles>
</file>

<file path=word/webSettings.xml><?xml version="1.0" encoding="utf-8"?>
<w:webSettings xmlns:r="http://schemas.openxmlformats.org/officeDocument/2006/relationships" xmlns:w="http://schemas.openxmlformats.org/wordprocessingml/2006/main">
  <w:divs>
    <w:div w:id="891306795">
      <w:bodyDiv w:val="1"/>
      <w:marLeft w:val="0"/>
      <w:marRight w:val="0"/>
      <w:marTop w:val="0"/>
      <w:marBottom w:val="0"/>
      <w:divBdr>
        <w:top w:val="none" w:sz="0" w:space="0" w:color="auto"/>
        <w:left w:val="none" w:sz="0" w:space="0" w:color="auto"/>
        <w:bottom w:val="none" w:sz="0" w:space="0" w:color="auto"/>
        <w:right w:val="none" w:sz="0" w:space="0" w:color="auto"/>
      </w:divBdr>
    </w:div>
    <w:div w:id="147116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0D752-4414-46FF-9641-995A308B1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16</Pages>
  <Words>3611</Words>
  <Characters>25463</Characters>
  <Application>Microsoft Office Word</Application>
  <DocSecurity>0</DocSecurity>
  <Lines>1018</Lines>
  <Paragraphs>559</Paragraphs>
  <ScaleCrop>false</ScaleCrop>
  <HeadingPairs>
    <vt:vector size="2" baseType="variant">
      <vt:variant>
        <vt:lpstr>Title</vt:lpstr>
      </vt:variant>
      <vt:variant>
        <vt:i4>1</vt:i4>
      </vt:variant>
    </vt:vector>
  </HeadingPairs>
  <TitlesOfParts>
    <vt:vector size="1" baseType="lpstr">
      <vt:lpstr>Aanotācija noteikumu projektam „Kārtība, kādā novēršama, ierobežojama un kontrolējama gaisu piesārņojošo vielu emisija no sadedzināšanas iekārtām”</vt:lpstr>
    </vt:vector>
  </TitlesOfParts>
  <Company/>
  <LinksUpToDate>false</LinksUpToDate>
  <CharactersWithSpaces>28515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Aanotācija noteikumu projektam „Kārtība, kādā novēršama, ierobežojama un kontrolējama gaisu piesārņojošo vielu emisija no sadedzināšanas iekārtām”</dc:title>
  <dc:subject>Ministru kabineta noteikumu projekta anotācija</dc:subject>
  <dc:creator>Lana Maslova</dc:creator>
  <cp:keywords/>
  <dc:description/>
  <cp:lastModifiedBy>lanam</cp:lastModifiedBy>
  <cp:revision>20</cp:revision>
  <cp:lastPrinted>2012-10-18T08:15:00Z</cp:lastPrinted>
  <dcterms:created xsi:type="dcterms:W3CDTF">2012-09-07T11:45:00Z</dcterms:created>
  <dcterms:modified xsi:type="dcterms:W3CDTF">2013-03-04T09:22:00Z</dcterms:modified>
</cp:coreProperties>
</file>