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97" w:rsidRPr="00B16EB3" w:rsidRDefault="00DC3E97" w:rsidP="003D77D3">
      <w:pPr>
        <w:pStyle w:val="BodyText"/>
        <w:rPr>
          <w:bCs/>
          <w:sz w:val="24"/>
          <w:szCs w:val="24"/>
        </w:rPr>
      </w:pPr>
      <w:bookmarkStart w:id="0" w:name="OLE_LINK6"/>
      <w:bookmarkStart w:id="1" w:name="OLE_LINK7"/>
      <w:r w:rsidRPr="00B16EB3">
        <w:rPr>
          <w:bCs/>
          <w:sz w:val="24"/>
          <w:szCs w:val="24"/>
        </w:rPr>
        <w:t>Ministru kabineta</w:t>
      </w:r>
      <w:r>
        <w:rPr>
          <w:bCs/>
          <w:sz w:val="24"/>
          <w:szCs w:val="24"/>
        </w:rPr>
        <w:t xml:space="preserve"> noteikumu</w:t>
      </w:r>
      <w:r w:rsidRPr="00B16EB3">
        <w:rPr>
          <w:bCs/>
          <w:sz w:val="24"/>
          <w:szCs w:val="24"/>
        </w:rPr>
        <w:t xml:space="preserve"> projekta </w:t>
      </w:r>
    </w:p>
    <w:p w:rsidR="00DC3E97" w:rsidRPr="00784E5E" w:rsidRDefault="00DC3E97" w:rsidP="00784E5E">
      <w:pPr>
        <w:ind w:firstLine="720"/>
        <w:jc w:val="center"/>
        <w:rPr>
          <w:b/>
          <w:bCs/>
        </w:rPr>
      </w:pPr>
      <w:r w:rsidRPr="00784E5E">
        <w:rPr>
          <w:bCs/>
        </w:rPr>
        <w:t>„</w:t>
      </w:r>
      <w:r>
        <w:rPr>
          <w:bCs/>
        </w:rPr>
        <w:t>Z</w:t>
      </w:r>
      <w:r w:rsidRPr="00784E5E">
        <w:rPr>
          <w:b/>
          <w:bCs/>
        </w:rPr>
        <w:t xml:space="preserve">emes dzīļu izmantošanas licenču </w:t>
      </w:r>
    </w:p>
    <w:p w:rsidR="00DC3E97" w:rsidRDefault="00DC3E97" w:rsidP="00784E5E">
      <w:pPr>
        <w:ind w:firstLine="720"/>
        <w:jc w:val="center"/>
        <w:rPr>
          <w:bCs/>
        </w:rPr>
      </w:pPr>
      <w:r w:rsidRPr="00784E5E">
        <w:rPr>
          <w:b/>
          <w:bCs/>
        </w:rPr>
        <w:t>un bieži sastopamo derīgo izrakteņu ieguves atļauju izsniegšanas kārtība</w:t>
      </w:r>
      <w:r w:rsidRPr="00B16EB3">
        <w:t>”</w:t>
      </w:r>
      <w:r w:rsidRPr="00B16EB3">
        <w:rPr>
          <w:bCs/>
        </w:rPr>
        <w:t xml:space="preserve"> </w:t>
      </w:r>
      <w:bookmarkStart w:id="2" w:name="OLE_LINK4"/>
      <w:bookmarkStart w:id="3" w:name="OLE_LINK5"/>
    </w:p>
    <w:p w:rsidR="00DC3E97" w:rsidRPr="00B16EB3" w:rsidRDefault="00DC3E97" w:rsidP="003D77D3">
      <w:pPr>
        <w:pStyle w:val="BodyText"/>
        <w:rPr>
          <w:sz w:val="24"/>
          <w:szCs w:val="24"/>
        </w:rPr>
      </w:pPr>
      <w:r w:rsidRPr="00B16EB3">
        <w:rPr>
          <w:bCs/>
          <w:sz w:val="24"/>
          <w:szCs w:val="24"/>
        </w:rPr>
        <w:t xml:space="preserve">sākotnējās ietekmes novērtējuma </w:t>
      </w:r>
      <w:smartTag w:uri="schemas-tilde-lv/tildestengine" w:element="veidnes">
        <w:smartTagPr>
          <w:attr w:name="id" w:val="-1"/>
          <w:attr w:name="baseform" w:val="ziņojums"/>
          <w:attr w:name="text" w:val="ziņojums"/>
        </w:smartTagPr>
        <w:r w:rsidRPr="00B16EB3">
          <w:rPr>
            <w:bCs/>
            <w:sz w:val="24"/>
            <w:szCs w:val="24"/>
          </w:rPr>
          <w:t>ziņojums</w:t>
        </w:r>
      </w:smartTag>
      <w:r w:rsidRPr="00B16EB3">
        <w:rPr>
          <w:bCs/>
          <w:sz w:val="24"/>
          <w:szCs w:val="24"/>
        </w:rPr>
        <w:t xml:space="preserve"> (anotācija)</w:t>
      </w:r>
      <w:bookmarkEnd w:id="0"/>
      <w:bookmarkEnd w:id="1"/>
      <w:bookmarkEnd w:id="2"/>
      <w:bookmarkEnd w:id="3"/>
    </w:p>
    <w:p w:rsidR="00DC3E97" w:rsidRPr="0048187F" w:rsidRDefault="00DC3E97" w:rsidP="003D77D3">
      <w:pPr>
        <w:jc w:val="center"/>
        <w:rPr>
          <w:b/>
          <w:szCs w:val="28"/>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48"/>
        <w:gridCol w:w="6540"/>
      </w:tblGrid>
      <w:tr w:rsidR="00DC3E97" w:rsidRPr="0048187F" w:rsidTr="003D77D3">
        <w:tc>
          <w:tcPr>
            <w:tcW w:w="9288" w:type="dxa"/>
            <w:gridSpan w:val="2"/>
          </w:tcPr>
          <w:p w:rsidR="00DC3E97" w:rsidRPr="004862ED" w:rsidRDefault="00DC3E97" w:rsidP="003D77D3">
            <w:pPr>
              <w:spacing w:after="120"/>
              <w:jc w:val="center"/>
              <w:rPr>
                <w:b/>
              </w:rPr>
            </w:pPr>
            <w:r w:rsidRPr="004862ED">
              <w:rPr>
                <w:b/>
              </w:rPr>
              <w:t xml:space="preserve">I. Kādēļ normatīvais </w:t>
            </w:r>
            <w:smartTag w:uri="schemas-tilde-lv/tildestengine" w:element="veidnes">
              <w:smartTagPr>
                <w:attr w:name="id" w:val="-1"/>
                <w:attr w:name="baseform" w:val="akt|s"/>
                <w:attr w:name="text" w:val="akts"/>
              </w:smartTagPr>
              <w:r w:rsidRPr="004862ED">
                <w:rPr>
                  <w:b/>
                </w:rPr>
                <w:t>akts</w:t>
              </w:r>
            </w:smartTag>
            <w:r w:rsidRPr="004862ED">
              <w:rPr>
                <w:b/>
              </w:rPr>
              <w:t xml:space="preserve"> ir vajadzīgs</w:t>
            </w:r>
          </w:p>
        </w:tc>
      </w:tr>
      <w:tr w:rsidR="00DC3E97" w:rsidRPr="0048187F" w:rsidTr="003D77D3">
        <w:tc>
          <w:tcPr>
            <w:tcW w:w="2748" w:type="dxa"/>
          </w:tcPr>
          <w:p w:rsidR="00DC3E97" w:rsidRPr="004862ED" w:rsidRDefault="00DC3E97" w:rsidP="003D77D3">
            <w:pPr>
              <w:pStyle w:val="Footer"/>
              <w:tabs>
                <w:tab w:val="clear" w:pos="4153"/>
                <w:tab w:val="clear" w:pos="8306"/>
              </w:tabs>
              <w:jc w:val="both"/>
              <w:rPr>
                <w:rFonts w:ascii="Times New Roman" w:hAnsi="Times New Roman"/>
                <w:sz w:val="24"/>
                <w:szCs w:val="24"/>
              </w:rPr>
            </w:pPr>
            <w:r w:rsidRPr="004862ED">
              <w:rPr>
                <w:rFonts w:ascii="Times New Roman" w:hAnsi="Times New Roman"/>
                <w:sz w:val="24"/>
                <w:szCs w:val="24"/>
              </w:rPr>
              <w:t>1. </w:t>
            </w:r>
            <w:r>
              <w:rPr>
                <w:rFonts w:ascii="Times New Roman" w:hAnsi="Times New Roman"/>
                <w:sz w:val="24"/>
                <w:szCs w:val="24"/>
              </w:rPr>
              <w:t>Pamatojums</w:t>
            </w:r>
          </w:p>
        </w:tc>
        <w:tc>
          <w:tcPr>
            <w:tcW w:w="6540" w:type="dxa"/>
          </w:tcPr>
          <w:p w:rsidR="00DC3E97" w:rsidRPr="00EE2492" w:rsidRDefault="00DC3E97" w:rsidP="000D0085">
            <w:pPr>
              <w:pStyle w:val="naislab"/>
              <w:spacing w:before="0" w:after="0"/>
              <w:jc w:val="both"/>
              <w:rPr>
                <w:color w:val="FF0000"/>
              </w:rPr>
            </w:pPr>
            <w:r>
              <w:t>Ministru kabineta noteikumu projekts (turpmāk – projekts)</w:t>
            </w:r>
            <w:r w:rsidRPr="0061450F">
              <w:rPr>
                <w:rStyle w:val="Strong"/>
              </w:rPr>
              <w:t xml:space="preserve"> </w:t>
            </w:r>
            <w:r w:rsidRPr="00A473EA">
              <w:rPr>
                <w:color w:val="000000"/>
              </w:rPr>
              <w:t xml:space="preserve">sagatavots, </w:t>
            </w:r>
            <w:r w:rsidRPr="0078531F">
              <w:t>ņemot vērā</w:t>
            </w:r>
            <w:r>
              <w:t xml:space="preserve"> to, ka </w:t>
            </w:r>
            <w:r w:rsidRPr="0078531F">
              <w:t xml:space="preserve"> </w:t>
            </w:r>
            <w:r>
              <w:t xml:space="preserve">likumā „Par zemes dzīlēm” (turpmāk – likums) izdarīti vairāki grozījumi,  </w:t>
            </w:r>
            <w:r w:rsidRPr="0078531F">
              <w:t xml:space="preserve">kas stājās spēkā </w:t>
            </w:r>
            <w:r>
              <w:t xml:space="preserve">2009. gada 1.jūlijā un </w:t>
            </w:r>
            <w:r w:rsidRPr="000D0085">
              <w:t>2010.gada 21.jūlijā. Noteikumi izstrādāti, pamatojoties uz likuma 4.panta piektās daļas 1.punkt</w:t>
            </w:r>
            <w:r>
              <w:t>ā</w:t>
            </w:r>
            <w:r w:rsidRPr="000D0085">
              <w:t>, 5.panta ceturtās</w:t>
            </w:r>
            <w:r>
              <w:t xml:space="preserve"> daļas 1.punktā </w:t>
            </w:r>
            <w:r w:rsidRPr="000D0085">
              <w:t>10.panta pirmās daļ</w:t>
            </w:r>
            <w:r>
              <w:t>a</w:t>
            </w:r>
            <w:r w:rsidRPr="000D0085">
              <w:t>s 1. un 3.punkt</w:t>
            </w:r>
            <w:r>
              <w:t xml:space="preserve">ā, </w:t>
            </w:r>
            <w:r w:rsidRPr="000D0085">
              <w:t>otr</w:t>
            </w:r>
            <w:r>
              <w:t>ajā</w:t>
            </w:r>
            <w:r w:rsidRPr="000D0085">
              <w:t xml:space="preserve"> daļ</w:t>
            </w:r>
            <w:r>
              <w:t>ā</w:t>
            </w:r>
            <w:r w:rsidRPr="000D0085">
              <w:t>, (2</w:t>
            </w:r>
            <w:r w:rsidRPr="000D0085">
              <w:rPr>
                <w:vertAlign w:val="superscript"/>
              </w:rPr>
              <w:t>1</w:t>
            </w:r>
            <w:r>
              <w:t>) daļā</w:t>
            </w:r>
            <w:r w:rsidRPr="000D0085">
              <w:t>, septīt</w:t>
            </w:r>
            <w:r>
              <w:t>ajā</w:t>
            </w:r>
            <w:r w:rsidRPr="000D0085">
              <w:t xml:space="preserve"> daļ</w:t>
            </w:r>
            <w:r>
              <w:t>ā</w:t>
            </w:r>
            <w:r w:rsidRPr="000D0085">
              <w:t>, desmit</w:t>
            </w:r>
            <w:r>
              <w:t>ajā</w:t>
            </w:r>
            <w:r w:rsidRPr="000D0085">
              <w:t xml:space="preserve"> daļ</w:t>
            </w:r>
            <w:r>
              <w:t>ā</w:t>
            </w:r>
            <w:r w:rsidRPr="000D0085">
              <w:t xml:space="preserve"> </w:t>
            </w:r>
            <w:r>
              <w:t xml:space="preserve">un vienpadsmito daļā dotajiem deleģējumiem. Likuma pārejas noteikumos noteikts, ka Ministru kabinets noteikumus izdod līdz 2011.gada 1.septembrim.  </w:t>
            </w:r>
          </w:p>
        </w:tc>
      </w:tr>
      <w:tr w:rsidR="00DC3E97" w:rsidRPr="0048187F" w:rsidTr="003D77D3">
        <w:tc>
          <w:tcPr>
            <w:tcW w:w="2748" w:type="dxa"/>
          </w:tcPr>
          <w:p w:rsidR="00DC3E97" w:rsidRPr="004862ED" w:rsidRDefault="00DC3E97" w:rsidP="003D77D3">
            <w:pPr>
              <w:pStyle w:val="BodyText"/>
              <w:jc w:val="left"/>
              <w:rPr>
                <w:b w:val="0"/>
                <w:sz w:val="24"/>
                <w:szCs w:val="24"/>
              </w:rPr>
            </w:pPr>
            <w:r>
              <w:rPr>
                <w:b w:val="0"/>
                <w:sz w:val="24"/>
                <w:szCs w:val="24"/>
              </w:rPr>
              <w:t>2. Pašreizējā</w:t>
            </w:r>
            <w:r w:rsidRPr="004862ED">
              <w:rPr>
                <w:b w:val="0"/>
                <w:sz w:val="24"/>
                <w:szCs w:val="24"/>
              </w:rPr>
              <w:t xml:space="preserve"> situācija</w:t>
            </w:r>
            <w:r>
              <w:rPr>
                <w:b w:val="0"/>
                <w:sz w:val="24"/>
                <w:szCs w:val="24"/>
              </w:rPr>
              <w:t xml:space="preserve"> un problēmas</w:t>
            </w:r>
          </w:p>
        </w:tc>
        <w:tc>
          <w:tcPr>
            <w:tcW w:w="6540" w:type="dxa"/>
          </w:tcPr>
          <w:p w:rsidR="00DC3E97" w:rsidRDefault="00DC3E97" w:rsidP="009C5013">
            <w:pPr>
              <w:spacing w:after="120"/>
              <w:jc w:val="both"/>
            </w:pPr>
            <w:r>
              <w:t xml:space="preserve">1)Noteikumu projektā ietvertos jautājumus pašlaik regulē šādi noteikumi: </w:t>
            </w:r>
          </w:p>
          <w:p w:rsidR="00DC3E97" w:rsidRDefault="00DC3E97" w:rsidP="009C5013">
            <w:pPr>
              <w:spacing w:after="120"/>
              <w:jc w:val="both"/>
            </w:pPr>
            <w:r>
              <w:t>Ministru kabineta 2005.gada 21.jūnija noteikumi Nr.448 „Noteikumi par valsts nozīmes derīgo izrakteņu atradnēm un to izmantošanas kārtību, valsts nozīmes derīgo izrakteņu izmantošanas kārtību, kā arī zemes dzīļu izmantošanas atļauju vai licenču izsniegšanas konkursa vai izsoles kārtību” (turpmāk – noteikumi Nr.448)</w:t>
            </w:r>
          </w:p>
          <w:p w:rsidR="00DC3E97" w:rsidRDefault="00DC3E97" w:rsidP="009C5013">
            <w:pPr>
              <w:spacing w:after="120"/>
              <w:jc w:val="both"/>
            </w:pPr>
            <w:r>
              <w:t xml:space="preserve">un Ministru kabineta 2007.gada 24.aprīļa noteikumi Nr.280 „Zemes dzīļu izmantošanas licenču un bieži sastopamo derīgo izrakteņu ieguves atļauju izsniegšanas un ģeoloģiskās informācijas izmantošanas vispārīgā kārtība” (turpmāk – noteikumi Nr.280). </w:t>
            </w:r>
          </w:p>
          <w:p w:rsidR="00DC3E97" w:rsidRDefault="00DC3E97" w:rsidP="009C5013">
            <w:pPr>
              <w:spacing w:after="120"/>
              <w:jc w:val="both"/>
              <w:rPr>
                <w:szCs w:val="28"/>
              </w:rPr>
            </w:pPr>
            <w:r>
              <w:t xml:space="preserve">2)Ar 2009.gada 1.jūlija grozījumiem likumā tika noteikts, ka </w:t>
            </w:r>
            <w:r>
              <w:rPr>
                <w:szCs w:val="28"/>
              </w:rPr>
              <w:t xml:space="preserve">valsts pārvaldes funkcijas, kuras saistītas ar zemes dzīļu izmantošanas licenču izsniegšanu un limitu noteikšanu, turpmāk veiks Valsts vides dienests, savukārt uzdevumus, kuri saistīti ar ģeoloģiskās informācijas apkopošanu un uzglabāšanu Valsts ģeoloģijas fondā, derīgo izrakteņu krājumu akceptēšanu - valsts </w:t>
            </w:r>
            <w:r w:rsidRPr="00DE311B">
              <w:rPr>
                <w:szCs w:val="28"/>
              </w:rPr>
              <w:t xml:space="preserve">SIA „Latvijas Vides, ģeoloģijas un </w:t>
            </w:r>
            <w:r>
              <w:rPr>
                <w:szCs w:val="28"/>
              </w:rPr>
              <w:t>m</w:t>
            </w:r>
            <w:r w:rsidRPr="00DE311B">
              <w:rPr>
                <w:szCs w:val="28"/>
              </w:rPr>
              <w:t xml:space="preserve">eteoroloģijas </w:t>
            </w:r>
            <w:r w:rsidRPr="002C6EE0">
              <w:rPr>
                <w:szCs w:val="28"/>
              </w:rPr>
              <w:t xml:space="preserve">centrs”. </w:t>
            </w:r>
          </w:p>
          <w:p w:rsidR="00DC3E97" w:rsidRDefault="00DC3E97" w:rsidP="009C5013">
            <w:pPr>
              <w:spacing w:after="120"/>
              <w:jc w:val="both"/>
              <w:rPr>
                <w:szCs w:val="28"/>
              </w:rPr>
            </w:pPr>
            <w:r>
              <w:rPr>
                <w:szCs w:val="28"/>
              </w:rPr>
              <w:t xml:space="preserve">Noteikumos Nr. 280 un Nr. </w:t>
            </w:r>
            <w:r w:rsidRPr="00394EE0">
              <w:rPr>
                <w:szCs w:val="28"/>
              </w:rPr>
              <w:t xml:space="preserve">448 minēta likvidētā Latvijas Vides, ģeoloģijas un meteoroloģijas aģentūra, kā arī noteikumos aprakstītā aģentūras un Valsts vides dienesta kompetence neatbilst pašlaik likumā noteiktajam, nepieciešams </w:t>
            </w:r>
            <w:r>
              <w:rPr>
                <w:szCs w:val="28"/>
              </w:rPr>
              <w:t xml:space="preserve">to precizēt. Pašlaik noteikumi nosaka, ka aģentūra izsniedz zemes dzīļu izmantošanas licences, rīko konkursus par valsts nozīmes atradņu izmantošanu. </w:t>
            </w:r>
          </w:p>
          <w:p w:rsidR="00DC3E97" w:rsidRDefault="00DC3E97" w:rsidP="009C5013">
            <w:pPr>
              <w:spacing w:after="120"/>
              <w:jc w:val="both"/>
              <w:rPr>
                <w:szCs w:val="28"/>
              </w:rPr>
            </w:pPr>
            <w:r>
              <w:rPr>
                <w:szCs w:val="28"/>
              </w:rPr>
              <w:t xml:space="preserve">3)Ar likuma 2010.gada 21.jūlija grozījumiem: </w:t>
            </w:r>
          </w:p>
          <w:p w:rsidR="00DC3E97" w:rsidRPr="00C05C7E" w:rsidRDefault="00DC3E97" w:rsidP="009C5013">
            <w:pPr>
              <w:pStyle w:val="ListParagraph"/>
              <w:numPr>
                <w:ilvl w:val="0"/>
                <w:numId w:val="1"/>
              </w:numPr>
              <w:spacing w:after="120"/>
              <w:jc w:val="both"/>
              <w:rPr>
                <w:szCs w:val="28"/>
              </w:rPr>
            </w:pPr>
            <w:r w:rsidRPr="00C05C7E">
              <w:rPr>
                <w:szCs w:val="28"/>
              </w:rPr>
              <w:t>ir izslēgta prasība rīkot konkursu licences saņemšanai valsts nozīmes atradnēs, bet MK noteikumos Nr.448 ir nodaļa par konkursa rīkošanu, kas pašlaik ir lieka;</w:t>
            </w:r>
          </w:p>
          <w:p w:rsidR="00DC3E97" w:rsidRPr="00C05C7E" w:rsidRDefault="00DC3E97" w:rsidP="009C5013">
            <w:pPr>
              <w:pStyle w:val="ListParagraph"/>
              <w:numPr>
                <w:ilvl w:val="0"/>
                <w:numId w:val="1"/>
              </w:numPr>
              <w:spacing w:after="120"/>
              <w:jc w:val="both"/>
              <w:rPr>
                <w:szCs w:val="28"/>
              </w:rPr>
            </w:pPr>
            <w:r w:rsidRPr="00C05C7E">
              <w:rPr>
                <w:szCs w:val="28"/>
              </w:rPr>
              <w:t>precizēti nosacījumi par konkursu valsts un pašvaldību zemes izmantošanai, sasaistot konkursu par zemes nomas tiesībām ar licences izsniegšanu, bet MK noteikumos Nr. 280 noteiktā licences izsniegšanas kārtība</w:t>
            </w:r>
            <w:r>
              <w:rPr>
                <w:szCs w:val="28"/>
              </w:rPr>
              <w:t xml:space="preserve"> neatbilst jaunajai situācijai.</w:t>
            </w:r>
          </w:p>
          <w:p w:rsidR="00DC3E97" w:rsidRPr="007F2024" w:rsidRDefault="00DC3E97" w:rsidP="009C5013">
            <w:pPr>
              <w:spacing w:after="120"/>
              <w:jc w:val="both"/>
            </w:pPr>
            <w:r>
              <w:t xml:space="preserve">4)Pašlaik pazemes ūdeņu izmantošanas kārtību nosaka </w:t>
            </w:r>
            <w:r>
              <w:rPr>
                <w:szCs w:val="28"/>
              </w:rPr>
              <w:t xml:space="preserve">MK noteikumi Nr.448, bet šī joma ir cieši saistīta ar licenču izsniegšanu, ko regulē MK noteikumi Nr.280. Zemes dzīļu izmantotājam ir apgrūtinoši, ka cieši saistīti jautājumi tiek regulēti dažādos Ministru kabineta noteikumos. </w:t>
            </w:r>
          </w:p>
          <w:p w:rsidR="00DC3E97" w:rsidRDefault="00DC3E97" w:rsidP="009C5013">
            <w:pPr>
              <w:pStyle w:val="NormalWeb"/>
              <w:spacing w:before="0" w:beforeAutospacing="0" w:after="120" w:afterAutospacing="0"/>
              <w:jc w:val="both"/>
            </w:pPr>
            <w:r>
              <w:t xml:space="preserve">5)Tāpat konkurss par zemes nomu un licences saņemšanu ir cieši saistīti jautājumi un ir lietderīgi to regulēt vienos Ministru kabineta noteikumos. </w:t>
            </w:r>
          </w:p>
          <w:p w:rsidR="00DC3E97" w:rsidRDefault="00DC3E97" w:rsidP="009C5013">
            <w:pPr>
              <w:pStyle w:val="NormalWeb"/>
              <w:spacing w:before="0" w:beforeAutospacing="0" w:after="120" w:afterAutospacing="0"/>
              <w:jc w:val="both"/>
            </w:pPr>
            <w:r>
              <w:t>6)Derīgo izrakteņu atradņu platība var būt no dažiem hektāriem līdz simtiem hektāru, kas atrodas gan privātpersonu, gan valsts un pašvaldību īpašumā. Zemes dzīļu izmantošana ir ilgstošs process, ir gadījumi, kad zemes dzīļu izmantošanas laukumu nepieciešams paplašināt. Licences laukumu sadrumstalošana un vairāki izmantotāji vienā atradnē neveicina dabas resursu racionālu ieguvi un teritorijas izmantošanu, tādēļ ir lietderīgi noteikt lielākas platības nekā pašlaik minēts noteikumos Nr.448, no kurām jārīko konkurss par valsts vai pašvaldības zemes nomu.</w:t>
            </w:r>
          </w:p>
          <w:p w:rsidR="00DC3E97" w:rsidRPr="00444289" w:rsidRDefault="00DC3E97" w:rsidP="0054591C">
            <w:pPr>
              <w:spacing w:after="120"/>
              <w:jc w:val="both"/>
              <w:rPr>
                <w:rFonts w:ascii="Arial" w:hAnsi="Arial" w:cs="Arial"/>
              </w:rPr>
            </w:pPr>
            <w:r>
              <w:t>7)Vēl zemes dzīļu izmantošanu regulē:</w:t>
            </w:r>
          </w:p>
          <w:p w:rsidR="00DC3E97" w:rsidRPr="009C5013" w:rsidRDefault="00DC3E97" w:rsidP="0054591C">
            <w:pPr>
              <w:spacing w:after="120"/>
              <w:jc w:val="both"/>
              <w:rPr>
                <w:bCs/>
              </w:rPr>
            </w:pPr>
            <w:r w:rsidRPr="00444289">
              <w:t>Ministru kabineta 2006.gada 19.septembra noteikumi Nr.779 "De</w:t>
            </w:r>
            <w:r>
              <w:t xml:space="preserve">rīgo izrakteņu ieguves kārtība" (tiks izstrādāts jauns projekts, ņemot vērā likuma grozījumos un noteikumu projektā </w:t>
            </w:r>
            <w:r w:rsidRPr="009C5013">
              <w:rPr>
                <w:bCs/>
              </w:rPr>
              <w:t>„Zemes dzīļu izmantošanas licenču un bieži sastopamo derīgo izrakteņu ieguves atļauju izsniegšanas kārtība</w:t>
            </w:r>
            <w:r w:rsidRPr="009C5013">
              <w:t>”</w:t>
            </w:r>
            <w:r w:rsidRPr="009C5013">
              <w:rPr>
                <w:bCs/>
              </w:rPr>
              <w:t xml:space="preserve"> </w:t>
            </w:r>
            <w:r>
              <w:rPr>
                <w:bCs/>
              </w:rPr>
              <w:t>noteikto);</w:t>
            </w:r>
          </w:p>
          <w:p w:rsidR="00DC3E97" w:rsidRPr="00444289" w:rsidRDefault="00DC3E97" w:rsidP="0054591C">
            <w:pPr>
              <w:spacing w:after="120"/>
              <w:jc w:val="both"/>
            </w:pPr>
            <w:r w:rsidRPr="00444289">
              <w:t>Ministru kabineta 2006.</w:t>
            </w:r>
            <w:r>
              <w:t>gada 19.decembra noteikumi Nr.</w:t>
            </w:r>
            <w:r w:rsidRPr="00444289">
              <w:t>1055</w:t>
            </w:r>
            <w:r>
              <w:t xml:space="preserve"> </w:t>
            </w:r>
            <w:r w:rsidRPr="00444289">
              <w:t>„</w:t>
            </w:r>
            <w:r w:rsidRPr="00444289">
              <w:rPr>
                <w:bCs/>
              </w:rPr>
              <w:t>Noteikumi par valsts nodevu par zemes dzīļu izmantošanas licenci, bieži sastopamo derīgo izrakteņu ieguves atļauju un atradnes pasi”</w:t>
            </w:r>
            <w:r>
              <w:t xml:space="preserve">; </w:t>
            </w:r>
          </w:p>
          <w:p w:rsidR="00DC3E97" w:rsidRDefault="00DC3E97" w:rsidP="0054591C">
            <w:pPr>
              <w:autoSpaceDE w:val="0"/>
              <w:autoSpaceDN w:val="0"/>
              <w:adjustRightInd w:val="0"/>
              <w:spacing w:after="120"/>
              <w:jc w:val="both"/>
              <w:rPr>
                <w:bCs/>
              </w:rPr>
            </w:pPr>
            <w:r w:rsidRPr="00444289">
              <w:rPr>
                <w:bCs/>
              </w:rPr>
              <w:t>Ministru kabineta</w:t>
            </w:r>
            <w:r>
              <w:rPr>
                <w:bCs/>
              </w:rPr>
              <w:t xml:space="preserve"> </w:t>
            </w:r>
            <w:r w:rsidRPr="00741C6A">
              <w:t>2011.gada 21.jūnij</w:t>
            </w:r>
            <w:r w:rsidRPr="009C5013">
              <w:t>a</w:t>
            </w:r>
            <w:r w:rsidRPr="00741C6A">
              <w:t xml:space="preserve"> </w:t>
            </w:r>
            <w:r w:rsidRPr="00741C6A">
              <w:rPr>
                <w:bCs/>
              </w:rPr>
              <w:t>noteikumi Nr.470</w:t>
            </w:r>
            <w:r w:rsidRPr="00741C6A">
              <w:rPr>
                <w:sz w:val="26"/>
                <w:szCs w:val="26"/>
              </w:rPr>
              <w:t xml:space="preserve"> </w:t>
            </w:r>
            <w:r>
              <w:rPr>
                <w:bCs/>
              </w:rPr>
              <w:t>„</w:t>
            </w:r>
            <w:r w:rsidRPr="00444289">
              <w:rPr>
                <w:bCs/>
              </w:rPr>
              <w:t>Derīgo izrakteņu ieguves atkritumu apsaimniekošanas kārtība</w:t>
            </w:r>
            <w:r>
              <w:rPr>
                <w:bCs/>
              </w:rPr>
              <w:t>”;</w:t>
            </w:r>
            <w:r w:rsidRPr="00444289">
              <w:rPr>
                <w:bCs/>
              </w:rPr>
              <w:t xml:space="preserve"> </w:t>
            </w:r>
          </w:p>
          <w:p w:rsidR="00DC3E97" w:rsidRPr="00444289" w:rsidRDefault="00DC3E97" w:rsidP="0054591C">
            <w:pPr>
              <w:spacing w:after="120"/>
              <w:jc w:val="both"/>
            </w:pPr>
            <w:r w:rsidRPr="00444289">
              <w:rPr>
                <w:bCs/>
              </w:rPr>
              <w:t>Ministru kabineta 2007.gada 27.februāra noteikumi Nr.155</w:t>
            </w:r>
            <w:r>
              <w:rPr>
                <w:bCs/>
              </w:rPr>
              <w:t xml:space="preserve"> </w:t>
            </w:r>
            <w:r w:rsidRPr="00444289">
              <w:rPr>
                <w:bCs/>
              </w:rPr>
              <w:t>„Atlīdzības aprēķināšanas un izmaksāšanas kārtība par zemes dzīļu īpašuma tiesību aprobežojumu valsts nozīmes zemes dzīļu nogabalos”</w:t>
            </w:r>
            <w:r>
              <w:rPr>
                <w:bCs/>
              </w:rPr>
              <w:t>;</w:t>
            </w:r>
          </w:p>
          <w:p w:rsidR="00DC3E97" w:rsidRPr="00444289" w:rsidRDefault="00DC3E97" w:rsidP="0054591C">
            <w:pPr>
              <w:spacing w:after="120"/>
              <w:jc w:val="both"/>
            </w:pPr>
            <w:r w:rsidRPr="00444289">
              <w:t>Ministru kabineta 2008.gada 7.jūlija noteikumi Nr.524 „</w:t>
            </w:r>
            <w:r w:rsidRPr="00444289">
              <w:rPr>
                <w:bCs/>
              </w:rPr>
              <w:t>Valsts nozīmes zemes dzīļu nogabala "Dobeles struktūra" izmantošanas noteikumi”</w:t>
            </w:r>
            <w:r>
              <w:rPr>
                <w:bCs/>
              </w:rPr>
              <w:t>;</w:t>
            </w:r>
          </w:p>
          <w:p w:rsidR="00DC3E97" w:rsidRPr="00444289" w:rsidRDefault="00DC3E97" w:rsidP="0054591C">
            <w:pPr>
              <w:spacing w:after="120"/>
              <w:jc w:val="both"/>
            </w:pPr>
            <w:r w:rsidRPr="00444289">
              <w:t>Ministru kabineta 2007.gada 4.septembra noteikumi Nr.597 “Noteikumi par ogļūdeņražu meklēšanu, izpēti un ieguvi un valsts nodevas maksāšanas kārtību un apjomu”</w:t>
            </w:r>
            <w:r>
              <w:t>;</w:t>
            </w:r>
          </w:p>
          <w:p w:rsidR="00DC3E97" w:rsidRDefault="00DC3E97" w:rsidP="0054591C">
            <w:pPr>
              <w:spacing w:after="120"/>
              <w:jc w:val="both"/>
              <w:rPr>
                <w:bCs/>
              </w:rPr>
            </w:pPr>
            <w:r w:rsidRPr="00444289">
              <w:rPr>
                <w:bCs/>
              </w:rPr>
              <w:t xml:space="preserve">Ministru kabineta </w:t>
            </w:r>
            <w:r w:rsidRPr="00444289">
              <w:t xml:space="preserve">2009.gada 18.augusta </w:t>
            </w:r>
            <w:r w:rsidRPr="00444289">
              <w:rPr>
                <w:bCs/>
              </w:rPr>
              <w:t>noteikumi Nr.942</w:t>
            </w:r>
            <w:r w:rsidRPr="00444289">
              <w:t xml:space="preserve"> “</w:t>
            </w:r>
            <w:r w:rsidRPr="00444289">
              <w:rPr>
                <w:bCs/>
              </w:rPr>
              <w:t>Noteikumi par ogļūdeņražu ieguves valsts nodevu”</w:t>
            </w:r>
            <w:r>
              <w:rPr>
                <w:bCs/>
              </w:rPr>
              <w:t xml:space="preserve">; </w:t>
            </w:r>
          </w:p>
          <w:p w:rsidR="00DC3E97" w:rsidRDefault="00DC3E97" w:rsidP="0054591C">
            <w:pPr>
              <w:spacing w:after="120"/>
              <w:jc w:val="both"/>
            </w:pPr>
            <w:r>
              <w:t>Ministru kabineta 2006.gada 18.</w:t>
            </w:r>
            <w:r w:rsidRPr="00444289">
              <w:t>jūlija noteikumi Nr.595</w:t>
            </w:r>
            <w:r>
              <w:t xml:space="preserve"> </w:t>
            </w:r>
            <w:r w:rsidRPr="00444289">
              <w:t>“</w:t>
            </w:r>
            <w:r w:rsidRPr="00444289">
              <w:rPr>
                <w:bCs/>
              </w:rPr>
              <w:t>Noteikumi par vides aizsardzību ogļūdeņražu izpētes un ieguves darbos jūrā</w:t>
            </w:r>
            <w:r w:rsidRPr="00444289">
              <w:t>”</w:t>
            </w:r>
            <w:r>
              <w:t>.</w:t>
            </w:r>
          </w:p>
          <w:p w:rsidR="00DC3E97" w:rsidRDefault="00DC3E97" w:rsidP="0054591C">
            <w:pPr>
              <w:tabs>
                <w:tab w:val="left" w:pos="8280"/>
              </w:tabs>
              <w:spacing w:after="120"/>
              <w:jc w:val="both"/>
            </w:pPr>
            <w:r>
              <w:t xml:space="preserve">8) Likuma „Par zemes dzīlēm” 1.pantā dotajos terminos noteikts, ka ogļūdeņraži un pazemes ūdeņi ir valsts nozīmes derīgie izrakteņi. </w:t>
            </w:r>
          </w:p>
          <w:p w:rsidR="00DC3E97" w:rsidRDefault="00DC3E97" w:rsidP="0054591C">
            <w:pPr>
              <w:tabs>
                <w:tab w:val="left" w:pos="8280"/>
              </w:tabs>
              <w:spacing w:after="120"/>
              <w:jc w:val="both"/>
            </w:pPr>
            <w:r>
              <w:t xml:space="preserve">Ogļūdeņražu izmantošanu regulē iepriekš minētie noteikumi Nr.597 (04.09.2007.), Nr.942 (18.08.2009.), Nr.595 (18.07.2006.). Saskaņā ar likumu par ogļūdeņražu (nafta, dabas gāze) izmantošanu atbildīga Ekonomikas ministrija, kas arī izstrādā un virza attiecīgos normatīvo aktu projektus. </w:t>
            </w:r>
          </w:p>
          <w:p w:rsidR="00DC3E97" w:rsidRDefault="00DC3E97" w:rsidP="0054591C">
            <w:pPr>
              <w:tabs>
                <w:tab w:val="left" w:pos="8280"/>
              </w:tabs>
              <w:spacing w:after="120"/>
              <w:jc w:val="both"/>
            </w:pPr>
            <w:r>
              <w:t>Pazemes ūdeņu izmantošanu pašreiz regulē iepriekš minētie noteikumi Nr.280 un Nr.448, kas ar šo projektu tiek pārstrādāti atbilstoši likumā noteiktajam un pašreizējai situācijai.</w:t>
            </w:r>
          </w:p>
          <w:p w:rsidR="00DC3E97" w:rsidRPr="004862ED" w:rsidRDefault="00DC3E97" w:rsidP="0054591C">
            <w:pPr>
              <w:tabs>
                <w:tab w:val="left" w:pos="8280"/>
              </w:tabs>
              <w:spacing w:after="120"/>
              <w:jc w:val="both"/>
            </w:pPr>
            <w:r>
              <w:t>Ņemot vērā, ka likumā dotie deleģējumi izteikti dažādi, radot juridiska rakstura neskaidrību, tie tiks laboti, tiklīdz likumā tiks izdarīti grozījumi.</w:t>
            </w:r>
          </w:p>
        </w:tc>
      </w:tr>
      <w:tr w:rsidR="00DC3E97" w:rsidRPr="004862ED" w:rsidTr="003D77D3">
        <w:tc>
          <w:tcPr>
            <w:tcW w:w="2748" w:type="dxa"/>
          </w:tcPr>
          <w:p w:rsidR="00DC3E97" w:rsidRPr="0068144E" w:rsidRDefault="00DC3E97" w:rsidP="003D77D3">
            <w:pPr>
              <w:pStyle w:val="Footer"/>
              <w:tabs>
                <w:tab w:val="clear" w:pos="4153"/>
                <w:tab w:val="clear" w:pos="8306"/>
              </w:tabs>
              <w:rPr>
                <w:rFonts w:ascii="Times New Roman" w:hAnsi="Times New Roman"/>
                <w:sz w:val="24"/>
                <w:szCs w:val="24"/>
              </w:rPr>
            </w:pPr>
            <w:r>
              <w:rPr>
                <w:rFonts w:ascii="Times New Roman" w:hAnsi="Times New Roman"/>
                <w:sz w:val="24"/>
                <w:szCs w:val="24"/>
              </w:rPr>
              <w:t xml:space="preserve">3. </w:t>
            </w:r>
            <w:r w:rsidRPr="0068144E">
              <w:rPr>
                <w:rFonts w:ascii="Times New Roman" w:hAnsi="Times New Roman"/>
                <w:sz w:val="24"/>
                <w:szCs w:val="24"/>
              </w:rPr>
              <w:t>Saistītie politikas ietekmes novērtējumi un pētījumi</w:t>
            </w:r>
          </w:p>
        </w:tc>
        <w:tc>
          <w:tcPr>
            <w:tcW w:w="6540" w:type="dxa"/>
          </w:tcPr>
          <w:p w:rsidR="00DC3E97" w:rsidRPr="000F2E2F" w:rsidRDefault="00DC3E97" w:rsidP="003D77D3">
            <w:pPr>
              <w:pStyle w:val="naiskr"/>
              <w:spacing w:before="0" w:after="120"/>
              <w:ind w:left="104" w:right="57"/>
              <w:jc w:val="both"/>
            </w:pPr>
            <w:r>
              <w:t>Nav attiecināms.</w:t>
            </w:r>
          </w:p>
        </w:tc>
      </w:tr>
      <w:tr w:rsidR="00DC3E97" w:rsidRPr="004862ED" w:rsidTr="003D77D3">
        <w:tc>
          <w:tcPr>
            <w:tcW w:w="2748" w:type="dxa"/>
          </w:tcPr>
          <w:p w:rsidR="00DC3E97" w:rsidRPr="0068144E" w:rsidRDefault="00DC3E97" w:rsidP="003D77D3">
            <w:pPr>
              <w:pStyle w:val="Footer"/>
              <w:tabs>
                <w:tab w:val="clear" w:pos="4153"/>
                <w:tab w:val="clear" w:pos="8306"/>
              </w:tabs>
              <w:rPr>
                <w:rFonts w:ascii="Times New Roman" w:hAnsi="Times New Roman"/>
                <w:sz w:val="24"/>
                <w:szCs w:val="24"/>
              </w:rPr>
            </w:pPr>
            <w:r w:rsidRPr="0068144E">
              <w:rPr>
                <w:rFonts w:ascii="Times New Roman" w:hAnsi="Times New Roman"/>
                <w:sz w:val="24"/>
                <w:szCs w:val="24"/>
              </w:rPr>
              <w:t>4. Tiesiskā regulējuma mērķis un būtība</w:t>
            </w:r>
          </w:p>
        </w:tc>
        <w:tc>
          <w:tcPr>
            <w:tcW w:w="6540" w:type="dxa"/>
          </w:tcPr>
          <w:p w:rsidR="00DC3E97" w:rsidRDefault="00DC3E97" w:rsidP="000A7EB7">
            <w:pPr>
              <w:pStyle w:val="naisf"/>
              <w:spacing w:before="0" w:after="120"/>
              <w:ind w:firstLine="720"/>
            </w:pPr>
            <w:r w:rsidRPr="002C0B12">
              <w:t xml:space="preserve"> </w:t>
            </w:r>
            <w:r>
              <w:t xml:space="preserve">Noteikumi nosaka derīgo izrakteņu atradnes pases saturu un, ņemot vērā, ka pases sagatavošana ir licencēšanas procesa neatņemama sastāvdaļa - arī kārtību, kādā zemes dzīļu iemantotājs pirms licences izsniegšanas saņem derīgo izrakteņu atradnes pasi un ieguves limitu. </w:t>
            </w:r>
          </w:p>
          <w:p w:rsidR="00DC3E97" w:rsidRDefault="00DC3E97" w:rsidP="000D5F4D">
            <w:pPr>
              <w:pStyle w:val="naisf"/>
              <w:spacing w:before="0" w:after="120"/>
              <w:ind w:firstLine="720"/>
            </w:pPr>
            <w:r>
              <w:t xml:space="preserve">Noteikumi nosaka </w:t>
            </w:r>
            <w:r w:rsidRPr="000D5F4D">
              <w:t>kārtību, kādā Valsts vides dienests izsniedz zemes dzīļu izmantošanas licences un kārtību, kādā  vietējās pašvaldības izsniedz atļaujas bieži sas</w:t>
            </w:r>
            <w:r>
              <w:t xml:space="preserve">topamo derīgo izrakteņu ieguvei. </w:t>
            </w:r>
          </w:p>
          <w:p w:rsidR="00DC3E97" w:rsidRDefault="00DC3E97" w:rsidP="000D5F4D">
            <w:pPr>
              <w:pStyle w:val="naisf"/>
              <w:spacing w:before="0" w:after="120"/>
              <w:ind w:firstLine="720"/>
            </w:pPr>
            <w:r>
              <w:t xml:space="preserve">Ņemot vērā to, ka pazemes ūdeņi ir valsts nozīmes derīgais izraktenis ar īpašu izpētes un ieguves specifiku, atsevišķā nodaļā noteikta pazemes ūdeņu izmantošana.  </w:t>
            </w:r>
          </w:p>
          <w:p w:rsidR="00DC3E97" w:rsidRDefault="00DC3E97" w:rsidP="000D5F4D">
            <w:pPr>
              <w:pStyle w:val="naisf"/>
              <w:spacing w:before="0" w:after="120"/>
              <w:ind w:firstLine="720"/>
            </w:pPr>
            <w:r>
              <w:t>Regulēti arī gadījumi, kad ūdens ieguves urbums un zeme nepieder vienai un tai pašai personai. Z</w:t>
            </w:r>
            <w:r w:rsidRPr="000D057F">
              <w:t>emes reformas laikā ir izveidojusies situācija, ka zeme, k</w:t>
            </w:r>
            <w:r>
              <w:t>urā atrodas ūdens ieguves urbumi</w:t>
            </w:r>
            <w:r w:rsidRPr="000D057F">
              <w:t xml:space="preserve"> (pašvaldībām, privātpersonām piedero</w:t>
            </w:r>
            <w:r>
              <w:t xml:space="preserve">ši) ir atdota zemes īpašniekiem, šādos gadījumos dažkārt veidojas konflikta situācijas, tādēļ projektā iekļauti nosacījumi, kas jāņem vērā. </w:t>
            </w:r>
          </w:p>
          <w:p w:rsidR="00DC3E97" w:rsidRPr="00471417" w:rsidRDefault="00DC3E97" w:rsidP="000D5F4D">
            <w:pPr>
              <w:pStyle w:val="naisf"/>
              <w:spacing w:before="0" w:after="120"/>
              <w:ind w:firstLine="720"/>
            </w:pPr>
            <w:r w:rsidRPr="00471417">
              <w:rPr>
                <w:bCs/>
              </w:rPr>
              <w:t xml:space="preserve">Iekļauti nosacījumi par urbumu likvidāciju, t.sk. tiek prasīts </w:t>
            </w:r>
            <w:smartTag w:uri="schemas-tilde-lv/tildestengine" w:element="veidnes">
              <w:smartTagPr>
                <w:attr w:name="id" w:val="-1"/>
                <w:attr w:name="baseform" w:val="līgums"/>
                <w:attr w:name="text" w:val="līgums"/>
              </w:smartTagPr>
              <w:r w:rsidRPr="00471417">
                <w:rPr>
                  <w:bCs/>
                </w:rPr>
                <w:t>līgums</w:t>
              </w:r>
            </w:smartTag>
            <w:r w:rsidRPr="00471417">
              <w:rPr>
                <w:bCs/>
              </w:rPr>
              <w:t xml:space="preserve"> ar urbuma īpašnieku, ja urbums un zeme nepieder vienai un tai pašai personai. Tas nepieciešams, lai dienests varētu izsniegt licenci zinot, ka ne tikai zemes īpašnieks (</w:t>
            </w:r>
            <w:smartTag w:uri="schemas-tilde-lv/tildestengine" w:element="veidnes">
              <w:smartTagPr>
                <w:attr w:name="id" w:val="-1"/>
                <w:attr w:name="baseform" w:val="līgums"/>
                <w:attr w:name="text" w:val="līgums"/>
              </w:smartTagPr>
              <w:r w:rsidRPr="00471417">
                <w:rPr>
                  <w:bCs/>
                </w:rPr>
                <w:t>līgums</w:t>
              </w:r>
            </w:smartTag>
            <w:r w:rsidRPr="00471417">
              <w:rPr>
                <w:bCs/>
              </w:rPr>
              <w:t xml:space="preserve"> ar zemes īpašnieku ir licences saņemšanas nosacījums), bet arī urbuma īpašnieks, gadījumos, kad zemes un urbuma īpašnieks nav viena un tā pati persona, ir informēts par urbuma likvidāciju.</w:t>
            </w:r>
          </w:p>
          <w:p w:rsidR="00DC3E97" w:rsidRPr="0068726C" w:rsidRDefault="00DC3E97" w:rsidP="000A7EB7">
            <w:pPr>
              <w:pStyle w:val="naisf"/>
              <w:shd w:val="clear" w:color="auto" w:fill="FFFFFF"/>
              <w:tabs>
                <w:tab w:val="left" w:pos="993"/>
              </w:tabs>
              <w:spacing w:before="0" w:after="120"/>
              <w:ind w:firstLine="720"/>
            </w:pPr>
            <w:r w:rsidRPr="0068726C">
              <w:t>Noteikti gadījumi, kad zemes dzīļu izmantošanas licenci izsniedz zemes dzīļu izmantošanai visā Latvijas teritorijā, kā arī prasība pirms darbu veikšanas noslēgt līgumu ar zemes īpašnieku.</w:t>
            </w:r>
          </w:p>
          <w:p w:rsidR="00DC3E97" w:rsidRPr="0021500A" w:rsidRDefault="00DC3E97" w:rsidP="000A7EB7">
            <w:pPr>
              <w:pStyle w:val="naislab"/>
              <w:spacing w:before="0" w:after="120"/>
              <w:ind w:firstLine="720"/>
              <w:jc w:val="both"/>
            </w:pPr>
            <w:r>
              <w:t xml:space="preserve">Konkursa par </w:t>
            </w:r>
            <w:r w:rsidRPr="0068726C">
              <w:t>valsts nozīmes atradņu izmantošanu regulējums aizstāts ar nosacījumiem par šādu atradņu izmantošanu</w:t>
            </w:r>
            <w:r>
              <w:t>. Valsts nozīmes derīgo izrakteņu atradnes ir Latvijas mērogiem lielas atradnes, to</w:t>
            </w:r>
            <w:r w:rsidRPr="006E14B3">
              <w:t xml:space="preserve"> krājumi nodrošina valsts vai vairāku </w:t>
            </w:r>
            <w:r w:rsidRPr="0021500A">
              <w:t>tās reģionu vajadzības pēc attiecīgā derīgā izrakteņa</w:t>
            </w:r>
            <w:r>
              <w:t>.</w:t>
            </w:r>
            <w:r w:rsidRPr="0021500A">
              <w:t xml:space="preserve"> </w:t>
            </w:r>
            <w:r w:rsidRPr="0021500A">
              <w:br/>
            </w:r>
            <w:r>
              <w:t>L</w:t>
            </w:r>
            <w:r w:rsidRPr="0021500A">
              <w:t>ai novērstu situāciju, ka vienā atradnē derīgo izrakteņu ieguvi veic nekontrolējams skaits komersantu</w:t>
            </w:r>
            <w:r>
              <w:t>, kas rada papildus slodzi videi un risku, ka atradne tiks izstrādāta neracionāli, noteikti licences laukuma ierobežojumi.</w:t>
            </w:r>
          </w:p>
          <w:p w:rsidR="00DC3E97" w:rsidRPr="002C0B12" w:rsidRDefault="00DC3E97" w:rsidP="006060C8">
            <w:pPr>
              <w:pStyle w:val="naisf"/>
              <w:spacing w:before="0" w:after="120"/>
              <w:ind w:firstLine="772"/>
            </w:pPr>
            <w:r>
              <w:t xml:space="preserve">Lai veicinātu racionālu dabas resursu ieguvi un teritorijas izmantošanu noteiktas platības, no kurām valsts un pašvaldību zemē rīko konkursu vai izsoli par zemes nomas tiesībām un licences vai atļaujas saņemšanu. </w:t>
            </w:r>
          </w:p>
        </w:tc>
      </w:tr>
      <w:tr w:rsidR="00DC3E97" w:rsidRPr="004862ED" w:rsidTr="003D77D3">
        <w:tc>
          <w:tcPr>
            <w:tcW w:w="2748" w:type="dxa"/>
          </w:tcPr>
          <w:p w:rsidR="00DC3E97" w:rsidRPr="007B6A48" w:rsidRDefault="00DC3E97" w:rsidP="003D77D3">
            <w:pPr>
              <w:pStyle w:val="Footer"/>
              <w:tabs>
                <w:tab w:val="clear" w:pos="4153"/>
                <w:tab w:val="clear" w:pos="8306"/>
              </w:tabs>
              <w:rPr>
                <w:rFonts w:ascii="Times New Roman" w:hAnsi="Times New Roman"/>
                <w:sz w:val="24"/>
                <w:szCs w:val="24"/>
              </w:rPr>
            </w:pPr>
            <w:r w:rsidRPr="007B6A48">
              <w:rPr>
                <w:rFonts w:ascii="Times New Roman" w:hAnsi="Times New Roman"/>
                <w:sz w:val="24"/>
                <w:szCs w:val="24"/>
              </w:rPr>
              <w:t>5. Projekta izstrādē iesaistītās institūcijas</w:t>
            </w:r>
          </w:p>
        </w:tc>
        <w:tc>
          <w:tcPr>
            <w:tcW w:w="6540" w:type="dxa"/>
          </w:tcPr>
          <w:p w:rsidR="00DC3E97" w:rsidRPr="0064499B" w:rsidRDefault="00DC3E97" w:rsidP="0064499B">
            <w:pPr>
              <w:pStyle w:val="Footer"/>
              <w:tabs>
                <w:tab w:val="clear" w:pos="4153"/>
                <w:tab w:val="clear" w:pos="8306"/>
              </w:tabs>
              <w:jc w:val="both"/>
              <w:rPr>
                <w:rFonts w:ascii="Times New Roman" w:hAnsi="Times New Roman"/>
                <w:sz w:val="24"/>
                <w:szCs w:val="24"/>
              </w:rPr>
            </w:pPr>
            <w:r w:rsidRPr="0064499B">
              <w:rPr>
                <w:rFonts w:ascii="Times New Roman" w:hAnsi="Times New Roman"/>
                <w:sz w:val="24"/>
                <w:szCs w:val="24"/>
              </w:rPr>
              <w:t>Valsts vides dienests</w:t>
            </w:r>
            <w:r>
              <w:rPr>
                <w:rFonts w:ascii="Times New Roman" w:hAnsi="Times New Roman"/>
                <w:sz w:val="24"/>
                <w:szCs w:val="24"/>
              </w:rPr>
              <w:t>, valsts SIA „Latvijas vides ģeoloģijas un meteoroloģijas centrs”, AS „Latvijas valsts meži”.</w:t>
            </w:r>
          </w:p>
        </w:tc>
      </w:tr>
      <w:tr w:rsidR="00DC3E97" w:rsidRPr="004862ED" w:rsidTr="003D77D3">
        <w:tc>
          <w:tcPr>
            <w:tcW w:w="2748" w:type="dxa"/>
          </w:tcPr>
          <w:p w:rsidR="00DC3E97" w:rsidRPr="007B6A48" w:rsidRDefault="00DC3E97" w:rsidP="003D77D3">
            <w:pPr>
              <w:pStyle w:val="Footer"/>
              <w:tabs>
                <w:tab w:val="clear" w:pos="4153"/>
                <w:tab w:val="clear" w:pos="8306"/>
              </w:tabs>
              <w:rPr>
                <w:rFonts w:ascii="Times New Roman" w:hAnsi="Times New Roman"/>
                <w:sz w:val="24"/>
                <w:szCs w:val="24"/>
              </w:rPr>
            </w:pPr>
            <w:r w:rsidRPr="007B6A48">
              <w:rPr>
                <w:rFonts w:ascii="Times New Roman" w:hAnsi="Times New Roman"/>
                <w:sz w:val="24"/>
                <w:szCs w:val="24"/>
              </w:rPr>
              <w:t>6. Iemesli, kādēļ netika nodrošināta sabiedrības līdzdalība</w:t>
            </w:r>
          </w:p>
        </w:tc>
        <w:tc>
          <w:tcPr>
            <w:tcW w:w="6540" w:type="dxa"/>
          </w:tcPr>
          <w:p w:rsidR="00DC3E97" w:rsidRPr="004862ED" w:rsidRDefault="00DC3E97" w:rsidP="003D77D3">
            <w:pPr>
              <w:pStyle w:val="Footer"/>
              <w:tabs>
                <w:tab w:val="clear" w:pos="4153"/>
                <w:tab w:val="clear" w:pos="8306"/>
              </w:tabs>
              <w:jc w:val="both"/>
              <w:rPr>
                <w:rFonts w:ascii="Times New Roman" w:hAnsi="Times New Roman"/>
                <w:sz w:val="24"/>
                <w:szCs w:val="24"/>
              </w:rPr>
            </w:pPr>
            <w:r w:rsidRPr="004862ED">
              <w:rPr>
                <w:rFonts w:ascii="Times New Roman" w:hAnsi="Times New Roman"/>
                <w:sz w:val="24"/>
                <w:szCs w:val="24"/>
              </w:rPr>
              <w:t>Nav attiecināms</w:t>
            </w:r>
          </w:p>
          <w:p w:rsidR="00DC3E97" w:rsidRPr="004862ED" w:rsidRDefault="00DC3E97" w:rsidP="003D77D3"/>
        </w:tc>
      </w:tr>
      <w:tr w:rsidR="00DC3E97" w:rsidRPr="004862ED" w:rsidTr="003D77D3">
        <w:tc>
          <w:tcPr>
            <w:tcW w:w="2748" w:type="dxa"/>
          </w:tcPr>
          <w:p w:rsidR="00DC3E97" w:rsidRPr="004862ED" w:rsidRDefault="00DC3E97" w:rsidP="003D77D3">
            <w:pPr>
              <w:pStyle w:val="Footer"/>
              <w:tabs>
                <w:tab w:val="clear" w:pos="4153"/>
                <w:tab w:val="clear" w:pos="8306"/>
              </w:tabs>
              <w:rPr>
                <w:rFonts w:ascii="Times New Roman" w:hAnsi="Times New Roman"/>
                <w:sz w:val="24"/>
                <w:szCs w:val="24"/>
              </w:rPr>
            </w:pPr>
            <w:r>
              <w:rPr>
                <w:rFonts w:ascii="Times New Roman" w:hAnsi="Times New Roman"/>
                <w:sz w:val="24"/>
                <w:szCs w:val="24"/>
              </w:rPr>
              <w:t>7</w:t>
            </w:r>
            <w:r w:rsidRPr="004862ED">
              <w:rPr>
                <w:rFonts w:ascii="Times New Roman" w:hAnsi="Times New Roman"/>
                <w:sz w:val="24"/>
                <w:szCs w:val="24"/>
              </w:rPr>
              <w:t>. Cita informācija</w:t>
            </w:r>
          </w:p>
        </w:tc>
        <w:tc>
          <w:tcPr>
            <w:tcW w:w="6540" w:type="dxa"/>
          </w:tcPr>
          <w:p w:rsidR="00DC3E97" w:rsidRPr="004862ED" w:rsidRDefault="00DC3E97" w:rsidP="003D77D3">
            <w:r w:rsidRPr="004862ED">
              <w:t>Citas informācijas nav.</w:t>
            </w:r>
          </w:p>
        </w:tc>
      </w:tr>
    </w:tbl>
    <w:p w:rsidR="00DC3E97" w:rsidRPr="004862ED" w:rsidRDefault="00DC3E97" w:rsidP="003D77D3">
      <w:pPr>
        <w:pStyle w:val="Footer"/>
        <w:tabs>
          <w:tab w:val="clear" w:pos="4153"/>
          <w:tab w:val="clear" w:pos="8306"/>
        </w:tabs>
        <w:rPr>
          <w:rFonts w:ascii="Times New Roman" w:hAnsi="Times New Roman"/>
          <w:sz w:val="24"/>
          <w:szCs w:val="24"/>
        </w:rPr>
      </w:pPr>
    </w:p>
    <w:tbl>
      <w:tblPr>
        <w:tblW w:w="94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
        <w:gridCol w:w="644"/>
        <w:gridCol w:w="2149"/>
        <w:gridCol w:w="43"/>
        <w:gridCol w:w="1658"/>
        <w:gridCol w:w="4785"/>
        <w:gridCol w:w="34"/>
        <w:gridCol w:w="26"/>
        <w:gridCol w:w="58"/>
      </w:tblGrid>
      <w:tr w:rsidR="00DC3E97" w:rsidRPr="004862ED" w:rsidTr="003D77D3">
        <w:trPr>
          <w:gridAfter w:val="1"/>
          <w:wAfter w:w="58" w:type="dxa"/>
        </w:trPr>
        <w:tc>
          <w:tcPr>
            <w:tcW w:w="9382" w:type="dxa"/>
            <w:gridSpan w:val="8"/>
            <w:tcBorders>
              <w:bottom w:val="nil"/>
            </w:tcBorders>
          </w:tcPr>
          <w:p w:rsidR="00DC3E97" w:rsidRPr="004862ED" w:rsidRDefault="00DC3E97" w:rsidP="003D77D3">
            <w:pPr>
              <w:jc w:val="center"/>
              <w:rPr>
                <w:b/>
              </w:rPr>
            </w:pPr>
            <w:r w:rsidRPr="004862ED">
              <w:br w:type="page"/>
            </w:r>
            <w:r w:rsidRPr="004862ED">
              <w:br w:type="page"/>
            </w:r>
            <w:r w:rsidRPr="004862ED">
              <w:rPr>
                <w:b/>
              </w:rPr>
              <w:t xml:space="preserve">II. </w:t>
            </w:r>
            <w:r w:rsidRPr="009640EB">
              <w:rPr>
                <w:b/>
                <w:bCs/>
              </w:rPr>
              <w:t>Tiesību akta projekta ietekme uz sabiedrību</w:t>
            </w:r>
          </w:p>
        </w:tc>
      </w:tr>
      <w:tr w:rsidR="00DC3E97" w:rsidRPr="004862ED" w:rsidTr="003D77D3">
        <w:trPr>
          <w:gridAfter w:val="1"/>
          <w:wAfter w:w="58" w:type="dxa"/>
        </w:trPr>
        <w:tc>
          <w:tcPr>
            <w:tcW w:w="2836" w:type="dxa"/>
            <w:gridSpan w:val="3"/>
            <w:tcBorders>
              <w:right w:val="single" w:sz="4" w:space="0" w:color="auto"/>
            </w:tcBorders>
          </w:tcPr>
          <w:p w:rsidR="00DC3E97" w:rsidRPr="004862ED" w:rsidRDefault="00DC3E97" w:rsidP="003D77D3">
            <w:pPr>
              <w:ind w:left="284" w:hanging="284"/>
              <w:jc w:val="both"/>
            </w:pPr>
            <w:r w:rsidRPr="004862ED">
              <w:t>1. </w:t>
            </w:r>
            <w:r>
              <w:t>Sabiedrības mērķgrupa</w:t>
            </w:r>
            <w:r w:rsidRPr="004862ED">
              <w:t xml:space="preserve"> </w:t>
            </w:r>
          </w:p>
        </w:tc>
        <w:tc>
          <w:tcPr>
            <w:tcW w:w="6546" w:type="dxa"/>
            <w:gridSpan w:val="5"/>
            <w:tcBorders>
              <w:left w:val="single" w:sz="4" w:space="0" w:color="auto"/>
            </w:tcBorders>
          </w:tcPr>
          <w:p w:rsidR="00DC3E97" w:rsidRPr="004862ED" w:rsidRDefault="00DC3E97" w:rsidP="00C908D9">
            <w:pPr>
              <w:pStyle w:val="Footer"/>
              <w:tabs>
                <w:tab w:val="clear" w:pos="4153"/>
                <w:tab w:val="clear" w:pos="8306"/>
              </w:tabs>
              <w:jc w:val="both"/>
              <w:rPr>
                <w:rFonts w:ascii="Times New Roman" w:hAnsi="Times New Roman"/>
                <w:sz w:val="24"/>
                <w:szCs w:val="24"/>
              </w:rPr>
            </w:pPr>
            <w:r>
              <w:rPr>
                <w:rFonts w:ascii="Times New Roman" w:hAnsi="Times New Roman"/>
                <w:sz w:val="24"/>
                <w:szCs w:val="24"/>
              </w:rPr>
              <w:t xml:space="preserve">Komersanti, kas izmanto zemes dzīles, kam jāsaņem atļauja vai licence. </w:t>
            </w:r>
          </w:p>
        </w:tc>
      </w:tr>
      <w:tr w:rsidR="00DC3E97" w:rsidRPr="004862ED" w:rsidTr="003D77D3">
        <w:trPr>
          <w:gridAfter w:val="1"/>
          <w:wAfter w:w="58" w:type="dxa"/>
        </w:trPr>
        <w:tc>
          <w:tcPr>
            <w:tcW w:w="2836" w:type="dxa"/>
            <w:gridSpan w:val="3"/>
            <w:tcBorders>
              <w:right w:val="single" w:sz="4" w:space="0" w:color="auto"/>
            </w:tcBorders>
          </w:tcPr>
          <w:p w:rsidR="00DC3E97" w:rsidRPr="004862ED" w:rsidRDefault="00DC3E97" w:rsidP="003D77D3">
            <w:pPr>
              <w:jc w:val="both"/>
            </w:pPr>
            <w:r>
              <w:t>2.</w:t>
            </w:r>
            <w:r w:rsidRPr="004862ED">
              <w:t xml:space="preserve"> </w:t>
            </w:r>
            <w:r w:rsidRPr="009640EB">
              <w:t>Citas sabiedrības grupas (bez mērķgrupas), kuras tiesiskais regulējums arī ietekmē vai varētu ietekmēt</w:t>
            </w:r>
          </w:p>
        </w:tc>
        <w:tc>
          <w:tcPr>
            <w:tcW w:w="6546" w:type="dxa"/>
            <w:gridSpan w:val="5"/>
            <w:tcBorders>
              <w:left w:val="single" w:sz="4" w:space="0" w:color="auto"/>
            </w:tcBorders>
          </w:tcPr>
          <w:p w:rsidR="00DC3E97" w:rsidRPr="004862ED" w:rsidRDefault="00DC3E97" w:rsidP="00EE2492">
            <w:pPr>
              <w:jc w:val="both"/>
            </w:pPr>
            <w:r>
              <w:t xml:space="preserve">Personas, kas ir zemes īpašnieki vai iznomā zemi zemes dzīļu izmantošanai. Iestādes, komersanti un privātpersonas, kas pasūta darbus, kam nepieciešama atļauja vai zemes dzīļu izmantošanas licence. </w:t>
            </w:r>
          </w:p>
        </w:tc>
      </w:tr>
      <w:tr w:rsidR="00DC3E97" w:rsidRPr="0048187F" w:rsidTr="003D77D3">
        <w:trPr>
          <w:gridAfter w:val="1"/>
          <w:wAfter w:w="58" w:type="dxa"/>
        </w:trPr>
        <w:tc>
          <w:tcPr>
            <w:tcW w:w="2836" w:type="dxa"/>
            <w:gridSpan w:val="3"/>
          </w:tcPr>
          <w:p w:rsidR="00DC3E97" w:rsidRPr="004862ED" w:rsidRDefault="00DC3E97" w:rsidP="003D77D3">
            <w:pPr>
              <w:pStyle w:val="naiskr"/>
              <w:spacing w:before="0" w:after="0"/>
              <w:jc w:val="both"/>
            </w:pPr>
            <w:r>
              <w:t xml:space="preserve">3. </w:t>
            </w:r>
            <w:r w:rsidRPr="009640EB">
              <w:t>Tiesiskā regulējuma finansiālā ietekme</w:t>
            </w:r>
          </w:p>
        </w:tc>
        <w:tc>
          <w:tcPr>
            <w:tcW w:w="6546" w:type="dxa"/>
            <w:gridSpan w:val="5"/>
          </w:tcPr>
          <w:p w:rsidR="00DC3E97" w:rsidRPr="00B725E7" w:rsidRDefault="00DC3E97" w:rsidP="00FF7B76">
            <w:pPr>
              <w:spacing w:after="120"/>
              <w:jc w:val="both"/>
              <w:rPr>
                <w:color w:val="92D050"/>
              </w:rPr>
            </w:pPr>
            <w:r w:rsidRPr="00FF7B76">
              <w:t xml:space="preserve">Tā </w:t>
            </w:r>
            <w:r>
              <w:t>kā noteikumu projekts izstrādāts, balstoties uz spēkā esošiem noteikumiem, finansiālās ietekmes nav.</w:t>
            </w:r>
          </w:p>
        </w:tc>
      </w:tr>
      <w:tr w:rsidR="00DC3E97" w:rsidRPr="0048187F" w:rsidTr="003D77D3">
        <w:trPr>
          <w:gridAfter w:val="1"/>
          <w:wAfter w:w="58" w:type="dxa"/>
          <w:trHeight w:val="174"/>
        </w:trPr>
        <w:tc>
          <w:tcPr>
            <w:tcW w:w="2836" w:type="dxa"/>
            <w:gridSpan w:val="3"/>
          </w:tcPr>
          <w:p w:rsidR="00DC3E97" w:rsidRPr="00721F47" w:rsidRDefault="00DC3E97" w:rsidP="003D77D3">
            <w:pPr>
              <w:pStyle w:val="Footer"/>
              <w:tabs>
                <w:tab w:val="clear" w:pos="4153"/>
                <w:tab w:val="clear" w:pos="8306"/>
              </w:tabs>
              <w:rPr>
                <w:rFonts w:ascii="Times New Roman" w:hAnsi="Times New Roman"/>
                <w:sz w:val="24"/>
                <w:szCs w:val="24"/>
              </w:rPr>
            </w:pPr>
            <w:r w:rsidRPr="00721F47">
              <w:rPr>
                <w:rFonts w:ascii="Times New Roman" w:hAnsi="Times New Roman"/>
                <w:sz w:val="24"/>
                <w:szCs w:val="24"/>
              </w:rPr>
              <w:t>4. Tiesiskā regulējuma nefinansiālā ietekme</w:t>
            </w:r>
          </w:p>
        </w:tc>
        <w:tc>
          <w:tcPr>
            <w:tcW w:w="6546" w:type="dxa"/>
            <w:gridSpan w:val="5"/>
          </w:tcPr>
          <w:p w:rsidR="00DC3E97" w:rsidRDefault="00DC3E97" w:rsidP="003D77D3">
            <w:pPr>
              <w:pStyle w:val="Footer"/>
              <w:tabs>
                <w:tab w:val="clear" w:pos="4153"/>
                <w:tab w:val="clear" w:pos="8306"/>
              </w:tabs>
              <w:jc w:val="both"/>
              <w:rPr>
                <w:rFonts w:ascii="Times New Roman" w:hAnsi="Times New Roman"/>
                <w:sz w:val="24"/>
                <w:szCs w:val="24"/>
              </w:rPr>
            </w:pPr>
            <w:r>
              <w:rPr>
                <w:rFonts w:ascii="Times New Roman" w:hAnsi="Times New Roman"/>
                <w:sz w:val="24"/>
                <w:szCs w:val="24"/>
              </w:rPr>
              <w:t xml:space="preserve">Ir samazināts administratīvais slogs, jo noteikumu projekts vairs neparedz konkursus valsts nozīmes atradņu izmantošanai. </w:t>
            </w:r>
          </w:p>
          <w:p w:rsidR="00DC3E97" w:rsidRPr="004862ED" w:rsidRDefault="00DC3E97" w:rsidP="003D77D3">
            <w:pPr>
              <w:pStyle w:val="Footer"/>
              <w:tabs>
                <w:tab w:val="clear" w:pos="4153"/>
                <w:tab w:val="clear" w:pos="8306"/>
              </w:tabs>
              <w:jc w:val="both"/>
              <w:rPr>
                <w:rFonts w:ascii="Times New Roman" w:hAnsi="Times New Roman"/>
                <w:sz w:val="24"/>
                <w:szCs w:val="24"/>
              </w:rPr>
            </w:pPr>
            <w:r>
              <w:rPr>
                <w:rFonts w:ascii="Times New Roman" w:hAnsi="Times New Roman"/>
                <w:sz w:val="24"/>
                <w:szCs w:val="24"/>
              </w:rPr>
              <w:t>Paredzēta iespēja iesniegt un saņemt dokumentus elektroniskā formā.</w:t>
            </w:r>
          </w:p>
        </w:tc>
      </w:tr>
      <w:tr w:rsidR="00DC3E97" w:rsidRPr="00B725E7" w:rsidTr="003D77D3">
        <w:trPr>
          <w:gridAfter w:val="1"/>
          <w:wAfter w:w="58" w:type="dxa"/>
        </w:trPr>
        <w:tc>
          <w:tcPr>
            <w:tcW w:w="2836" w:type="dxa"/>
            <w:gridSpan w:val="3"/>
          </w:tcPr>
          <w:p w:rsidR="00DC3E97" w:rsidRPr="00721F47" w:rsidRDefault="00DC3E97" w:rsidP="003D77D3">
            <w:pPr>
              <w:pStyle w:val="Footer"/>
              <w:tabs>
                <w:tab w:val="clear" w:pos="4153"/>
                <w:tab w:val="clear" w:pos="8306"/>
              </w:tabs>
              <w:rPr>
                <w:rFonts w:ascii="Times New Roman" w:hAnsi="Times New Roman"/>
                <w:sz w:val="24"/>
                <w:szCs w:val="24"/>
              </w:rPr>
            </w:pPr>
            <w:r w:rsidRPr="00721F47">
              <w:rPr>
                <w:rFonts w:ascii="Times New Roman" w:hAnsi="Times New Roman"/>
                <w:sz w:val="24"/>
                <w:szCs w:val="24"/>
              </w:rPr>
              <w:t>5. Administratīvās procedūras raksturojums</w:t>
            </w:r>
          </w:p>
        </w:tc>
        <w:tc>
          <w:tcPr>
            <w:tcW w:w="6546" w:type="dxa"/>
            <w:gridSpan w:val="5"/>
          </w:tcPr>
          <w:p w:rsidR="00DC3E97" w:rsidRDefault="00DC3E97" w:rsidP="00275DD8">
            <w:pPr>
              <w:spacing w:after="120"/>
              <w:jc w:val="both"/>
              <w:rPr>
                <w:szCs w:val="28"/>
              </w:rPr>
            </w:pPr>
            <w:r w:rsidRPr="008427A9">
              <w:rPr>
                <w:szCs w:val="28"/>
              </w:rPr>
              <w:t>Lai saņemtu</w:t>
            </w:r>
            <w:r>
              <w:rPr>
                <w:szCs w:val="28"/>
              </w:rPr>
              <w:t xml:space="preserve"> zemes dzīļu izmantošanas licenci, persona Valsts vides dienestā iesniedz iesniegumu, kurā norāda zemes dzīļu izmantošanas veidu, kā arī ziņas par sevi. </w:t>
            </w:r>
          </w:p>
          <w:p w:rsidR="00DC3E97" w:rsidRDefault="00DC3E97" w:rsidP="00275DD8">
            <w:pPr>
              <w:spacing w:after="120"/>
              <w:jc w:val="both"/>
              <w:rPr>
                <w:szCs w:val="28"/>
              </w:rPr>
            </w:pPr>
            <w:r>
              <w:rPr>
                <w:szCs w:val="28"/>
              </w:rPr>
              <w:t xml:space="preserve">Atkarībā no zemes dzīļu izmantošanas veida iesniegumam pievieno noteikumos norādītos pielikumus, piemēram, karti ar zemes dzīļu izmatošanai paredzētās teritorijas un zemes īpašumu robežām, līgumu ar zemes īpašnieku, urbumam – ģeoloģiski tehnisko griezumu. </w:t>
            </w:r>
          </w:p>
          <w:p w:rsidR="00DC3E97" w:rsidRDefault="00DC3E97" w:rsidP="00275DD8">
            <w:pPr>
              <w:spacing w:after="120"/>
              <w:jc w:val="both"/>
              <w:rPr>
                <w:szCs w:val="28"/>
              </w:rPr>
            </w:pPr>
            <w:r>
              <w:rPr>
                <w:szCs w:val="28"/>
              </w:rPr>
              <w:t xml:space="preserve">Derīgo izrakteņu ieguvei pirms licences saņemšanas jāsaņem Valsts vides dienesta izsniegtais ieguves limits un atradnes pase. Limitu un pasi izsniedz, ja </w:t>
            </w:r>
            <w:r>
              <w:t>valsts SIA „Latvijas vides ģeoloģijas un meteoroloģijas centrs”</w:t>
            </w:r>
            <w:r>
              <w:rPr>
                <w:szCs w:val="28"/>
              </w:rPr>
              <w:t xml:space="preserve"> ir akceptēti derīgo izrakteņu krājumi.  </w:t>
            </w:r>
          </w:p>
          <w:p w:rsidR="00DC3E97" w:rsidRDefault="00DC3E97" w:rsidP="00275DD8">
            <w:pPr>
              <w:spacing w:after="120"/>
              <w:jc w:val="both"/>
              <w:rPr>
                <w:szCs w:val="28"/>
              </w:rPr>
            </w:pPr>
            <w:r>
              <w:rPr>
                <w:szCs w:val="28"/>
              </w:rPr>
              <w:t xml:space="preserve">Pazemes ūdeņu ieguvei urbuma vai avota pasi pirms licences saņemšanas saskaņo </w:t>
            </w:r>
            <w:r>
              <w:t>valsts SIA „Latvijas vides ģeoloģijas un meteoroloģijas centrs”</w:t>
            </w:r>
            <w:r>
              <w:rPr>
                <w:szCs w:val="28"/>
              </w:rPr>
              <w:t xml:space="preserve">. </w:t>
            </w:r>
          </w:p>
          <w:p w:rsidR="00DC3E97" w:rsidRDefault="00DC3E97" w:rsidP="00275DD8">
            <w:pPr>
              <w:spacing w:after="120"/>
              <w:jc w:val="both"/>
              <w:rPr>
                <w:szCs w:val="28"/>
              </w:rPr>
            </w:pPr>
            <w:r>
              <w:rPr>
                <w:szCs w:val="28"/>
              </w:rPr>
              <w:t xml:space="preserve">Pēc visu nepieciešamo dokumentu saņemšanas Valsts vides dienests mēneša laikā izsniedz licenci. </w:t>
            </w:r>
          </w:p>
          <w:p w:rsidR="00DC3E97" w:rsidRDefault="00DC3E97" w:rsidP="00275DD8">
            <w:pPr>
              <w:spacing w:after="120"/>
              <w:jc w:val="both"/>
              <w:rPr>
                <w:szCs w:val="28"/>
              </w:rPr>
            </w:pPr>
            <w:r>
              <w:rPr>
                <w:szCs w:val="28"/>
              </w:rPr>
              <w:t xml:space="preserve">Bieži sastopamo derīgo izrakteņu (māls, smilts, smilts-grants u.c. derīgie izrakteņi, kas norādīti likuma „Par zemes dzīlēm” pielikumā) ieguves atļaujas izsniedz vietējā pašvaldība. Persona iesniedz vietējā pašvaldībā iesniegumu un noteikumos norādītos pielikumus. </w:t>
            </w:r>
          </w:p>
          <w:p w:rsidR="00DC3E97" w:rsidRDefault="00DC3E97" w:rsidP="00275DD8">
            <w:pPr>
              <w:spacing w:after="120"/>
              <w:jc w:val="both"/>
              <w:rPr>
                <w:szCs w:val="28"/>
              </w:rPr>
            </w:pPr>
            <w:r>
              <w:rPr>
                <w:szCs w:val="28"/>
              </w:rPr>
              <w:t>Lai saņemtu bieži sastopamo derīgo izrakteņu ieguves atļauju, jāsaņem Valsts vides dienesta izsniegtais ieguves limits un atradnes pase. Vietējai pašvaldībai adresētajam iesniegumam pievieno karti ar zemes dzīļu izmatošanai paredzētās teritorijas un zemes īpašumu robežām, līgumu ar zemes īpašnieku, ja atļaujas prasītājs nav zemes īpašnieks, un citus nepieciešamos dokumentus.</w:t>
            </w:r>
          </w:p>
          <w:p w:rsidR="00DC3E97" w:rsidRPr="008427A9" w:rsidRDefault="00DC3E97" w:rsidP="0076469E">
            <w:pPr>
              <w:spacing w:after="120"/>
              <w:jc w:val="both"/>
              <w:rPr>
                <w:szCs w:val="28"/>
              </w:rPr>
            </w:pPr>
            <w:r>
              <w:rPr>
                <w:szCs w:val="28"/>
              </w:rPr>
              <w:t xml:space="preserve">Ja derīgo izrakteņu ieguve paredzēta valsts vai pašvaldības zemē, iestādei jārīko konkurss vai izsole par zemes nomas tiesībām un licences vai atļaujas saņemšanu, ja zemes gabals ir lielāks par 100 ha kūdras ieguvei un lielāks par 10 ha pārējiem derīgiem izrakteņiem. Šajā gadījumā atļauju vai licenci izsniedz konkursa vai izsoles uzvarētājam.   </w:t>
            </w:r>
          </w:p>
        </w:tc>
      </w:tr>
      <w:tr w:rsidR="00DC3E97" w:rsidRPr="0048187F" w:rsidTr="003D77D3">
        <w:trPr>
          <w:gridAfter w:val="1"/>
          <w:wAfter w:w="58" w:type="dxa"/>
        </w:trPr>
        <w:tc>
          <w:tcPr>
            <w:tcW w:w="2836" w:type="dxa"/>
            <w:gridSpan w:val="3"/>
          </w:tcPr>
          <w:p w:rsidR="00DC3E97" w:rsidRPr="004862ED" w:rsidRDefault="00DC3E97" w:rsidP="003D77D3">
            <w:pPr>
              <w:pStyle w:val="naiskr"/>
              <w:spacing w:before="0" w:after="0"/>
            </w:pPr>
            <w:r>
              <w:t xml:space="preserve">6. </w:t>
            </w:r>
            <w:r w:rsidRPr="009640EB">
              <w:t>Administratīvo izmaksu monetārs novērtējums</w:t>
            </w:r>
          </w:p>
        </w:tc>
        <w:tc>
          <w:tcPr>
            <w:tcW w:w="6546" w:type="dxa"/>
            <w:gridSpan w:val="5"/>
          </w:tcPr>
          <w:p w:rsidR="00DC3E97" w:rsidRPr="0048187F" w:rsidRDefault="00DC3E97" w:rsidP="003D77D3">
            <w:pPr>
              <w:rPr>
                <w:szCs w:val="28"/>
              </w:rPr>
            </w:pPr>
            <w:r w:rsidRPr="0048187F">
              <w:rPr>
                <w:szCs w:val="28"/>
              </w:rPr>
              <w:t>Nav attiecināms</w:t>
            </w:r>
          </w:p>
        </w:tc>
      </w:tr>
      <w:tr w:rsidR="00DC3E97" w:rsidRPr="0048187F" w:rsidTr="003D77D3">
        <w:trPr>
          <w:gridAfter w:val="1"/>
          <w:wAfter w:w="58" w:type="dxa"/>
        </w:trPr>
        <w:tc>
          <w:tcPr>
            <w:tcW w:w="2836" w:type="dxa"/>
            <w:gridSpan w:val="3"/>
          </w:tcPr>
          <w:p w:rsidR="00DC3E97" w:rsidRPr="00721F47" w:rsidRDefault="00DC3E97" w:rsidP="003D77D3">
            <w:pPr>
              <w:pStyle w:val="naiskr"/>
              <w:spacing w:before="0" w:after="0"/>
            </w:pPr>
            <w:r w:rsidRPr="00721F47">
              <w:t>7. Cita informācija</w:t>
            </w:r>
          </w:p>
        </w:tc>
        <w:tc>
          <w:tcPr>
            <w:tcW w:w="6546" w:type="dxa"/>
            <w:gridSpan w:val="5"/>
          </w:tcPr>
          <w:p w:rsidR="00DC3E97" w:rsidRPr="0048187F" w:rsidRDefault="00DC3E97" w:rsidP="003D77D3">
            <w:pPr>
              <w:rPr>
                <w:szCs w:val="28"/>
              </w:rPr>
            </w:pPr>
            <w:r w:rsidRPr="0048187F">
              <w:rPr>
                <w:szCs w:val="28"/>
              </w:rPr>
              <w:t xml:space="preserve">Nav attiecināms </w:t>
            </w:r>
          </w:p>
        </w:tc>
      </w:tr>
      <w:tr w:rsidR="00DC3E97" w:rsidRPr="0048187F" w:rsidTr="003D7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Pr>
        <w:tc>
          <w:tcPr>
            <w:tcW w:w="9382" w:type="dxa"/>
            <w:gridSpan w:val="8"/>
            <w:tcBorders>
              <w:top w:val="single" w:sz="6" w:space="0" w:color="auto"/>
              <w:left w:val="single" w:sz="6" w:space="0" w:color="auto"/>
              <w:bottom w:val="single" w:sz="6" w:space="0" w:color="auto"/>
              <w:right w:val="single" w:sz="6" w:space="0" w:color="auto"/>
            </w:tcBorders>
          </w:tcPr>
          <w:p w:rsidR="00DC3E97" w:rsidRDefault="00DC3E97" w:rsidP="003D77D3">
            <w:pPr>
              <w:snapToGrid w:val="0"/>
              <w:jc w:val="center"/>
              <w:rPr>
                <w:b/>
                <w:bCs/>
              </w:rPr>
            </w:pPr>
            <w:r>
              <w:rPr>
                <w:b/>
                <w:bCs/>
              </w:rPr>
              <w:t>Anotācijas III</w:t>
            </w:r>
            <w:r w:rsidRPr="00A629A3">
              <w:rPr>
                <w:b/>
                <w:bCs/>
              </w:rPr>
              <w:t xml:space="preserve"> sadaļa</w:t>
            </w:r>
            <w:r>
              <w:rPr>
                <w:b/>
                <w:bCs/>
              </w:rPr>
              <w:t xml:space="preserve"> -</w:t>
            </w:r>
            <w:r w:rsidRPr="00A629A3">
              <w:rPr>
                <w:b/>
                <w:bCs/>
              </w:rPr>
              <w:t xml:space="preserve"> nav attiecināma</w:t>
            </w:r>
          </w:p>
          <w:p w:rsidR="00DC3E97" w:rsidRPr="00A629A3" w:rsidRDefault="00DC3E97" w:rsidP="003D77D3">
            <w:pPr>
              <w:snapToGrid w:val="0"/>
              <w:jc w:val="center"/>
              <w:rPr>
                <w:b/>
                <w:bCs/>
              </w:rPr>
            </w:pPr>
          </w:p>
        </w:tc>
      </w:tr>
      <w:tr w:rsidR="00DC3E97" w:rsidRPr="0048187F" w:rsidTr="003D7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Pr>
        <w:tc>
          <w:tcPr>
            <w:tcW w:w="9382" w:type="dxa"/>
            <w:gridSpan w:val="8"/>
            <w:tcBorders>
              <w:top w:val="single" w:sz="6" w:space="0" w:color="auto"/>
              <w:left w:val="single" w:sz="6" w:space="0" w:color="auto"/>
              <w:bottom w:val="single" w:sz="6" w:space="0" w:color="auto"/>
              <w:right w:val="single" w:sz="6" w:space="0" w:color="auto"/>
            </w:tcBorders>
          </w:tcPr>
          <w:p w:rsidR="00DC3E97" w:rsidRDefault="00DC3E97" w:rsidP="00C34A0E">
            <w:pPr>
              <w:pStyle w:val="naisnod"/>
              <w:spacing w:before="0" w:after="0"/>
            </w:pPr>
            <w:r w:rsidRPr="007841E4">
              <w:t>IV. Tiesību akta projekta ietekme uz spēkā esošo tiesību normu sistēmu</w:t>
            </w:r>
          </w:p>
          <w:tbl>
            <w:tblPr>
              <w:tblW w:w="9514"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439"/>
              <w:gridCol w:w="6471"/>
            </w:tblGrid>
            <w:tr w:rsidR="00DC3E97" w:rsidRPr="007841E4" w:rsidTr="0076469E">
              <w:trPr>
                <w:jc w:val="center"/>
              </w:trPr>
              <w:tc>
                <w:tcPr>
                  <w:tcW w:w="6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C3E97" w:rsidRPr="007841E4" w:rsidRDefault="00DC3E97" w:rsidP="006060C8">
                  <w:pPr>
                    <w:pStyle w:val="naiskr"/>
                    <w:tabs>
                      <w:tab w:val="left" w:pos="2628"/>
                    </w:tabs>
                    <w:spacing w:before="0" w:after="0"/>
                    <w:jc w:val="center"/>
                    <w:rPr>
                      <w:iCs/>
                    </w:rPr>
                  </w:pPr>
                  <w:r w:rsidRPr="007841E4">
                    <w:rPr>
                      <w:iCs/>
                    </w:rPr>
                    <w:t>1.</w:t>
                  </w:r>
                </w:p>
              </w:tc>
              <w:tc>
                <w:tcPr>
                  <w:tcW w:w="2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C3E97" w:rsidRPr="007841E4" w:rsidRDefault="00DC3E97" w:rsidP="00C34A0E">
                  <w:pPr>
                    <w:pStyle w:val="naiskr"/>
                    <w:tabs>
                      <w:tab w:val="left" w:pos="2628"/>
                    </w:tabs>
                    <w:spacing w:before="0" w:after="0"/>
                    <w:jc w:val="both"/>
                    <w:rPr>
                      <w:iCs/>
                    </w:rPr>
                  </w:pPr>
                  <w:r w:rsidRPr="007841E4">
                    <w:rPr>
                      <w:sz w:val="22"/>
                      <w:szCs w:val="22"/>
                    </w:rPr>
                    <w:t>Nepieciešamie saistītie tiesību aktu projekti</w:t>
                  </w:r>
                </w:p>
              </w:tc>
              <w:tc>
                <w:tcPr>
                  <w:tcW w:w="64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C3E97" w:rsidRDefault="00DC3E97" w:rsidP="006060C8">
                  <w:pPr>
                    <w:spacing w:after="120"/>
                    <w:ind w:right="119"/>
                    <w:jc w:val="both"/>
                  </w:pPr>
                  <w:r>
                    <w:t>1)Likuma „Par zemes dzīlēm” pārejas noteikumi</w:t>
                  </w:r>
                  <w:r w:rsidRPr="008D7F36">
                    <w:t xml:space="preserve"> nosaka, ka </w:t>
                  </w:r>
                  <w:r>
                    <w:t>n</w:t>
                  </w:r>
                  <w:r>
                    <w:rPr>
                      <w:szCs w:val="28"/>
                    </w:rPr>
                    <w:t>oteikumi Nr.280 un Nr.</w:t>
                  </w:r>
                  <w:r w:rsidRPr="00394EE0">
                    <w:rPr>
                      <w:szCs w:val="28"/>
                    </w:rPr>
                    <w:t xml:space="preserve">448 </w:t>
                  </w:r>
                  <w:r w:rsidRPr="008D7F36">
                    <w:t xml:space="preserve">ir spēkā līdz 2011.gada 1.septembrim, ciktāl tie nav pretrunā ar šo likumu. </w:t>
                  </w:r>
                  <w:r>
                    <w:t>Bez  projektā ietvertajiem jautājumiem noteikumos Nr.448 ietvertas arī valsts nozīmes derīgo izrakteņu atradnes – saraksts,  kartes un koordinātas. Minētais saraksts tiks apstiprināt</w:t>
                  </w:r>
                  <w:r w:rsidRPr="006060C8">
                    <w:t>s</w:t>
                  </w:r>
                  <w:r w:rsidRPr="00B0014C">
                    <w:rPr>
                      <w:color w:val="FF0000"/>
                    </w:rPr>
                    <w:t xml:space="preserve"> </w:t>
                  </w:r>
                  <w:r>
                    <w:t>ar atsevišķiem Ministru kabineta noteikumiem.</w:t>
                  </w:r>
                </w:p>
                <w:p w:rsidR="00DC3E97" w:rsidRPr="0048767B" w:rsidRDefault="00DC3E97" w:rsidP="006060C8">
                  <w:pPr>
                    <w:pStyle w:val="naisf"/>
                    <w:spacing w:before="0" w:after="120"/>
                    <w:ind w:right="119" w:firstLine="0"/>
                    <w:rPr>
                      <w:i/>
                      <w:strike/>
                    </w:rPr>
                  </w:pPr>
                  <w:r>
                    <w:t>2)Projektā minēts, ka d</w:t>
                  </w:r>
                  <w:r w:rsidRPr="0048767B">
                    <w:t xml:space="preserve">erīgo izrakteņu atradnes pasi un derīgo izrakteņu ieguves limitu sagatavo un atļauju vai licenci derīgo izrakteņu ieguvei izsniedz, ja </w:t>
                  </w:r>
                  <w:r>
                    <w:t>valsts SIA „Latvijas vides ģeoloģijas un meteoroloģijas centrs”</w:t>
                  </w:r>
                  <w:r w:rsidRPr="0048767B">
                    <w:t xml:space="preserve"> saskaņā ar normatīvajiem aktiem par derīgo izrakteņu ieguves kārtību ir akceptējis A vai N kategorijas derīgo izrakteņu krājumus atradnē. </w:t>
                  </w:r>
                </w:p>
                <w:p w:rsidR="00DC3E97" w:rsidRDefault="00DC3E97" w:rsidP="006060C8">
                  <w:pPr>
                    <w:spacing w:after="120"/>
                    <w:ind w:right="119"/>
                    <w:jc w:val="both"/>
                  </w:pPr>
                  <w:r w:rsidRPr="0048767B">
                    <w:t>Pašlaik spēkā esoši</w:t>
                  </w:r>
                  <w:r>
                    <w:t>e</w:t>
                  </w:r>
                  <w:r w:rsidRPr="0048767B">
                    <w:t xml:space="preserve"> Ministru kabineta 2006.g</w:t>
                  </w:r>
                  <w:r>
                    <w:t>ada 19.</w:t>
                  </w:r>
                  <w:r w:rsidRPr="0048767B">
                    <w:t>septembra noteikumi Nr.779 "Derīgo izrakteņu ieguves kārtība"</w:t>
                  </w:r>
                  <w:r>
                    <w:t xml:space="preserve"> (turpmāk - noteikumi Nr.779)</w:t>
                  </w:r>
                  <w:r w:rsidRPr="0048767B">
                    <w:t xml:space="preserve"> </w:t>
                  </w:r>
                  <w:r>
                    <w:t xml:space="preserve">nosaka prasības derīgo izrakteņu krājumu akceptēšanai. Noteikumos skartie jautājumi (izpēte, ģeoloģiskais pārskats, krājumu aprēķins) ir cieši saistīti ar projektā minēto atradņu pasu sagatavošanu. Ņemot vērā minēto, arī </w:t>
                  </w:r>
                  <w:r w:rsidRPr="0048767B">
                    <w:t>noteikumi Nr.779 "Derīgo izrakteņu ieguves kārtība</w:t>
                  </w:r>
                  <w:r>
                    <w:t xml:space="preserve">” tiks izdoti par jaunu, ievērojot </w:t>
                  </w:r>
                  <w:r w:rsidRPr="002920FC">
                    <w:t xml:space="preserve">likuma „Par zemes dzīlēm” </w:t>
                  </w:r>
                  <w:r>
                    <w:t>5</w:t>
                  </w:r>
                  <w:r w:rsidRPr="002920FC">
                    <w:t xml:space="preserve">.panta </w:t>
                  </w:r>
                  <w:r>
                    <w:t>ceturtās daļas 1. punktā doto deleģējumu Ministru kabinetam.</w:t>
                  </w:r>
                </w:p>
                <w:p w:rsidR="00DC3E97" w:rsidRPr="00AD4438" w:rsidRDefault="00DC3E97" w:rsidP="006060C8">
                  <w:pPr>
                    <w:spacing w:after="120"/>
                    <w:ind w:right="119"/>
                    <w:jc w:val="both"/>
                    <w:rPr>
                      <w:iCs/>
                    </w:rPr>
                  </w:pPr>
                  <w:r>
                    <w:t xml:space="preserve">3) Pašlaik noteikumi Nr.280 nosaka ģeoloģiskās informācijas izmantošanas vispārīgo kārtību. Ģeoloģiskās informācijas sistēmas saturs un izmantošanas noteikumi tiks noteikti ar atsevišķiem Ministru kabineta noteikumiem, ievērojot  likuma </w:t>
                  </w:r>
                  <w:r w:rsidRPr="002920FC">
                    <w:t xml:space="preserve">„Par zemes dzīlēm” </w:t>
                  </w:r>
                  <w:r>
                    <w:t>23</w:t>
                  </w:r>
                  <w:r w:rsidRPr="002920FC">
                    <w:t xml:space="preserve">.panta </w:t>
                  </w:r>
                  <w:r>
                    <w:t xml:space="preserve">ceturtajā daļā doto deleģējumu Ministru kabinetam. </w:t>
                  </w:r>
                </w:p>
              </w:tc>
            </w:tr>
            <w:tr w:rsidR="00DC3E97" w:rsidRPr="007841E4" w:rsidTr="0076469E">
              <w:trPr>
                <w:jc w:val="center"/>
              </w:trPr>
              <w:tc>
                <w:tcPr>
                  <w:tcW w:w="6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C3E97" w:rsidRPr="007841E4" w:rsidRDefault="00DC3E97" w:rsidP="006060C8">
                  <w:pPr>
                    <w:pStyle w:val="naiskr"/>
                    <w:tabs>
                      <w:tab w:val="left" w:pos="2628"/>
                    </w:tabs>
                    <w:spacing w:before="0" w:after="0"/>
                    <w:jc w:val="center"/>
                    <w:rPr>
                      <w:iCs/>
                    </w:rPr>
                  </w:pPr>
                  <w:r w:rsidRPr="007841E4">
                    <w:rPr>
                      <w:iCs/>
                    </w:rPr>
                    <w:t>2.</w:t>
                  </w:r>
                </w:p>
              </w:tc>
              <w:tc>
                <w:tcPr>
                  <w:tcW w:w="2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C3E97" w:rsidRPr="007841E4" w:rsidRDefault="00DC3E97" w:rsidP="00C34A0E">
                  <w:pPr>
                    <w:pStyle w:val="naiskr"/>
                    <w:tabs>
                      <w:tab w:val="left" w:pos="2628"/>
                    </w:tabs>
                    <w:spacing w:before="0" w:after="0"/>
                    <w:jc w:val="both"/>
                    <w:rPr>
                      <w:iCs/>
                    </w:rPr>
                  </w:pPr>
                  <w:r w:rsidRPr="007841E4">
                    <w:rPr>
                      <w:sz w:val="22"/>
                      <w:szCs w:val="22"/>
                    </w:rPr>
                    <w:t>Cita informācija</w:t>
                  </w:r>
                </w:p>
              </w:tc>
              <w:tc>
                <w:tcPr>
                  <w:tcW w:w="64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C3E97" w:rsidRPr="000F32B0" w:rsidRDefault="00DC3E97" w:rsidP="00C34A0E">
                  <w:pPr>
                    <w:jc w:val="both"/>
                  </w:pPr>
                </w:p>
              </w:tc>
            </w:tr>
          </w:tbl>
          <w:p w:rsidR="00DC3E97" w:rsidRPr="007841E4" w:rsidRDefault="00DC3E97" w:rsidP="00C34A0E">
            <w:pPr>
              <w:pStyle w:val="naisnod"/>
              <w:spacing w:before="0" w:after="0"/>
            </w:pPr>
          </w:p>
        </w:tc>
      </w:tr>
      <w:tr w:rsidR="00DC3E97" w:rsidRPr="00E97BC7" w:rsidTr="003D7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jc w:val="center"/>
        </w:trPr>
        <w:tc>
          <w:tcPr>
            <w:tcW w:w="9397" w:type="dxa"/>
            <w:gridSpan w:val="8"/>
          </w:tcPr>
          <w:p w:rsidR="00DC3E97" w:rsidRDefault="00DC3E97" w:rsidP="00C34A0E">
            <w:pPr>
              <w:snapToGrid w:val="0"/>
              <w:jc w:val="center"/>
              <w:rPr>
                <w:b/>
                <w:bCs/>
              </w:rPr>
            </w:pPr>
            <w:r>
              <w:rPr>
                <w:b/>
                <w:bCs/>
              </w:rPr>
              <w:t>Anotācijas V</w:t>
            </w:r>
            <w:r w:rsidRPr="00A629A3">
              <w:rPr>
                <w:b/>
                <w:bCs/>
              </w:rPr>
              <w:t xml:space="preserve"> sadaļa nav attiecināma</w:t>
            </w:r>
          </w:p>
          <w:p w:rsidR="00DC3E97" w:rsidRPr="00E97BC7" w:rsidRDefault="00DC3E97" w:rsidP="003D77D3">
            <w:pPr>
              <w:pStyle w:val="naisnod"/>
              <w:spacing w:before="0" w:after="0"/>
              <w:ind w:left="57" w:right="57"/>
            </w:pPr>
          </w:p>
        </w:tc>
      </w:tr>
      <w:tr w:rsidR="00DC3E97" w:rsidRPr="00E97BC7" w:rsidTr="003D7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jc w:val="center"/>
        </w:trPr>
        <w:tc>
          <w:tcPr>
            <w:tcW w:w="9397" w:type="dxa"/>
            <w:gridSpan w:val="8"/>
          </w:tcPr>
          <w:p w:rsidR="00DC3E97" w:rsidRPr="00E97BC7" w:rsidRDefault="00DC3E97" w:rsidP="003D77D3">
            <w:pPr>
              <w:pStyle w:val="naisnod"/>
              <w:spacing w:before="0" w:after="0"/>
              <w:ind w:left="57" w:right="57"/>
            </w:pPr>
            <w:r w:rsidRPr="00E97BC7">
              <w:t>VI. Sabiedrības līdzdalība un šīs līdzdalības rezultāti</w:t>
            </w:r>
          </w:p>
        </w:tc>
      </w:tr>
      <w:tr w:rsidR="00DC3E97" w:rsidRPr="00E97BC7" w:rsidTr="003D7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trHeight w:val="339"/>
          <w:jc w:val="center"/>
        </w:trPr>
        <w:tc>
          <w:tcPr>
            <w:tcW w:w="644" w:type="dxa"/>
          </w:tcPr>
          <w:p w:rsidR="00DC3E97" w:rsidRPr="00E97BC7" w:rsidRDefault="00DC3E97" w:rsidP="006060C8">
            <w:pPr>
              <w:pStyle w:val="naiskr"/>
              <w:spacing w:before="0" w:after="0"/>
              <w:ind w:left="57" w:right="57"/>
              <w:jc w:val="center"/>
              <w:rPr>
                <w:bCs/>
              </w:rPr>
            </w:pPr>
            <w:r>
              <w:rPr>
                <w:bCs/>
              </w:rPr>
              <w:t>1.</w:t>
            </w:r>
          </w:p>
        </w:tc>
        <w:tc>
          <w:tcPr>
            <w:tcW w:w="2192" w:type="dxa"/>
            <w:gridSpan w:val="2"/>
          </w:tcPr>
          <w:p w:rsidR="00DC3E97" w:rsidRPr="00E97BC7" w:rsidRDefault="00DC3E97" w:rsidP="003D77D3">
            <w:pPr>
              <w:pStyle w:val="naiskr"/>
              <w:spacing w:before="0" w:after="0"/>
              <w:ind w:left="57" w:right="57"/>
            </w:pPr>
            <w:r w:rsidRPr="00E97BC7">
              <w:t>Sabiedrības informēšana par projekta izstrādes uzsākšanu</w:t>
            </w:r>
          </w:p>
        </w:tc>
        <w:tc>
          <w:tcPr>
            <w:tcW w:w="6561" w:type="dxa"/>
            <w:gridSpan w:val="5"/>
          </w:tcPr>
          <w:p w:rsidR="00DC3E97" w:rsidRPr="00E97BC7" w:rsidRDefault="00DC3E97" w:rsidP="00906302">
            <w:pPr>
              <w:pStyle w:val="naiskr"/>
              <w:spacing w:before="0" w:after="0"/>
              <w:ind w:left="57" w:right="57"/>
              <w:jc w:val="both"/>
            </w:pPr>
            <w:r>
              <w:t>P</w:t>
            </w:r>
            <w:r w:rsidRPr="00E97BC7">
              <w:t>rojekts</w:t>
            </w:r>
            <w:r>
              <w:t xml:space="preserve"> pirms izsludināšanas</w:t>
            </w:r>
            <w:r w:rsidRPr="00E97BC7">
              <w:t xml:space="preserve"> valsts sekre</w:t>
            </w:r>
            <w:r>
              <w:t xml:space="preserve">tāru sanāksmē ievietots Vides aizsardzības un reģionālās attīstības ministrijas interneta vietnē. Par projektu informētas sabiedriskās organizācijas – Latvijas Ģeologu savienība, Latvijas Kūdras ražotāju asociācija, biedrība „Latvijas Ceļu būvētājs”, ģeoloģijas jomā strādājošie komersanti. </w:t>
            </w:r>
          </w:p>
        </w:tc>
      </w:tr>
      <w:tr w:rsidR="00DC3E97" w:rsidRPr="00E97BC7" w:rsidTr="003D7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trHeight w:val="339"/>
          <w:jc w:val="center"/>
        </w:trPr>
        <w:tc>
          <w:tcPr>
            <w:tcW w:w="644" w:type="dxa"/>
          </w:tcPr>
          <w:p w:rsidR="00DC3E97" w:rsidRPr="00E97BC7" w:rsidRDefault="00DC3E97" w:rsidP="006060C8">
            <w:pPr>
              <w:pStyle w:val="naiskr"/>
              <w:spacing w:before="0" w:after="0"/>
              <w:ind w:left="57" w:right="57"/>
              <w:jc w:val="center"/>
              <w:rPr>
                <w:bCs/>
              </w:rPr>
            </w:pPr>
            <w:r w:rsidRPr="00E97BC7">
              <w:rPr>
                <w:bCs/>
              </w:rPr>
              <w:t>2.</w:t>
            </w:r>
          </w:p>
        </w:tc>
        <w:tc>
          <w:tcPr>
            <w:tcW w:w="2192" w:type="dxa"/>
            <w:gridSpan w:val="2"/>
          </w:tcPr>
          <w:p w:rsidR="00DC3E97" w:rsidRPr="00E97BC7" w:rsidRDefault="00DC3E97" w:rsidP="003D77D3">
            <w:pPr>
              <w:pStyle w:val="naiskr"/>
              <w:spacing w:before="0" w:after="0"/>
              <w:ind w:left="57" w:right="57"/>
            </w:pPr>
            <w:r w:rsidRPr="00E97BC7">
              <w:t xml:space="preserve">Sabiedrības līdzdalība projekta izstrādē </w:t>
            </w:r>
          </w:p>
        </w:tc>
        <w:tc>
          <w:tcPr>
            <w:tcW w:w="6561" w:type="dxa"/>
            <w:gridSpan w:val="5"/>
          </w:tcPr>
          <w:p w:rsidR="00DC3E97" w:rsidRPr="00E97BC7" w:rsidRDefault="00DC3E97" w:rsidP="003D77D3">
            <w:pPr>
              <w:pStyle w:val="naiskr"/>
              <w:spacing w:before="0" w:after="0"/>
              <w:ind w:left="57" w:right="57"/>
              <w:jc w:val="both"/>
            </w:pPr>
            <w:r>
              <w:t>Projektā iestrādāti Latvijas kūdras ražotāju asociācijas ieteikumi.</w:t>
            </w:r>
          </w:p>
        </w:tc>
      </w:tr>
      <w:tr w:rsidR="00DC3E97" w:rsidRPr="00E97BC7" w:rsidTr="003D7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trHeight w:val="375"/>
          <w:jc w:val="center"/>
        </w:trPr>
        <w:tc>
          <w:tcPr>
            <w:tcW w:w="644" w:type="dxa"/>
          </w:tcPr>
          <w:p w:rsidR="00DC3E97" w:rsidRPr="00E97BC7" w:rsidRDefault="00DC3E97" w:rsidP="006060C8">
            <w:pPr>
              <w:pStyle w:val="naiskr"/>
              <w:spacing w:before="0" w:after="0"/>
              <w:ind w:left="57" w:right="57"/>
              <w:jc w:val="center"/>
              <w:rPr>
                <w:bCs/>
              </w:rPr>
            </w:pPr>
            <w:r w:rsidRPr="00E97BC7">
              <w:rPr>
                <w:bCs/>
              </w:rPr>
              <w:t>3.</w:t>
            </w:r>
          </w:p>
        </w:tc>
        <w:tc>
          <w:tcPr>
            <w:tcW w:w="2192" w:type="dxa"/>
            <w:gridSpan w:val="2"/>
          </w:tcPr>
          <w:p w:rsidR="00DC3E97" w:rsidRPr="00E97BC7" w:rsidRDefault="00DC3E97" w:rsidP="003D77D3">
            <w:pPr>
              <w:pStyle w:val="naiskr"/>
              <w:spacing w:before="0" w:after="0"/>
              <w:ind w:left="57" w:right="57"/>
            </w:pPr>
            <w:r w:rsidRPr="00E97BC7">
              <w:t xml:space="preserve">Sabiedrības līdzdalības rezultāti </w:t>
            </w:r>
          </w:p>
        </w:tc>
        <w:tc>
          <w:tcPr>
            <w:tcW w:w="6561" w:type="dxa"/>
            <w:gridSpan w:val="5"/>
          </w:tcPr>
          <w:p w:rsidR="00DC3E97" w:rsidRPr="00E97BC7" w:rsidRDefault="00DC3E97" w:rsidP="003D77D3">
            <w:pPr>
              <w:pStyle w:val="naiskr"/>
              <w:spacing w:before="0" w:after="0"/>
              <w:ind w:left="57" w:right="57"/>
              <w:jc w:val="both"/>
            </w:pPr>
            <w:r>
              <w:t>Līdz šim komentāri nav saņemti.</w:t>
            </w:r>
          </w:p>
        </w:tc>
      </w:tr>
      <w:tr w:rsidR="00DC3E97" w:rsidRPr="00E97BC7" w:rsidTr="003D7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trHeight w:val="397"/>
          <w:jc w:val="center"/>
        </w:trPr>
        <w:tc>
          <w:tcPr>
            <w:tcW w:w="644" w:type="dxa"/>
          </w:tcPr>
          <w:p w:rsidR="00DC3E97" w:rsidRPr="00E97BC7" w:rsidRDefault="00DC3E97" w:rsidP="006060C8">
            <w:pPr>
              <w:pStyle w:val="naiskr"/>
              <w:spacing w:before="0" w:after="0"/>
              <w:ind w:left="57" w:right="57"/>
              <w:jc w:val="center"/>
              <w:rPr>
                <w:bCs/>
              </w:rPr>
            </w:pPr>
            <w:r w:rsidRPr="00E97BC7">
              <w:rPr>
                <w:bCs/>
              </w:rPr>
              <w:t>4.</w:t>
            </w:r>
          </w:p>
        </w:tc>
        <w:tc>
          <w:tcPr>
            <w:tcW w:w="2192" w:type="dxa"/>
            <w:gridSpan w:val="2"/>
          </w:tcPr>
          <w:p w:rsidR="00DC3E97" w:rsidRPr="00E97BC7" w:rsidRDefault="00DC3E97" w:rsidP="003D77D3">
            <w:pPr>
              <w:pStyle w:val="naiskr"/>
              <w:spacing w:before="0" w:after="0"/>
              <w:ind w:left="57" w:right="57"/>
            </w:pPr>
            <w:r w:rsidRPr="00E97BC7">
              <w:t>Saeimas un ekspertu līdzdalība</w:t>
            </w:r>
          </w:p>
        </w:tc>
        <w:tc>
          <w:tcPr>
            <w:tcW w:w="6561" w:type="dxa"/>
            <w:gridSpan w:val="5"/>
          </w:tcPr>
          <w:p w:rsidR="00DC3E97" w:rsidRPr="00E97BC7" w:rsidRDefault="00DC3E97" w:rsidP="003D77D3">
            <w:pPr>
              <w:jc w:val="both"/>
            </w:pPr>
            <w:r w:rsidRPr="0048187F">
              <w:rPr>
                <w:szCs w:val="28"/>
              </w:rPr>
              <w:t>Nav attiecināms</w:t>
            </w:r>
          </w:p>
        </w:tc>
      </w:tr>
      <w:tr w:rsidR="00DC3E97" w:rsidRPr="00E97BC7" w:rsidTr="003D77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gridBefore w:val="1"/>
          <w:wBefore w:w="43" w:type="dxa"/>
          <w:trHeight w:val="476"/>
          <w:jc w:val="center"/>
        </w:trPr>
        <w:tc>
          <w:tcPr>
            <w:tcW w:w="644" w:type="dxa"/>
          </w:tcPr>
          <w:p w:rsidR="00DC3E97" w:rsidRPr="00E97BC7" w:rsidRDefault="00DC3E97" w:rsidP="006060C8">
            <w:pPr>
              <w:pStyle w:val="naiskr"/>
              <w:spacing w:before="0" w:after="0"/>
              <w:ind w:left="57" w:right="57"/>
              <w:jc w:val="center"/>
              <w:rPr>
                <w:bCs/>
              </w:rPr>
            </w:pPr>
            <w:r w:rsidRPr="00E97BC7">
              <w:rPr>
                <w:bCs/>
              </w:rPr>
              <w:t>5.</w:t>
            </w:r>
          </w:p>
        </w:tc>
        <w:tc>
          <w:tcPr>
            <w:tcW w:w="2192" w:type="dxa"/>
            <w:gridSpan w:val="2"/>
          </w:tcPr>
          <w:p w:rsidR="00DC3E97" w:rsidRPr="00E97BC7" w:rsidRDefault="00DC3E97" w:rsidP="003D77D3">
            <w:pPr>
              <w:pStyle w:val="naiskr"/>
              <w:spacing w:before="0" w:after="0"/>
              <w:ind w:left="57" w:right="57"/>
            </w:pPr>
            <w:r w:rsidRPr="00E97BC7">
              <w:t>Cita informācija</w:t>
            </w:r>
          </w:p>
          <w:p w:rsidR="00DC3E97" w:rsidRPr="00E97BC7" w:rsidRDefault="00DC3E97" w:rsidP="003D77D3">
            <w:pPr>
              <w:pStyle w:val="naiskr"/>
              <w:spacing w:before="0" w:after="0"/>
              <w:ind w:left="57" w:right="57"/>
            </w:pPr>
          </w:p>
        </w:tc>
        <w:tc>
          <w:tcPr>
            <w:tcW w:w="6561" w:type="dxa"/>
            <w:gridSpan w:val="5"/>
          </w:tcPr>
          <w:p w:rsidR="00DC3E97" w:rsidRPr="00E97BC7" w:rsidRDefault="00DC3E97" w:rsidP="003D77D3">
            <w:pPr>
              <w:pStyle w:val="naiskr"/>
              <w:spacing w:before="0" w:after="0"/>
              <w:ind w:left="57" w:right="57"/>
              <w:jc w:val="both"/>
            </w:pPr>
            <w:r w:rsidRPr="0048187F">
              <w:rPr>
                <w:szCs w:val="28"/>
              </w:rPr>
              <w:t>Nav attiecināms</w:t>
            </w:r>
          </w:p>
        </w:tc>
      </w:tr>
      <w:tr w:rsidR="00DC3E97" w:rsidRPr="00E97BC7" w:rsidTr="003D77D3">
        <w:trPr>
          <w:gridAfter w:val="3"/>
          <w:wAfter w:w="118" w:type="dxa"/>
        </w:trPr>
        <w:tc>
          <w:tcPr>
            <w:tcW w:w="9322" w:type="dxa"/>
            <w:gridSpan w:val="6"/>
          </w:tcPr>
          <w:p w:rsidR="00DC3E97" w:rsidRPr="00E97BC7" w:rsidRDefault="00DC3E97" w:rsidP="003D77D3">
            <w:pPr>
              <w:jc w:val="center"/>
              <w:rPr>
                <w:b/>
              </w:rPr>
            </w:pPr>
            <w:r w:rsidRPr="00E97BC7">
              <w:br w:type="page"/>
            </w:r>
            <w:r w:rsidRPr="00E97BC7">
              <w:rPr>
                <w:b/>
              </w:rPr>
              <w:t xml:space="preserve">VII. </w:t>
            </w:r>
            <w:r w:rsidRPr="00E97BC7">
              <w:rPr>
                <w:b/>
                <w:bCs/>
              </w:rPr>
              <w:t>Tiesību akta projekta izpildes nodrošināšana un tās ietekme uz institūcijām</w:t>
            </w:r>
          </w:p>
        </w:tc>
      </w:tr>
      <w:tr w:rsidR="00DC3E97" w:rsidRPr="00E97BC7" w:rsidTr="003D77D3">
        <w:trPr>
          <w:gridAfter w:val="2"/>
          <w:wAfter w:w="84" w:type="dxa"/>
          <w:trHeight w:val="607"/>
        </w:trPr>
        <w:tc>
          <w:tcPr>
            <w:tcW w:w="4537" w:type="dxa"/>
            <w:gridSpan w:val="5"/>
          </w:tcPr>
          <w:p w:rsidR="00DC3E97" w:rsidRPr="00E97BC7" w:rsidRDefault="00DC3E97" w:rsidP="003D77D3">
            <w:pPr>
              <w:ind w:right="-57"/>
              <w:jc w:val="both"/>
            </w:pPr>
            <w:r w:rsidRPr="00E97BC7">
              <w:t xml:space="preserve">1. Projekta izpildē iesaistītās institūcijas </w:t>
            </w:r>
          </w:p>
        </w:tc>
        <w:tc>
          <w:tcPr>
            <w:tcW w:w="4819" w:type="dxa"/>
            <w:gridSpan w:val="2"/>
          </w:tcPr>
          <w:p w:rsidR="00DC3E97" w:rsidRPr="00E97BC7" w:rsidRDefault="00DC3E97" w:rsidP="006060C8">
            <w:pPr>
              <w:pStyle w:val="Footer"/>
              <w:tabs>
                <w:tab w:val="clear" w:pos="4153"/>
                <w:tab w:val="clear" w:pos="8306"/>
              </w:tabs>
              <w:spacing w:after="120"/>
              <w:jc w:val="both"/>
              <w:rPr>
                <w:rFonts w:ascii="Times New Roman" w:hAnsi="Times New Roman"/>
                <w:color w:val="92D050"/>
                <w:sz w:val="24"/>
                <w:szCs w:val="24"/>
              </w:rPr>
            </w:pPr>
            <w:r>
              <w:rPr>
                <w:rFonts w:ascii="Times New Roman" w:hAnsi="Times New Roman"/>
                <w:sz w:val="24"/>
                <w:szCs w:val="24"/>
              </w:rPr>
              <w:t xml:space="preserve">Vietējās pašvaldības, </w:t>
            </w:r>
            <w:r w:rsidRPr="00514A7B">
              <w:rPr>
                <w:rFonts w:ascii="Times New Roman" w:hAnsi="Times New Roman"/>
                <w:sz w:val="24"/>
                <w:szCs w:val="24"/>
              </w:rPr>
              <w:t xml:space="preserve">Valsts vides dienests, </w:t>
            </w:r>
            <w:r>
              <w:rPr>
                <w:rFonts w:ascii="Times New Roman" w:hAnsi="Times New Roman"/>
                <w:sz w:val="24"/>
                <w:szCs w:val="24"/>
              </w:rPr>
              <w:t>valsts SIA „Latvijas Vides, Ģeoloģijas un meteoroloģijas centrs”; valsts un pašvaldību institūcijas, kas iznomā valsts vai pašvaldības zemi.</w:t>
            </w:r>
          </w:p>
        </w:tc>
      </w:tr>
      <w:tr w:rsidR="00DC3E97" w:rsidRPr="0048187F" w:rsidTr="003D77D3">
        <w:trPr>
          <w:gridAfter w:val="3"/>
          <w:wAfter w:w="118" w:type="dxa"/>
          <w:trHeight w:val="607"/>
        </w:trPr>
        <w:tc>
          <w:tcPr>
            <w:tcW w:w="4537" w:type="dxa"/>
            <w:gridSpan w:val="5"/>
          </w:tcPr>
          <w:p w:rsidR="00DC3E97" w:rsidRPr="0048187F" w:rsidRDefault="00DC3E97" w:rsidP="003D77D3">
            <w:pPr>
              <w:ind w:right="-57"/>
              <w:jc w:val="both"/>
              <w:rPr>
                <w:szCs w:val="28"/>
              </w:rPr>
            </w:pPr>
            <w:r>
              <w:t xml:space="preserve">2. </w:t>
            </w:r>
            <w:r w:rsidRPr="009640EB">
              <w:t>Projekta izpildes ietekme uz pārvaldes</w:t>
            </w:r>
            <w:r>
              <w:t xml:space="preserve"> funkcijām</w:t>
            </w:r>
          </w:p>
        </w:tc>
        <w:tc>
          <w:tcPr>
            <w:tcW w:w="4785" w:type="dxa"/>
          </w:tcPr>
          <w:p w:rsidR="00DC3E97" w:rsidRPr="00967B5D" w:rsidRDefault="00DC3E97" w:rsidP="00913D30">
            <w:pPr>
              <w:pStyle w:val="Footer"/>
              <w:tabs>
                <w:tab w:val="clear" w:pos="4153"/>
                <w:tab w:val="clear" w:pos="8306"/>
              </w:tabs>
              <w:spacing w:after="120"/>
              <w:ind w:firstLine="34"/>
              <w:jc w:val="both"/>
              <w:rPr>
                <w:rFonts w:ascii="Times New Roman" w:hAnsi="Times New Roman"/>
                <w:sz w:val="24"/>
                <w:szCs w:val="24"/>
              </w:rPr>
            </w:pPr>
            <w:r w:rsidRPr="00967B5D">
              <w:rPr>
                <w:rFonts w:ascii="Times New Roman" w:hAnsi="Times New Roman"/>
                <w:sz w:val="24"/>
                <w:szCs w:val="24"/>
              </w:rPr>
              <w:t xml:space="preserve">Institūcijas </w:t>
            </w:r>
            <w:r>
              <w:rPr>
                <w:rFonts w:ascii="Times New Roman" w:hAnsi="Times New Roman"/>
                <w:sz w:val="24"/>
                <w:szCs w:val="24"/>
              </w:rPr>
              <w:t>noteikumu izpildi nodrošinās savu funkciju ietvaros.</w:t>
            </w:r>
          </w:p>
        </w:tc>
      </w:tr>
      <w:tr w:rsidR="00DC3E97" w:rsidRPr="0048187F" w:rsidTr="003D77D3">
        <w:trPr>
          <w:gridAfter w:val="3"/>
          <w:wAfter w:w="118" w:type="dxa"/>
          <w:trHeight w:val="607"/>
        </w:trPr>
        <w:tc>
          <w:tcPr>
            <w:tcW w:w="4537" w:type="dxa"/>
            <w:gridSpan w:val="5"/>
          </w:tcPr>
          <w:p w:rsidR="00DC3E97" w:rsidRPr="009640EB" w:rsidRDefault="00DC3E97" w:rsidP="003D77D3">
            <w:r>
              <w:t xml:space="preserve">3. </w:t>
            </w:r>
            <w:r w:rsidRPr="009640EB">
              <w:t>Projekta izpildes ietekme uz pārvaldes institucionālo struktūru.</w:t>
            </w:r>
          </w:p>
          <w:p w:rsidR="00DC3E97" w:rsidRPr="009640EB" w:rsidRDefault="00DC3E97" w:rsidP="003D77D3">
            <w:r w:rsidRPr="009640EB">
              <w:t>Jaunu institūciju izveide</w:t>
            </w:r>
          </w:p>
        </w:tc>
        <w:tc>
          <w:tcPr>
            <w:tcW w:w="4785" w:type="dxa"/>
          </w:tcPr>
          <w:p w:rsidR="00DC3E97" w:rsidRPr="00D105F7" w:rsidRDefault="00DC3E97" w:rsidP="003D77D3">
            <w:pPr>
              <w:pStyle w:val="naisf"/>
              <w:spacing w:after="120"/>
              <w:ind w:firstLine="0"/>
              <w:rPr>
                <w:szCs w:val="28"/>
              </w:rPr>
            </w:pPr>
            <w:r w:rsidRPr="00514A7B">
              <w:t>Jaunas institūcijas netiek paredzētas.</w:t>
            </w:r>
          </w:p>
        </w:tc>
      </w:tr>
      <w:tr w:rsidR="00DC3E97" w:rsidRPr="0048187F" w:rsidTr="003D77D3">
        <w:trPr>
          <w:gridAfter w:val="3"/>
          <w:wAfter w:w="118" w:type="dxa"/>
          <w:trHeight w:val="607"/>
        </w:trPr>
        <w:tc>
          <w:tcPr>
            <w:tcW w:w="4537" w:type="dxa"/>
            <w:gridSpan w:val="5"/>
          </w:tcPr>
          <w:p w:rsidR="00DC3E97" w:rsidRPr="009640EB" w:rsidRDefault="00DC3E97" w:rsidP="003D77D3">
            <w:r>
              <w:t xml:space="preserve">4. </w:t>
            </w:r>
            <w:r w:rsidRPr="009640EB">
              <w:t>Projekta izpildes ietekme uz pārvaldes institucionālo struktūru.</w:t>
            </w:r>
          </w:p>
          <w:p w:rsidR="00DC3E97" w:rsidRPr="009640EB" w:rsidRDefault="00DC3E97" w:rsidP="003D77D3">
            <w:r w:rsidRPr="009640EB">
              <w:t>Esošu institūciju likvidācija</w:t>
            </w:r>
          </w:p>
        </w:tc>
        <w:tc>
          <w:tcPr>
            <w:tcW w:w="4785" w:type="dxa"/>
          </w:tcPr>
          <w:p w:rsidR="00DC3E97" w:rsidRPr="00D105F7" w:rsidRDefault="00DC3E97" w:rsidP="003D77D3">
            <w:pPr>
              <w:pStyle w:val="naisf"/>
              <w:spacing w:after="120"/>
              <w:ind w:firstLine="34"/>
              <w:rPr>
                <w:szCs w:val="28"/>
              </w:rPr>
            </w:pPr>
            <w:r>
              <w:rPr>
                <w:szCs w:val="28"/>
              </w:rPr>
              <w:t xml:space="preserve">Nav </w:t>
            </w:r>
            <w:r w:rsidRPr="0048187F">
              <w:rPr>
                <w:szCs w:val="28"/>
              </w:rPr>
              <w:t>attiecināms</w:t>
            </w:r>
          </w:p>
        </w:tc>
      </w:tr>
      <w:tr w:rsidR="00DC3E97" w:rsidRPr="0048187F" w:rsidTr="003D77D3">
        <w:trPr>
          <w:gridAfter w:val="3"/>
          <w:wAfter w:w="118" w:type="dxa"/>
          <w:trHeight w:val="607"/>
        </w:trPr>
        <w:tc>
          <w:tcPr>
            <w:tcW w:w="4537" w:type="dxa"/>
            <w:gridSpan w:val="5"/>
          </w:tcPr>
          <w:p w:rsidR="00DC3E97" w:rsidRPr="009640EB" w:rsidRDefault="00DC3E97" w:rsidP="003D77D3">
            <w:r>
              <w:t xml:space="preserve">5. </w:t>
            </w:r>
            <w:r w:rsidRPr="009640EB">
              <w:t>Projekta izpildes ietekme uz pārvaldes institucionālo struktūru.</w:t>
            </w:r>
          </w:p>
          <w:p w:rsidR="00DC3E97" w:rsidRPr="009640EB" w:rsidRDefault="00DC3E97" w:rsidP="003D77D3">
            <w:r w:rsidRPr="009640EB">
              <w:t>Esošu institūciju reorganizācija</w:t>
            </w:r>
          </w:p>
        </w:tc>
        <w:tc>
          <w:tcPr>
            <w:tcW w:w="4785" w:type="dxa"/>
          </w:tcPr>
          <w:p w:rsidR="00DC3E97" w:rsidRPr="004C541C" w:rsidRDefault="00DC3E97" w:rsidP="003D77D3">
            <w:pPr>
              <w:pStyle w:val="Footer"/>
              <w:tabs>
                <w:tab w:val="clear" w:pos="4153"/>
                <w:tab w:val="clear" w:pos="8306"/>
              </w:tabs>
              <w:spacing w:after="120"/>
              <w:ind w:firstLine="34"/>
              <w:jc w:val="both"/>
              <w:rPr>
                <w:rFonts w:ascii="Times New Roman" w:hAnsi="Times New Roman"/>
                <w:sz w:val="24"/>
                <w:szCs w:val="24"/>
              </w:rPr>
            </w:pPr>
            <w:r>
              <w:rPr>
                <w:rFonts w:ascii="Times New Roman" w:hAnsi="Times New Roman"/>
                <w:sz w:val="24"/>
                <w:szCs w:val="24"/>
              </w:rPr>
              <w:t>Nav attiecināms</w:t>
            </w:r>
          </w:p>
        </w:tc>
      </w:tr>
      <w:tr w:rsidR="00DC3E97" w:rsidRPr="0048187F" w:rsidTr="003D77D3">
        <w:trPr>
          <w:gridAfter w:val="3"/>
          <w:wAfter w:w="118" w:type="dxa"/>
        </w:trPr>
        <w:tc>
          <w:tcPr>
            <w:tcW w:w="4537" w:type="dxa"/>
            <w:gridSpan w:val="5"/>
          </w:tcPr>
          <w:p w:rsidR="00DC3E97" w:rsidRPr="0048187F" w:rsidRDefault="00DC3E97" w:rsidP="003D77D3">
            <w:pPr>
              <w:ind w:left="284" w:hanging="284"/>
              <w:rPr>
                <w:szCs w:val="28"/>
              </w:rPr>
            </w:pPr>
            <w:r>
              <w:rPr>
                <w:szCs w:val="28"/>
              </w:rPr>
              <w:t>6</w:t>
            </w:r>
            <w:r w:rsidRPr="0048187F">
              <w:rPr>
                <w:szCs w:val="28"/>
              </w:rPr>
              <w:t>. Cita informācija</w:t>
            </w:r>
          </w:p>
        </w:tc>
        <w:tc>
          <w:tcPr>
            <w:tcW w:w="4785" w:type="dxa"/>
          </w:tcPr>
          <w:p w:rsidR="00DC3E97" w:rsidRPr="0048187F" w:rsidRDefault="00DC3E97" w:rsidP="003D77D3">
            <w:pPr>
              <w:rPr>
                <w:szCs w:val="28"/>
              </w:rPr>
            </w:pPr>
            <w:r>
              <w:rPr>
                <w:szCs w:val="28"/>
              </w:rPr>
              <w:t xml:space="preserve">Nav </w:t>
            </w:r>
          </w:p>
        </w:tc>
      </w:tr>
    </w:tbl>
    <w:p w:rsidR="00DC3E97" w:rsidRDefault="00DC3E97" w:rsidP="003D77D3">
      <w:pPr>
        <w:pStyle w:val="Header"/>
        <w:rPr>
          <w:szCs w:val="28"/>
        </w:rPr>
      </w:pPr>
      <w:r w:rsidRPr="0048187F">
        <w:rPr>
          <w:szCs w:val="28"/>
        </w:rPr>
        <w:t xml:space="preserve">      </w:t>
      </w:r>
    </w:p>
    <w:p w:rsidR="00DC3E97" w:rsidRPr="00D65C37" w:rsidRDefault="00DC3E97" w:rsidP="003D77D3">
      <w:pPr>
        <w:pStyle w:val="Header"/>
        <w:rPr>
          <w:szCs w:val="28"/>
        </w:rPr>
      </w:pPr>
      <w:r w:rsidRPr="0048187F">
        <w:rPr>
          <w:szCs w:val="28"/>
        </w:rPr>
        <w:t xml:space="preserve">           </w:t>
      </w:r>
    </w:p>
    <w:p w:rsidR="00DC3E97" w:rsidRDefault="00DC3E97" w:rsidP="003D77D3">
      <w:pPr>
        <w:tabs>
          <w:tab w:val="left" w:pos="0"/>
        </w:tabs>
        <w:jc w:val="both"/>
        <w:rPr>
          <w:szCs w:val="28"/>
        </w:rPr>
      </w:pPr>
    </w:p>
    <w:p w:rsidR="00DC3E97" w:rsidRDefault="00DC3E97" w:rsidP="003D77D3">
      <w:pPr>
        <w:tabs>
          <w:tab w:val="left" w:pos="0"/>
        </w:tabs>
        <w:jc w:val="both"/>
        <w:rPr>
          <w:szCs w:val="28"/>
        </w:rPr>
      </w:pPr>
      <w:r>
        <w:rPr>
          <w:szCs w:val="28"/>
        </w:rPr>
        <w:t>Vides aizsardzības un reģionālās attīstības ministrs</w:t>
      </w:r>
      <w:r>
        <w:rPr>
          <w:szCs w:val="28"/>
        </w:rPr>
        <w:tab/>
      </w:r>
      <w:r>
        <w:rPr>
          <w:szCs w:val="28"/>
        </w:rPr>
        <w:tab/>
      </w:r>
      <w:r>
        <w:rPr>
          <w:szCs w:val="28"/>
        </w:rPr>
        <w:tab/>
      </w:r>
      <w:r>
        <w:rPr>
          <w:szCs w:val="28"/>
        </w:rPr>
        <w:tab/>
        <w:t xml:space="preserve">R.Vējonis  </w:t>
      </w:r>
    </w:p>
    <w:p w:rsidR="00DC3E97" w:rsidRDefault="00DC3E97" w:rsidP="003D77D3">
      <w:pPr>
        <w:tabs>
          <w:tab w:val="left" w:pos="0"/>
        </w:tabs>
        <w:jc w:val="both"/>
        <w:rPr>
          <w:szCs w:val="28"/>
        </w:rPr>
      </w:pPr>
    </w:p>
    <w:p w:rsidR="00DC3E97" w:rsidRDefault="00DC3E97" w:rsidP="003D77D3">
      <w:pPr>
        <w:tabs>
          <w:tab w:val="left" w:pos="0"/>
        </w:tabs>
        <w:jc w:val="both"/>
        <w:rPr>
          <w:szCs w:val="28"/>
        </w:rPr>
      </w:pPr>
    </w:p>
    <w:p w:rsidR="00DC3E97" w:rsidRPr="004A5EAD" w:rsidRDefault="00DC3E97" w:rsidP="003D77D3">
      <w:pPr>
        <w:tabs>
          <w:tab w:val="left" w:pos="0"/>
        </w:tabs>
        <w:jc w:val="both"/>
        <w:rPr>
          <w:b/>
          <w:szCs w:val="28"/>
        </w:rPr>
      </w:pPr>
      <w:r w:rsidRPr="004A5EAD">
        <w:rPr>
          <w:b/>
          <w:szCs w:val="28"/>
        </w:rPr>
        <w:t xml:space="preserve">Vīza: </w:t>
      </w:r>
    </w:p>
    <w:p w:rsidR="00DC3E97" w:rsidRPr="0048187F" w:rsidRDefault="00DC3E97" w:rsidP="003D77D3">
      <w:pPr>
        <w:tabs>
          <w:tab w:val="left" w:pos="0"/>
        </w:tabs>
        <w:jc w:val="both"/>
        <w:rPr>
          <w:szCs w:val="28"/>
        </w:rPr>
      </w:pPr>
      <w:r>
        <w:rPr>
          <w:szCs w:val="28"/>
        </w:rPr>
        <w:t>Valsts sekretārs</w:t>
      </w:r>
      <w:r>
        <w:rPr>
          <w:szCs w:val="28"/>
        </w:rPr>
        <w:tab/>
      </w:r>
      <w:r>
        <w:rPr>
          <w:szCs w:val="28"/>
        </w:rPr>
        <w:tab/>
      </w:r>
      <w:r>
        <w:rPr>
          <w:szCs w:val="28"/>
        </w:rPr>
        <w:tab/>
      </w:r>
      <w:r>
        <w:rPr>
          <w:szCs w:val="28"/>
        </w:rPr>
        <w:tab/>
      </w:r>
      <w:r>
        <w:rPr>
          <w:szCs w:val="28"/>
        </w:rPr>
        <w:tab/>
      </w:r>
      <w:r>
        <w:rPr>
          <w:szCs w:val="28"/>
        </w:rPr>
        <w:tab/>
      </w:r>
      <w:r>
        <w:rPr>
          <w:szCs w:val="28"/>
        </w:rPr>
        <w:tab/>
      </w:r>
      <w:r>
        <w:rPr>
          <w:szCs w:val="28"/>
        </w:rPr>
        <w:tab/>
        <w:t>G.Puķītis</w:t>
      </w:r>
    </w:p>
    <w:p w:rsidR="00DC3E97" w:rsidRDefault="00DC3E97" w:rsidP="003D77D3">
      <w:pPr>
        <w:pStyle w:val="Header"/>
        <w:rPr>
          <w:sz w:val="22"/>
          <w:szCs w:val="22"/>
        </w:rPr>
      </w:pPr>
    </w:p>
    <w:p w:rsidR="00DC3E97" w:rsidRDefault="00DC3E97" w:rsidP="003D77D3">
      <w:pPr>
        <w:pStyle w:val="Header"/>
        <w:rPr>
          <w:sz w:val="22"/>
          <w:szCs w:val="22"/>
        </w:rPr>
      </w:pPr>
    </w:p>
    <w:p w:rsidR="00DC3E97" w:rsidRDefault="00DC3E97" w:rsidP="003D77D3">
      <w:pPr>
        <w:pStyle w:val="Header"/>
        <w:rPr>
          <w:sz w:val="22"/>
          <w:szCs w:val="22"/>
        </w:rPr>
      </w:pPr>
    </w:p>
    <w:p w:rsidR="00DC3E97" w:rsidRDefault="00DC3E97" w:rsidP="003D77D3">
      <w:pPr>
        <w:pStyle w:val="Header"/>
        <w:rPr>
          <w:sz w:val="22"/>
          <w:szCs w:val="22"/>
        </w:rPr>
      </w:pPr>
    </w:p>
    <w:p w:rsidR="00DC3E97" w:rsidRPr="004E769D" w:rsidRDefault="00DC3E97" w:rsidP="003D77D3">
      <w:pPr>
        <w:pStyle w:val="Header"/>
        <w:rPr>
          <w:sz w:val="22"/>
          <w:szCs w:val="22"/>
        </w:rPr>
      </w:pPr>
      <w:r>
        <w:rPr>
          <w:sz w:val="22"/>
          <w:szCs w:val="22"/>
        </w:rPr>
        <w:t>18.08.2011. 14</w:t>
      </w:r>
      <w:r w:rsidRPr="004E769D">
        <w:rPr>
          <w:sz w:val="22"/>
          <w:szCs w:val="22"/>
        </w:rPr>
        <w:t>.00</w:t>
      </w:r>
    </w:p>
    <w:p w:rsidR="00DC3E97" w:rsidRPr="00950B80" w:rsidRDefault="00DC3E97" w:rsidP="003D77D3">
      <w:pPr>
        <w:pStyle w:val="Header"/>
        <w:rPr>
          <w:sz w:val="22"/>
          <w:szCs w:val="22"/>
        </w:rPr>
      </w:pPr>
      <w:r>
        <w:rPr>
          <w:sz w:val="22"/>
          <w:szCs w:val="22"/>
        </w:rPr>
        <w:t>1899</w:t>
      </w:r>
    </w:p>
    <w:p w:rsidR="00DC3E97" w:rsidRPr="00D65C37" w:rsidRDefault="00DC3E97" w:rsidP="003D77D3">
      <w:pPr>
        <w:pStyle w:val="Header"/>
        <w:rPr>
          <w:sz w:val="22"/>
          <w:szCs w:val="22"/>
        </w:rPr>
      </w:pPr>
      <w:r>
        <w:rPr>
          <w:sz w:val="22"/>
          <w:szCs w:val="22"/>
        </w:rPr>
        <w:t>D.Ozola</w:t>
      </w:r>
    </w:p>
    <w:p w:rsidR="00DC3E97" w:rsidRDefault="00DC3E97" w:rsidP="0076469E">
      <w:pPr>
        <w:pStyle w:val="Header"/>
      </w:pPr>
      <w:r w:rsidRPr="009D5508">
        <w:rPr>
          <w:sz w:val="24"/>
          <w:szCs w:val="24"/>
        </w:rPr>
        <w:t>67026518;</w:t>
      </w:r>
      <w:r w:rsidRPr="00D65C37">
        <w:t xml:space="preserve"> </w:t>
      </w:r>
      <w:hyperlink r:id="rId7" w:history="1">
        <w:r w:rsidRPr="002C1B5E">
          <w:rPr>
            <w:rStyle w:val="Hyperlink"/>
            <w:sz w:val="22"/>
            <w:szCs w:val="22"/>
            <w:lang w:eastAsia="en-US"/>
          </w:rPr>
          <w:t>dace.ozola@vidm.gov.lv</w:t>
        </w:r>
      </w:hyperlink>
      <w:r>
        <w:t xml:space="preserve">  </w:t>
      </w:r>
      <w:bookmarkStart w:id="4" w:name="_GoBack"/>
      <w:bookmarkEnd w:id="4"/>
    </w:p>
    <w:sectPr w:rsidR="00DC3E97" w:rsidSect="003D77D3">
      <w:headerReference w:type="even" r:id="rId8"/>
      <w:headerReference w:type="default"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97" w:rsidRDefault="00DC3E97">
      <w:r>
        <w:separator/>
      </w:r>
    </w:p>
  </w:endnote>
  <w:endnote w:type="continuationSeparator" w:id="0">
    <w:p w:rsidR="00DC3E97" w:rsidRDefault="00DC3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altName w:val="Courier New"/>
    <w:panose1 w:val="02020603060505020304"/>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97" w:rsidRPr="006060C8" w:rsidRDefault="00DC3E97" w:rsidP="006060C8">
    <w:pPr>
      <w:jc w:val="both"/>
      <w:rPr>
        <w:bCs/>
        <w:sz w:val="22"/>
        <w:szCs w:val="22"/>
      </w:rPr>
    </w:pPr>
    <w:smartTag w:uri="urn:schemas-microsoft-com:office:smarttags" w:element="PersonName">
      <w:r w:rsidRPr="0076469E">
        <w:rPr>
          <w:sz w:val="22"/>
          <w:szCs w:val="22"/>
        </w:rPr>
        <w:t>VARAM</w:t>
      </w:r>
    </w:smartTag>
    <w:r>
      <w:rPr>
        <w:sz w:val="22"/>
        <w:szCs w:val="22"/>
      </w:rPr>
      <w:t>Anot_180811_lic; Ministru kabineta noteikumu „</w:t>
    </w:r>
    <w:r w:rsidRPr="0076469E">
      <w:rPr>
        <w:bCs/>
        <w:sz w:val="22"/>
        <w:szCs w:val="22"/>
      </w:rPr>
      <w:t>Zemes dzīļu izmantošanas licenču un bieži sastopamo derīgo izrakteņu ieguves atļauju izsniegšanas kārtība</w:t>
    </w:r>
    <w:r w:rsidRPr="0076469E">
      <w:rPr>
        <w:sz w:val="22"/>
        <w:szCs w:val="22"/>
      </w:rPr>
      <w:t>”</w:t>
    </w:r>
    <w:r w:rsidRPr="0076469E">
      <w:rPr>
        <w:bCs/>
        <w:sz w:val="22"/>
        <w:szCs w:val="22"/>
      </w:rPr>
      <w:t xml:space="preserve"> sākotnējās ietekmes novērtējuma </w:t>
    </w:r>
    <w:smartTag w:uri="schemas-tilde-lv/tildestengine" w:element="veidnes">
      <w:smartTagPr>
        <w:attr w:name="text" w:val="ziņojums"/>
        <w:attr w:name="baseform" w:val="ziņojums"/>
        <w:attr w:name="id" w:val="-1"/>
      </w:smartTagPr>
      <w:r w:rsidRPr="0076469E">
        <w:rPr>
          <w:bCs/>
          <w:sz w:val="22"/>
          <w:szCs w:val="22"/>
        </w:rPr>
        <w:t>ziņojums</w:t>
      </w:r>
    </w:smartTag>
    <w:r w:rsidRPr="0076469E">
      <w:rPr>
        <w:bCs/>
        <w:sz w:val="22"/>
        <w:szCs w:val="22"/>
      </w:rPr>
      <w:t xml:space="preserve"> (anotācija)</w:t>
    </w:r>
  </w:p>
  <w:p w:rsidR="00DC3E97" w:rsidRDefault="00DC3E97">
    <w:pPr>
      <w:pStyle w:val="Footer"/>
    </w:pPr>
  </w:p>
  <w:p w:rsidR="00DC3E97" w:rsidRPr="00D929FC" w:rsidRDefault="00DC3E97" w:rsidP="003D77D3">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97" w:rsidRDefault="00DC3E97">
      <w:r>
        <w:separator/>
      </w:r>
    </w:p>
  </w:footnote>
  <w:footnote w:type="continuationSeparator" w:id="0">
    <w:p w:rsidR="00DC3E97" w:rsidRDefault="00DC3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97" w:rsidRDefault="00DC3E97" w:rsidP="003D7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3E97" w:rsidRDefault="00DC3E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97" w:rsidRPr="009C5013" w:rsidRDefault="00DC3E97" w:rsidP="003D77D3">
    <w:pPr>
      <w:pStyle w:val="Header"/>
      <w:framePr w:wrap="around" w:vAnchor="text" w:hAnchor="margin" w:xAlign="center" w:y="1"/>
      <w:rPr>
        <w:rStyle w:val="PageNumber"/>
        <w:sz w:val="24"/>
        <w:szCs w:val="24"/>
      </w:rPr>
    </w:pPr>
    <w:r w:rsidRPr="009C5013">
      <w:rPr>
        <w:rStyle w:val="PageNumber"/>
        <w:sz w:val="24"/>
        <w:szCs w:val="24"/>
      </w:rPr>
      <w:fldChar w:fldCharType="begin"/>
    </w:r>
    <w:r w:rsidRPr="009C5013">
      <w:rPr>
        <w:rStyle w:val="PageNumber"/>
        <w:sz w:val="24"/>
        <w:szCs w:val="24"/>
      </w:rPr>
      <w:instrText xml:space="preserve">PAGE  </w:instrText>
    </w:r>
    <w:r w:rsidRPr="009C5013">
      <w:rPr>
        <w:rStyle w:val="PageNumber"/>
        <w:sz w:val="24"/>
        <w:szCs w:val="24"/>
      </w:rPr>
      <w:fldChar w:fldCharType="separate"/>
    </w:r>
    <w:r>
      <w:rPr>
        <w:rStyle w:val="PageNumber"/>
        <w:noProof/>
        <w:sz w:val="24"/>
        <w:szCs w:val="24"/>
      </w:rPr>
      <w:t>7</w:t>
    </w:r>
    <w:r w:rsidRPr="009C5013">
      <w:rPr>
        <w:rStyle w:val="PageNumber"/>
        <w:sz w:val="24"/>
        <w:szCs w:val="24"/>
      </w:rPr>
      <w:fldChar w:fldCharType="end"/>
    </w:r>
  </w:p>
  <w:p w:rsidR="00DC3E97" w:rsidRDefault="00DC3E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4ECA6DA1"/>
    <w:multiLevelType w:val="hybridMultilevel"/>
    <w:tmpl w:val="360CBF6C"/>
    <w:lvl w:ilvl="0" w:tplc="5CFC87E8">
      <w:start w:val="200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C1520"/>
    <w:multiLevelType w:val="hybridMultilevel"/>
    <w:tmpl w:val="4198DF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CE9"/>
    <w:rsid w:val="00004D96"/>
    <w:rsid w:val="00016A1B"/>
    <w:rsid w:val="00041946"/>
    <w:rsid w:val="00061C6C"/>
    <w:rsid w:val="00093A52"/>
    <w:rsid w:val="000A7EB7"/>
    <w:rsid w:val="000D0085"/>
    <w:rsid w:val="000D057F"/>
    <w:rsid w:val="000D3AEE"/>
    <w:rsid w:val="000D5F4D"/>
    <w:rsid w:val="000F2E2F"/>
    <w:rsid w:val="000F32B0"/>
    <w:rsid w:val="000F3D91"/>
    <w:rsid w:val="001B0876"/>
    <w:rsid w:val="001C76B6"/>
    <w:rsid w:val="0021500A"/>
    <w:rsid w:val="00275DD8"/>
    <w:rsid w:val="002920FC"/>
    <w:rsid w:val="002C0B12"/>
    <w:rsid w:val="002C1B5E"/>
    <w:rsid w:val="002C6EE0"/>
    <w:rsid w:val="002F5CE9"/>
    <w:rsid w:val="003640F3"/>
    <w:rsid w:val="003805DC"/>
    <w:rsid w:val="00394EE0"/>
    <w:rsid w:val="003D77D3"/>
    <w:rsid w:val="0041775D"/>
    <w:rsid w:val="00436390"/>
    <w:rsid w:val="00444289"/>
    <w:rsid w:val="00452F9B"/>
    <w:rsid w:val="00471417"/>
    <w:rsid w:val="0048187F"/>
    <w:rsid w:val="004862ED"/>
    <w:rsid w:val="0048767B"/>
    <w:rsid w:val="004A5EAD"/>
    <w:rsid w:val="004C541C"/>
    <w:rsid w:val="004E769D"/>
    <w:rsid w:val="004F4BA3"/>
    <w:rsid w:val="00514A7B"/>
    <w:rsid w:val="0054591C"/>
    <w:rsid w:val="005602CD"/>
    <w:rsid w:val="005A0226"/>
    <w:rsid w:val="005D2A92"/>
    <w:rsid w:val="006060C8"/>
    <w:rsid w:val="0061450F"/>
    <w:rsid w:val="0064499B"/>
    <w:rsid w:val="00671646"/>
    <w:rsid w:val="0068144E"/>
    <w:rsid w:val="0068726C"/>
    <w:rsid w:val="006D0EAC"/>
    <w:rsid w:val="006E14B3"/>
    <w:rsid w:val="00721F47"/>
    <w:rsid w:val="00722826"/>
    <w:rsid w:val="00741C6A"/>
    <w:rsid w:val="0076469E"/>
    <w:rsid w:val="00781511"/>
    <w:rsid w:val="007841E4"/>
    <w:rsid w:val="00784E5E"/>
    <w:rsid w:val="0078531F"/>
    <w:rsid w:val="007B6A48"/>
    <w:rsid w:val="007F2024"/>
    <w:rsid w:val="00801802"/>
    <w:rsid w:val="008427A9"/>
    <w:rsid w:val="0085178A"/>
    <w:rsid w:val="00873F7A"/>
    <w:rsid w:val="008D7F36"/>
    <w:rsid w:val="008F1C86"/>
    <w:rsid w:val="00906302"/>
    <w:rsid w:val="00913D30"/>
    <w:rsid w:val="00931684"/>
    <w:rsid w:val="00936AFE"/>
    <w:rsid w:val="00950B80"/>
    <w:rsid w:val="009640EB"/>
    <w:rsid w:val="00967B5D"/>
    <w:rsid w:val="009A64EF"/>
    <w:rsid w:val="009C0B14"/>
    <w:rsid w:val="009C2B53"/>
    <w:rsid w:val="009C5013"/>
    <w:rsid w:val="009D5508"/>
    <w:rsid w:val="00A115E9"/>
    <w:rsid w:val="00A473EA"/>
    <w:rsid w:val="00A629A3"/>
    <w:rsid w:val="00AD4438"/>
    <w:rsid w:val="00AD443F"/>
    <w:rsid w:val="00B0014C"/>
    <w:rsid w:val="00B14B0F"/>
    <w:rsid w:val="00B16EB3"/>
    <w:rsid w:val="00B576E2"/>
    <w:rsid w:val="00B725E7"/>
    <w:rsid w:val="00B81169"/>
    <w:rsid w:val="00B86AD3"/>
    <w:rsid w:val="00BA750E"/>
    <w:rsid w:val="00BD783F"/>
    <w:rsid w:val="00C05C7E"/>
    <w:rsid w:val="00C34A0E"/>
    <w:rsid w:val="00C47FBE"/>
    <w:rsid w:val="00C908D9"/>
    <w:rsid w:val="00D105F7"/>
    <w:rsid w:val="00D65C37"/>
    <w:rsid w:val="00D86956"/>
    <w:rsid w:val="00D929FC"/>
    <w:rsid w:val="00D94CC7"/>
    <w:rsid w:val="00DB3753"/>
    <w:rsid w:val="00DC3E97"/>
    <w:rsid w:val="00DE311B"/>
    <w:rsid w:val="00DF28D3"/>
    <w:rsid w:val="00E12039"/>
    <w:rsid w:val="00E40E11"/>
    <w:rsid w:val="00E736F3"/>
    <w:rsid w:val="00E97BC7"/>
    <w:rsid w:val="00EE2492"/>
    <w:rsid w:val="00F45531"/>
    <w:rsid w:val="00F74CD4"/>
    <w:rsid w:val="00FF31D6"/>
    <w:rsid w:val="00FF7B7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D77D3"/>
    <w:pPr>
      <w:jc w:val="center"/>
    </w:pPr>
    <w:rPr>
      <w:b/>
      <w:sz w:val="28"/>
      <w:szCs w:val="32"/>
    </w:rPr>
  </w:style>
  <w:style w:type="character" w:customStyle="1" w:styleId="BodyTextChar">
    <w:name w:val="Body Text Char"/>
    <w:basedOn w:val="DefaultParagraphFont"/>
    <w:link w:val="BodyText"/>
    <w:uiPriority w:val="99"/>
    <w:locked/>
    <w:rsid w:val="003D77D3"/>
    <w:rPr>
      <w:rFonts w:ascii="Times New Roman" w:hAnsi="Times New Roman" w:cs="Times New Roman"/>
      <w:b/>
      <w:sz w:val="32"/>
      <w:szCs w:val="32"/>
      <w:lang w:val="lv-LV" w:eastAsia="lv-LV"/>
    </w:rPr>
  </w:style>
  <w:style w:type="paragraph" w:styleId="Footer">
    <w:name w:val="footer"/>
    <w:basedOn w:val="Normal"/>
    <w:link w:val="FooterChar"/>
    <w:uiPriority w:val="99"/>
    <w:rsid w:val="003D77D3"/>
    <w:pPr>
      <w:tabs>
        <w:tab w:val="center" w:pos="4153"/>
        <w:tab w:val="right" w:pos="8306"/>
      </w:tabs>
    </w:pPr>
    <w:rPr>
      <w:rFonts w:ascii="RimTimes" w:hAnsi="RimTimes"/>
      <w:sz w:val="28"/>
      <w:szCs w:val="20"/>
      <w:lang w:eastAsia="en-US"/>
    </w:rPr>
  </w:style>
  <w:style w:type="character" w:customStyle="1" w:styleId="FooterChar">
    <w:name w:val="Footer Char"/>
    <w:basedOn w:val="DefaultParagraphFont"/>
    <w:link w:val="Footer"/>
    <w:uiPriority w:val="99"/>
    <w:locked/>
    <w:rsid w:val="003D77D3"/>
    <w:rPr>
      <w:rFonts w:ascii="RimTimes" w:hAnsi="RimTimes" w:cs="Times New Roman"/>
      <w:snapToGrid w:val="0"/>
      <w:sz w:val="20"/>
      <w:szCs w:val="20"/>
      <w:lang w:val="lv-LV"/>
    </w:rPr>
  </w:style>
  <w:style w:type="paragraph" w:styleId="Header">
    <w:name w:val="header"/>
    <w:basedOn w:val="Normal"/>
    <w:link w:val="HeaderChar"/>
    <w:uiPriority w:val="99"/>
    <w:rsid w:val="003D77D3"/>
    <w:pPr>
      <w:tabs>
        <w:tab w:val="center" w:pos="4153"/>
        <w:tab w:val="right" w:pos="8306"/>
      </w:tabs>
    </w:pPr>
    <w:rPr>
      <w:sz w:val="28"/>
      <w:szCs w:val="20"/>
      <w:lang w:eastAsia="en-US"/>
    </w:rPr>
  </w:style>
  <w:style w:type="character" w:customStyle="1" w:styleId="HeaderChar">
    <w:name w:val="Header Char"/>
    <w:basedOn w:val="DefaultParagraphFont"/>
    <w:link w:val="Header"/>
    <w:uiPriority w:val="99"/>
    <w:locked/>
    <w:rsid w:val="003D77D3"/>
    <w:rPr>
      <w:rFonts w:ascii="Times New Roman" w:hAnsi="Times New Roman" w:cs="Times New Roman"/>
      <w:sz w:val="20"/>
      <w:szCs w:val="20"/>
      <w:lang w:val="lv-LV"/>
    </w:rPr>
  </w:style>
  <w:style w:type="character" w:styleId="Hyperlink">
    <w:name w:val="Hyperlink"/>
    <w:basedOn w:val="DefaultParagraphFont"/>
    <w:uiPriority w:val="99"/>
    <w:rsid w:val="003D77D3"/>
    <w:rPr>
      <w:rFonts w:ascii="Times New Roman" w:hAnsi="Times New Roman" w:cs="Times New Roman"/>
      <w:color w:val="0000FF"/>
      <w:u w:val="single"/>
      <w:lang w:val="lv-LV"/>
    </w:rPr>
  </w:style>
  <w:style w:type="paragraph" w:customStyle="1" w:styleId="naisf">
    <w:name w:val="naisf"/>
    <w:basedOn w:val="Normal"/>
    <w:uiPriority w:val="99"/>
    <w:rsid w:val="003D77D3"/>
    <w:pPr>
      <w:spacing w:before="75" w:after="75"/>
      <w:ind w:firstLine="375"/>
      <w:jc w:val="both"/>
    </w:pPr>
  </w:style>
  <w:style w:type="paragraph" w:customStyle="1" w:styleId="naiskr">
    <w:name w:val="naiskr"/>
    <w:basedOn w:val="Normal"/>
    <w:uiPriority w:val="99"/>
    <w:rsid w:val="003D77D3"/>
    <w:pPr>
      <w:spacing w:before="75" w:after="75"/>
    </w:pPr>
  </w:style>
  <w:style w:type="paragraph" w:styleId="NormalWeb">
    <w:name w:val="Normal (Web)"/>
    <w:basedOn w:val="Normal"/>
    <w:uiPriority w:val="99"/>
    <w:rsid w:val="003D77D3"/>
    <w:pPr>
      <w:spacing w:before="100" w:beforeAutospacing="1" w:after="100" w:afterAutospacing="1"/>
    </w:pPr>
  </w:style>
  <w:style w:type="character" w:styleId="Strong">
    <w:name w:val="Strong"/>
    <w:basedOn w:val="DefaultParagraphFont"/>
    <w:uiPriority w:val="99"/>
    <w:qFormat/>
    <w:rsid w:val="003D77D3"/>
    <w:rPr>
      <w:rFonts w:cs="Times New Roman"/>
      <w:b/>
      <w:bCs/>
    </w:rPr>
  </w:style>
  <w:style w:type="paragraph" w:customStyle="1" w:styleId="naislab">
    <w:name w:val="naislab"/>
    <w:basedOn w:val="Normal"/>
    <w:uiPriority w:val="99"/>
    <w:rsid w:val="003D77D3"/>
    <w:pPr>
      <w:spacing w:before="75" w:after="75"/>
      <w:jc w:val="right"/>
    </w:pPr>
    <w:rPr>
      <w:rFonts w:eastAsia="Calibri"/>
    </w:rPr>
  </w:style>
  <w:style w:type="character" w:styleId="PageNumber">
    <w:name w:val="page number"/>
    <w:basedOn w:val="DefaultParagraphFont"/>
    <w:uiPriority w:val="99"/>
    <w:rsid w:val="003D77D3"/>
    <w:rPr>
      <w:rFonts w:cs="Times New Roman"/>
    </w:rPr>
  </w:style>
  <w:style w:type="paragraph" w:customStyle="1" w:styleId="naisnod">
    <w:name w:val="naisnod"/>
    <w:basedOn w:val="Normal"/>
    <w:uiPriority w:val="99"/>
    <w:rsid w:val="003D77D3"/>
    <w:pPr>
      <w:spacing w:before="150" w:after="150"/>
      <w:jc w:val="center"/>
    </w:pPr>
    <w:rPr>
      <w:b/>
      <w:bCs/>
    </w:rPr>
  </w:style>
  <w:style w:type="paragraph" w:styleId="ListParagraph">
    <w:name w:val="List Paragraph"/>
    <w:basedOn w:val="Normal"/>
    <w:uiPriority w:val="99"/>
    <w:qFormat/>
    <w:rsid w:val="00C05C7E"/>
    <w:pPr>
      <w:ind w:left="720"/>
      <w:contextualSpacing/>
    </w:pPr>
  </w:style>
  <w:style w:type="paragraph" w:styleId="BalloonText">
    <w:name w:val="Balloon Text"/>
    <w:basedOn w:val="Normal"/>
    <w:link w:val="BalloonTextChar"/>
    <w:uiPriority w:val="99"/>
    <w:semiHidden/>
    <w:rsid w:val="007646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69E"/>
    <w:rPr>
      <w:rFonts w:ascii="Tahoma"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1025442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ozola@vid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404</TotalTime>
  <Pages>7</Pages>
  <Words>1923</Words>
  <Characters>13236</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anotācija</dc:title>
  <dc:subject/>
  <dc:creator>Dace Ozola</dc:creator>
  <cp:keywords/>
  <dc:description>dace.ozola@varam.gov.lv, 67026518</dc:description>
  <cp:lastModifiedBy>dacesh</cp:lastModifiedBy>
  <cp:revision>14</cp:revision>
  <cp:lastPrinted>2011-06-01T13:34:00Z</cp:lastPrinted>
  <dcterms:created xsi:type="dcterms:W3CDTF">2011-05-30T13:58:00Z</dcterms:created>
  <dcterms:modified xsi:type="dcterms:W3CDTF">2011-08-18T13:16:00Z</dcterms:modified>
</cp:coreProperties>
</file>