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E2" w:rsidRPr="00875E88" w:rsidRDefault="00875E88" w:rsidP="00F00AE2">
      <w:pPr>
        <w:pStyle w:val="naisc"/>
        <w:spacing w:before="0" w:after="0"/>
        <w:rPr>
          <w:b/>
          <w:sz w:val="28"/>
          <w:szCs w:val="28"/>
        </w:rPr>
      </w:pPr>
      <w:r w:rsidRPr="00875E88">
        <w:rPr>
          <w:b/>
          <w:sz w:val="28"/>
          <w:szCs w:val="28"/>
        </w:rPr>
        <w:t>Ministru kabineta noteikumu projekta</w:t>
      </w:r>
      <w:r w:rsidR="00F00AE2" w:rsidRPr="00875E88">
        <w:rPr>
          <w:b/>
          <w:sz w:val="28"/>
          <w:szCs w:val="28"/>
        </w:rPr>
        <w:t xml:space="preserve"> </w:t>
      </w:r>
      <w:r w:rsidR="00E73DBE" w:rsidRPr="00875E88">
        <w:rPr>
          <w:b/>
          <w:sz w:val="28"/>
          <w:szCs w:val="28"/>
        </w:rPr>
        <w:t>„</w:t>
      </w:r>
      <w:r w:rsidRPr="00875E88">
        <w:rPr>
          <w:b/>
          <w:sz w:val="28"/>
          <w:szCs w:val="28"/>
        </w:rPr>
        <w:t>Grozījumi Ministru kabineta 2002.gada 19.marta noteikumos Nr.129 „</w:t>
      </w:r>
      <w:r w:rsidRPr="00875E88">
        <w:rPr>
          <w:b/>
          <w:bCs/>
          <w:sz w:val="28"/>
          <w:szCs w:val="28"/>
        </w:rPr>
        <w:t>Prasības darbībām ar radioaktīvajiem atkritumiem un ar tiem saistītajiem materiāliem”</w:t>
      </w:r>
      <w:r w:rsidR="00614FDA" w:rsidRPr="00875E88">
        <w:rPr>
          <w:b/>
          <w:sz w:val="28"/>
          <w:szCs w:val="28"/>
        </w:rPr>
        <w:t>”</w:t>
      </w:r>
    </w:p>
    <w:p w:rsidR="00F00AE2" w:rsidRPr="00C74FA9" w:rsidRDefault="00F00AE2" w:rsidP="00F00AE2">
      <w:pPr>
        <w:jc w:val="center"/>
        <w:rPr>
          <w:b/>
          <w:bCs/>
          <w:szCs w:val="28"/>
          <w:lang w:eastAsia="lv-LV"/>
        </w:rPr>
      </w:pPr>
      <w:r w:rsidRPr="00C74FA9">
        <w:rPr>
          <w:b/>
          <w:bCs/>
          <w:szCs w:val="28"/>
          <w:lang w:eastAsia="lv-LV"/>
        </w:rPr>
        <w:t>sākotnējās ietekm</w:t>
      </w:r>
      <w:smartTag w:uri="urn:schemas-microsoft-com:office:smarttags" w:element="PersonName">
        <w:r w:rsidRPr="00C74FA9">
          <w:rPr>
            <w:b/>
            <w:bCs/>
            <w:szCs w:val="28"/>
            <w:lang w:eastAsia="lv-LV"/>
          </w:rPr>
          <w:t>es</w:t>
        </w:r>
      </w:smartTag>
      <w:r w:rsidRPr="00C74FA9">
        <w:rPr>
          <w:b/>
          <w:bCs/>
          <w:szCs w:val="28"/>
          <w:lang w:eastAsia="lv-LV"/>
        </w:rPr>
        <w:t xml:space="preserve"> novērtējuma </w:t>
      </w:r>
      <w:smartTag w:uri="schemas-tilde-lv/tildestengine" w:element="veidnes">
        <w:smartTagPr>
          <w:attr w:name="text" w:val="ziņojums"/>
          <w:attr w:name="baseform" w:val="zi￲ojums"/>
          <w:attr w:name="id" w:val="-1"/>
        </w:smartTagPr>
        <w:smartTag w:uri="urn:schemas-microsoft-com:office:smarttags" w:element="Street">
          <w:smartTagPr>
            <w:attr w:name="id" w:val="-1"/>
            <w:attr w:name="baseform" w:val="zi￲ojums"/>
            <w:attr w:name="text" w:val="ziņojums"/>
          </w:smartTagPr>
          <w:r w:rsidRPr="00C74FA9">
            <w:rPr>
              <w:b/>
              <w:bCs/>
              <w:szCs w:val="28"/>
              <w:lang w:eastAsia="lv-LV"/>
            </w:rPr>
            <w:t>ziņojums</w:t>
          </w:r>
        </w:smartTag>
      </w:smartTag>
      <w:r w:rsidRPr="00C74FA9">
        <w:rPr>
          <w:b/>
          <w:bCs/>
          <w:szCs w:val="28"/>
          <w:lang w:eastAsia="lv-LV"/>
        </w:rPr>
        <w:t xml:space="preserve"> </w:t>
      </w:r>
    </w:p>
    <w:p w:rsidR="00F00AE2" w:rsidRPr="00C74FA9" w:rsidRDefault="00F00AE2" w:rsidP="00F00AE2">
      <w:pPr>
        <w:jc w:val="center"/>
        <w:rPr>
          <w:b/>
          <w:bCs/>
          <w:szCs w:val="28"/>
          <w:lang w:eastAsia="lv-LV"/>
        </w:rPr>
      </w:pPr>
      <w:r w:rsidRPr="00C74FA9">
        <w:rPr>
          <w:b/>
          <w:bCs/>
          <w:szCs w:val="28"/>
          <w:lang w:eastAsia="lv-LV"/>
        </w:rPr>
        <w:t>(anotācija)</w:t>
      </w:r>
    </w:p>
    <w:p w:rsidR="00F00AE2" w:rsidRDefault="00F00AE2" w:rsidP="00F00AE2">
      <w:pPr>
        <w:rPr>
          <w:b/>
          <w:bCs/>
          <w:szCs w:val="28"/>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437"/>
        <w:gridCol w:w="6095"/>
      </w:tblGrid>
      <w:tr w:rsidR="004E0BED" w:rsidRPr="00187944" w:rsidTr="00BE0CB2">
        <w:tc>
          <w:tcPr>
            <w:tcW w:w="9072" w:type="dxa"/>
            <w:gridSpan w:val="3"/>
            <w:shd w:val="clear" w:color="auto" w:fill="auto"/>
          </w:tcPr>
          <w:p w:rsidR="004E0BED" w:rsidRPr="00187944" w:rsidRDefault="004E0BED" w:rsidP="00B83ED8">
            <w:pPr>
              <w:spacing w:before="120" w:after="120"/>
              <w:jc w:val="center"/>
              <w:rPr>
                <w:b/>
                <w:bCs/>
                <w:sz w:val="24"/>
                <w:lang w:eastAsia="lv-LV"/>
              </w:rPr>
            </w:pPr>
            <w:r w:rsidRPr="00187944">
              <w:rPr>
                <w:b/>
                <w:bCs/>
                <w:sz w:val="24"/>
              </w:rPr>
              <w:t>I. Tiesību akta projekta izstrādes nepieciešamība</w:t>
            </w:r>
          </w:p>
        </w:tc>
      </w:tr>
      <w:tr w:rsidR="004E0BED" w:rsidRPr="00187944" w:rsidTr="00B83ED8">
        <w:tc>
          <w:tcPr>
            <w:tcW w:w="540" w:type="dxa"/>
            <w:shd w:val="clear" w:color="auto" w:fill="auto"/>
          </w:tcPr>
          <w:p w:rsidR="004E0BED" w:rsidRPr="00187944" w:rsidRDefault="004E0BED" w:rsidP="00BE0CB2">
            <w:pPr>
              <w:pStyle w:val="naiskr"/>
              <w:jc w:val="center"/>
            </w:pPr>
            <w:r w:rsidRPr="00187944">
              <w:t>1.</w:t>
            </w:r>
          </w:p>
        </w:tc>
        <w:tc>
          <w:tcPr>
            <w:tcW w:w="2437" w:type="dxa"/>
            <w:shd w:val="clear" w:color="auto" w:fill="auto"/>
          </w:tcPr>
          <w:p w:rsidR="004E0BED" w:rsidRPr="00187944" w:rsidRDefault="004E0BED" w:rsidP="00B83ED8">
            <w:pPr>
              <w:pStyle w:val="naislab"/>
              <w:ind w:left="6" w:right="165"/>
              <w:jc w:val="both"/>
            </w:pPr>
            <w:r w:rsidRPr="00187944">
              <w:t>Pamatojums</w:t>
            </w:r>
          </w:p>
        </w:tc>
        <w:tc>
          <w:tcPr>
            <w:tcW w:w="6095" w:type="dxa"/>
            <w:shd w:val="clear" w:color="auto" w:fill="auto"/>
          </w:tcPr>
          <w:p w:rsidR="00B83ED8" w:rsidRPr="00187944" w:rsidRDefault="00875E88" w:rsidP="00875E88">
            <w:pPr>
              <w:pStyle w:val="naisc"/>
              <w:spacing w:before="0" w:after="0"/>
              <w:jc w:val="both"/>
            </w:pPr>
            <w:r w:rsidRPr="00875E88">
              <w:t>Ministru kabineta noteikumu projekt</w:t>
            </w:r>
            <w:r w:rsidR="002A1111">
              <w:t>s</w:t>
            </w:r>
            <w:r w:rsidRPr="00875E88">
              <w:t xml:space="preserve"> „Grozījumi Ministru kabineta 2002.gada 19.marta noteikumos Nr.129 „</w:t>
            </w:r>
            <w:r w:rsidRPr="00875E88">
              <w:rPr>
                <w:bCs/>
              </w:rPr>
              <w:t>Prasības darbībām ar radioaktīvajiem atkritumiem un ar tiem saistītajiem materiāliem”</w:t>
            </w:r>
            <w:r w:rsidRPr="00875E88">
              <w:t>”</w:t>
            </w:r>
            <w:r>
              <w:t xml:space="preserve"> (turpmāk – noteikumu </w:t>
            </w:r>
            <w:r w:rsidR="00614FDA" w:rsidRPr="00187944">
              <w:t xml:space="preserve">projekts) </w:t>
            </w:r>
            <w:r w:rsidR="004E0BED" w:rsidRPr="00187944">
              <w:t>sagatavot</w:t>
            </w:r>
            <w:r w:rsidR="00614FDA" w:rsidRPr="00187944">
              <w:t>s</w:t>
            </w:r>
            <w:r w:rsidR="004E0BED" w:rsidRPr="00187944">
              <w:t>, lai</w:t>
            </w:r>
            <w:r w:rsidR="00B72346" w:rsidRPr="00187944">
              <w:t xml:space="preserve"> nodrošinātu</w:t>
            </w:r>
            <w:r>
              <w:t xml:space="preserve"> </w:t>
            </w:r>
            <w:r w:rsidR="00B72346" w:rsidRPr="00187944">
              <w:t>atsevišķu Padomes 2011.gada 19.jūlija direktīvas 2011/70/Euratom, ar ko izveido Kopienas sistēmu lietotās kodoldegvielas un radioaktīvo atkritumu atbildīgai un droša</w:t>
            </w:r>
            <w:r w:rsidR="00CF7383" w:rsidRPr="009A5B96">
              <w:t>i apsaimniekošanai, (turpmāk – D</w:t>
            </w:r>
            <w:r w:rsidR="00B72346" w:rsidRPr="009A5B96">
              <w:t>irektīva 2011/70/Euratom)</w:t>
            </w:r>
            <w:r w:rsidR="00B72346" w:rsidRPr="00187944">
              <w:t xml:space="preserve"> prasību pārņemšanu.</w:t>
            </w:r>
          </w:p>
        </w:tc>
      </w:tr>
      <w:tr w:rsidR="004E0BED" w:rsidRPr="00187944" w:rsidTr="00B83ED8">
        <w:tc>
          <w:tcPr>
            <w:tcW w:w="540" w:type="dxa"/>
            <w:shd w:val="clear" w:color="auto" w:fill="auto"/>
          </w:tcPr>
          <w:p w:rsidR="004E0BED" w:rsidRPr="00187944" w:rsidRDefault="004E0BED" w:rsidP="00BE0CB2">
            <w:pPr>
              <w:pStyle w:val="naiskr"/>
              <w:jc w:val="center"/>
            </w:pPr>
            <w:r w:rsidRPr="00187944">
              <w:t>2.</w:t>
            </w:r>
          </w:p>
        </w:tc>
        <w:tc>
          <w:tcPr>
            <w:tcW w:w="2437" w:type="dxa"/>
            <w:shd w:val="clear" w:color="auto" w:fill="auto"/>
          </w:tcPr>
          <w:p w:rsidR="004E0BED" w:rsidRPr="00187944" w:rsidRDefault="004E0BED" w:rsidP="00B83ED8">
            <w:pPr>
              <w:pStyle w:val="naiskr"/>
              <w:ind w:left="6"/>
              <w:jc w:val="both"/>
            </w:pPr>
            <w:r w:rsidRPr="00187944">
              <w:t>Pašreizējā situācija un problēmas</w:t>
            </w:r>
          </w:p>
        </w:tc>
        <w:tc>
          <w:tcPr>
            <w:tcW w:w="6095" w:type="dxa"/>
            <w:shd w:val="clear" w:color="auto" w:fill="auto"/>
          </w:tcPr>
          <w:p w:rsidR="00A117BB" w:rsidRPr="00187944" w:rsidRDefault="00A117BB" w:rsidP="00A117BB">
            <w:pPr>
              <w:pStyle w:val="naiskr"/>
              <w:spacing w:before="0" w:after="120"/>
              <w:ind w:left="34"/>
              <w:jc w:val="both"/>
            </w:pPr>
            <w:r w:rsidRPr="00187944">
              <w:t>Likumā „Par radiācijas drošību un kodoldrošību” (turpmāk – likums) noteiktas pamatprasības aizsardzībai pret jonizējošo starojumu, nosacījumi sistēmas speciālo atļauju (licenču) un atļauju darbībām ar jonizējošā starojuma avotiem izveidei, darbībām ar jonizējošā starojuma avotiem operatora, darba vadītāja un darbinieku pamatpienākumi, prasības darbībām ar radioaktīvajiem atkritumiem.</w:t>
            </w:r>
          </w:p>
          <w:p w:rsidR="00875E88" w:rsidRPr="00875E88" w:rsidRDefault="00875E88" w:rsidP="00F709AB">
            <w:pPr>
              <w:pStyle w:val="naiskr"/>
              <w:spacing w:before="0" w:after="120"/>
              <w:ind w:left="34"/>
              <w:jc w:val="both"/>
            </w:pPr>
            <w:r w:rsidRPr="00875E88">
              <w:t>Ministru kabineta 2002.gada 19.marta noteikumos Nr.129 „</w:t>
            </w:r>
            <w:r w:rsidRPr="00875E88">
              <w:rPr>
                <w:bCs/>
              </w:rPr>
              <w:t>Prasības darbībām ar radioaktīvajiem atkritumiem un ar tiem saistītajiem materiāliem”</w:t>
            </w:r>
            <w:r w:rsidRPr="00875E88">
              <w:t>” (turpmāk – MK noteikumi Nr.129) ir noteiktas prasības darbībām ar radioaktīvajiem atkritumiem un ar tiem saistītajiem materiāliem.</w:t>
            </w:r>
          </w:p>
          <w:p w:rsidR="00875E88" w:rsidRDefault="00875E88" w:rsidP="00F709AB">
            <w:pPr>
              <w:pStyle w:val="naiskr"/>
              <w:spacing w:before="0" w:after="120"/>
              <w:ind w:left="34"/>
              <w:jc w:val="both"/>
            </w:pPr>
            <w:r>
              <w:t>MK noteikum</w:t>
            </w:r>
            <w:r w:rsidR="008D77E7">
              <w:t>i</w:t>
            </w:r>
            <w:r>
              <w:t xml:space="preserve"> Nr.129 </w:t>
            </w:r>
            <w:r w:rsidR="008D77E7">
              <w:t>satur:</w:t>
            </w:r>
          </w:p>
          <w:p w:rsidR="008D77E7" w:rsidRDefault="008D77E7" w:rsidP="008D77E7">
            <w:pPr>
              <w:pStyle w:val="naiskr"/>
              <w:spacing w:before="0" w:after="120"/>
              <w:ind w:left="34"/>
              <w:jc w:val="both"/>
            </w:pPr>
            <w:r>
              <w:t xml:space="preserve">1) radioaktīvo atkritumu un </w:t>
            </w:r>
            <w:r w:rsidRPr="00875E88">
              <w:t>ar tiem saistīt</w:t>
            </w:r>
            <w:r>
              <w:t>o</w:t>
            </w:r>
            <w:r w:rsidRPr="00875E88">
              <w:t xml:space="preserve"> materiāl</w:t>
            </w:r>
            <w:r>
              <w:t>u iedalījumu;</w:t>
            </w:r>
          </w:p>
          <w:p w:rsidR="008D77E7" w:rsidRDefault="008D77E7" w:rsidP="008D77E7">
            <w:pPr>
              <w:pStyle w:val="naiskr"/>
              <w:spacing w:before="0" w:after="120"/>
              <w:ind w:left="34"/>
              <w:jc w:val="both"/>
            </w:pPr>
            <w:r>
              <w:t xml:space="preserve">2) prasības </w:t>
            </w:r>
            <w:r w:rsidRPr="008D330D">
              <w:t>radioaktīvo atkritumu un ar radioaktīvajiem atkritu</w:t>
            </w:r>
            <w:r>
              <w:t>miem saistīto materiālu uzskaitei;</w:t>
            </w:r>
          </w:p>
          <w:p w:rsidR="008D77E7" w:rsidRDefault="008D77E7" w:rsidP="008D77E7">
            <w:pPr>
              <w:pStyle w:val="naiskr"/>
              <w:spacing w:before="0" w:after="120"/>
              <w:ind w:left="34"/>
              <w:jc w:val="both"/>
              <w:rPr>
                <w:bCs/>
              </w:rPr>
            </w:pPr>
            <w:r>
              <w:t xml:space="preserve">3) </w:t>
            </w:r>
            <w:r w:rsidRPr="008D77E7">
              <w:rPr>
                <w:bCs/>
              </w:rPr>
              <w:t xml:space="preserve">prasības darbībām ar radioaktīvajiem </w:t>
            </w:r>
            <w:r w:rsidRPr="006D3305">
              <w:rPr>
                <w:bCs/>
              </w:rPr>
              <w:t>atkritumiem un ar tiem saistītajiem materiāliem to rašanās vietās, glabāšanai, radioaktīvo atkritumu pārstrādei, pieņemšanai apglabāšanai</w:t>
            </w:r>
            <w:r w:rsidRPr="008D77E7">
              <w:rPr>
                <w:bCs/>
              </w:rPr>
              <w:t xml:space="preserve"> vai ilgstošai glabāšanai</w:t>
            </w:r>
            <w:r>
              <w:rPr>
                <w:bCs/>
              </w:rPr>
              <w:t>;</w:t>
            </w:r>
          </w:p>
          <w:p w:rsidR="008D77E7" w:rsidRDefault="008D77E7" w:rsidP="008D77E7">
            <w:pPr>
              <w:pStyle w:val="naiskr"/>
              <w:spacing w:before="0" w:after="120"/>
              <w:ind w:left="34"/>
              <w:jc w:val="both"/>
              <w:rPr>
                <w:bCs/>
              </w:rPr>
            </w:pPr>
            <w:r>
              <w:rPr>
                <w:bCs/>
              </w:rPr>
              <w:t xml:space="preserve">4) </w:t>
            </w:r>
            <w:r w:rsidRPr="008D77E7">
              <w:rPr>
                <w:bCs/>
              </w:rPr>
              <w:t>prasības neizmantojamo materiālu un ar radioaktīvajiem atkritumiem saistīto materiālu izkliedēšanai vidē</w:t>
            </w:r>
            <w:r>
              <w:rPr>
                <w:bCs/>
              </w:rPr>
              <w:t>;</w:t>
            </w:r>
          </w:p>
          <w:p w:rsidR="008D77E7" w:rsidRDefault="008D77E7" w:rsidP="008D77E7">
            <w:pPr>
              <w:pStyle w:val="naiskr"/>
              <w:spacing w:before="0" w:after="120"/>
              <w:ind w:left="34"/>
              <w:jc w:val="both"/>
              <w:rPr>
                <w:bCs/>
              </w:rPr>
            </w:pPr>
            <w:r>
              <w:rPr>
                <w:bCs/>
              </w:rPr>
              <w:t xml:space="preserve">5) </w:t>
            </w:r>
            <w:r w:rsidRPr="008D77E7">
              <w:rPr>
                <w:bCs/>
              </w:rPr>
              <w:t>prasības radioaktīvo atkritumu pievirsmas glabātavai un ģeoloģiskajai glabātavai</w:t>
            </w:r>
            <w:r>
              <w:rPr>
                <w:bCs/>
              </w:rPr>
              <w:t>;</w:t>
            </w:r>
          </w:p>
          <w:p w:rsidR="008D77E7" w:rsidRDefault="008D77E7" w:rsidP="008D77E7">
            <w:pPr>
              <w:pStyle w:val="naiskr"/>
              <w:spacing w:before="0" w:after="120"/>
              <w:ind w:left="34"/>
              <w:jc w:val="both"/>
              <w:rPr>
                <w:bCs/>
              </w:rPr>
            </w:pPr>
            <w:r w:rsidRPr="008D77E7">
              <w:rPr>
                <w:bCs/>
              </w:rPr>
              <w:t>6) prasības apglabāto radioaktīvo atkritumu ilgtermiņa drošības novērtēšanai un to apsaimniekošanai pēc radioaktīvo atkritumu tvertnes slēgšanas un apglabāšanas vietas ekspluatācijas izbeigšanas</w:t>
            </w:r>
            <w:r>
              <w:rPr>
                <w:bCs/>
              </w:rPr>
              <w:t>;</w:t>
            </w:r>
          </w:p>
          <w:p w:rsidR="008D77E7" w:rsidRPr="008D77E7" w:rsidRDefault="008D77E7" w:rsidP="008D77E7">
            <w:pPr>
              <w:pStyle w:val="naiskr"/>
              <w:spacing w:before="0" w:after="120"/>
              <w:ind w:left="34"/>
              <w:jc w:val="both"/>
            </w:pPr>
            <w:r>
              <w:rPr>
                <w:bCs/>
              </w:rPr>
              <w:t xml:space="preserve">7) atsevišķa nodaļu </w:t>
            </w:r>
            <w:r w:rsidRPr="008D77E7">
              <w:rPr>
                <w:bCs/>
              </w:rPr>
              <w:t>radioaktīvo atkritumu un lietotās kodoldegvielas starptautisko pārvadājumu uzraudzībai un kontrole</w:t>
            </w:r>
            <w:r>
              <w:rPr>
                <w:bCs/>
              </w:rPr>
              <w:t>i.</w:t>
            </w:r>
          </w:p>
          <w:p w:rsidR="00B72346" w:rsidRPr="00187944" w:rsidRDefault="006D3305" w:rsidP="006D3305">
            <w:pPr>
              <w:pStyle w:val="naiskr"/>
              <w:spacing w:before="0" w:after="120"/>
              <w:ind w:left="34"/>
              <w:jc w:val="both"/>
            </w:pPr>
            <w:r>
              <w:t>V</w:t>
            </w:r>
            <w:r w:rsidR="00F709AB" w:rsidRPr="00187944">
              <w:t>alsts uzraudzību un kontroli radiācijas drošības un kodoldrošības jomā n</w:t>
            </w:r>
            <w:r w:rsidR="004E7169" w:rsidRPr="00187944">
              <w:t xml:space="preserve">odrošina Valsts vides dienesta Radiācijas drošības centrs (turpmāk – VVD RDC). </w:t>
            </w:r>
          </w:p>
          <w:p w:rsidR="00E40C09" w:rsidRDefault="00BC0C16" w:rsidP="00D51ED8">
            <w:pPr>
              <w:pStyle w:val="naiskr"/>
              <w:spacing w:before="0" w:after="120"/>
              <w:ind w:left="34"/>
              <w:jc w:val="both"/>
            </w:pPr>
            <w:r w:rsidRPr="00187944">
              <w:t xml:space="preserve">2011.gadā pieņemta </w:t>
            </w:r>
            <w:r w:rsidR="00D51ED8" w:rsidRPr="00187944">
              <w:t>D</w:t>
            </w:r>
            <w:r w:rsidRPr="00187944">
              <w:t>irektīva 2011/70/E</w:t>
            </w:r>
            <w:r w:rsidR="0095318E" w:rsidRPr="00187944">
              <w:t>uratom</w:t>
            </w:r>
            <w:r w:rsidR="00F709AB" w:rsidRPr="00187944">
              <w:t>, kuras prasības ir jāpārņem tiesību aktos līdz 2013.gada 23.augustam</w:t>
            </w:r>
            <w:r w:rsidR="003C6A45" w:rsidRPr="00187944">
              <w:t xml:space="preserve"> </w:t>
            </w:r>
            <w:r w:rsidRPr="00187944">
              <w:t xml:space="preserve">un attiecīgi nepieciešams iekļaut </w:t>
            </w:r>
            <w:r w:rsidR="007B07CB">
              <w:t xml:space="preserve">MK noteikumos Nr.129 </w:t>
            </w:r>
            <w:r w:rsidR="004E7169" w:rsidRPr="007B07CB">
              <w:t>atsevišķas direktīvas prasības</w:t>
            </w:r>
            <w:r w:rsidR="00CF4A3F" w:rsidRPr="007B07CB">
              <w:t xml:space="preserve">, tai skaitā, </w:t>
            </w:r>
            <w:r w:rsidR="007B07CB" w:rsidRPr="007B07CB">
              <w:t>drošības novērtējumam</w:t>
            </w:r>
            <w:r w:rsidR="00CF4A3F" w:rsidRPr="007B07CB">
              <w:t>.</w:t>
            </w:r>
            <w:r w:rsidR="00C63AEB" w:rsidRPr="007B07CB">
              <w:t xml:space="preserve"> Direktīvas 2011/70/Euratom prasības attiecas uz tiem operatoriem, kuri savā darbībā izmanto jonizējošā starojuma avotus (radioaktīvās vielas saturošie), kuri rezultātā rada radioaktīvos atkritumus</w:t>
            </w:r>
            <w:r w:rsidR="007B07CB" w:rsidRPr="007B07CB">
              <w:t>, kā arī uz operatoriem, kuri nodrošina radioaktīvo atkritumu pārvaldības un apglabāšanas objektu apsaimniekošanu</w:t>
            </w:r>
            <w:r w:rsidR="00C63AEB" w:rsidRPr="007B07CB">
              <w:t>.</w:t>
            </w:r>
            <w:r w:rsidR="00C63AEB" w:rsidRPr="00187944">
              <w:t xml:space="preserve"> </w:t>
            </w:r>
          </w:p>
          <w:p w:rsidR="00D80C98" w:rsidRDefault="00C63AEB" w:rsidP="00D80C98">
            <w:pPr>
              <w:pStyle w:val="naiskr"/>
              <w:spacing w:before="0" w:after="120"/>
              <w:ind w:left="34"/>
              <w:jc w:val="both"/>
            </w:pPr>
            <w:r w:rsidRPr="00187944">
              <w:t>Latvijā ir tikai viens radioaktīvo atkritumu pārvaldības un apglabāšanas objekts – radioaktīvo atkritumu glabātava „Radons”, kur</w:t>
            </w:r>
            <w:r w:rsidR="007B07C5" w:rsidRPr="00187944">
              <w:t>ā</w:t>
            </w:r>
            <w:r w:rsidRPr="00187944">
              <w:t xml:space="preserve"> tiek nodrošināta ilgstoša radioaktīvo atkritumu un lietošanā neesošu slēgtu starojuma avotu glabāšana un arī radioaktīvo atkritumu apglabāšana.</w:t>
            </w:r>
            <w:r w:rsidR="007B07CB">
              <w:t xml:space="preserve"> </w:t>
            </w:r>
            <w:r w:rsidR="000B5230">
              <w:t xml:space="preserve">Šo objektu apsaimnieko VSIA </w:t>
            </w:r>
            <w:r w:rsidR="000B5230" w:rsidRPr="009A5B96">
              <w:t>„Latvijas Vides, ģeolo</w:t>
            </w:r>
            <w:r w:rsidR="000B5230">
              <w:t xml:space="preserve">ģijas un meteoroloģijas centrs”. </w:t>
            </w:r>
            <w:r w:rsidR="007B07CB" w:rsidRPr="0014693E">
              <w:t>Latvijā radioaktīvo atkritumu apjoms ir neliels, attiecīgi radioaktīvo atkritumu glabātavas „Radons” apsaimniekošanas izmaksas nav iespējams nosegt tikai ar operatoru maksu par atkritumu pārvaldību un apglabāšanu. Tādejādi glabātavas izmaksas tiek segtas no valsts budžeta.</w:t>
            </w:r>
          </w:p>
          <w:p w:rsidR="00A82FAA" w:rsidRPr="00187944" w:rsidRDefault="00A82FAA" w:rsidP="00D80C98">
            <w:pPr>
              <w:pStyle w:val="naiskr"/>
              <w:spacing w:before="0" w:after="120"/>
              <w:ind w:left="34"/>
              <w:jc w:val="both"/>
            </w:pPr>
            <w:r>
              <w:t xml:space="preserve">Latvijā </w:t>
            </w:r>
            <w:r w:rsidR="00BA49D1">
              <w:t xml:space="preserve">pašreiz </w:t>
            </w:r>
            <w:r>
              <w:t>netiek plānots</w:t>
            </w:r>
            <w:r w:rsidR="00BA49D1">
              <w:t xml:space="preserve"> būvēt jaunu radioaktīvo atkritumu apglabāšanas objektu, ievērojot pašreizējos radioaktīvo atkritumu apjomus, kā arī augstās izmaksas, kas nepieciešamas šādas glabātavas izveidei un uzturēšanai.</w:t>
            </w:r>
          </w:p>
        </w:tc>
      </w:tr>
      <w:tr w:rsidR="004E0BED" w:rsidRPr="00187944" w:rsidTr="00B83ED8">
        <w:tc>
          <w:tcPr>
            <w:tcW w:w="540" w:type="dxa"/>
            <w:shd w:val="clear" w:color="auto" w:fill="auto"/>
          </w:tcPr>
          <w:p w:rsidR="004E0BED" w:rsidRPr="00187944" w:rsidRDefault="004E0BED" w:rsidP="00BE0CB2">
            <w:pPr>
              <w:pStyle w:val="naiskr"/>
              <w:jc w:val="center"/>
            </w:pPr>
            <w:r w:rsidRPr="00187944">
              <w:t>3.</w:t>
            </w:r>
          </w:p>
        </w:tc>
        <w:tc>
          <w:tcPr>
            <w:tcW w:w="2437" w:type="dxa"/>
            <w:shd w:val="clear" w:color="auto" w:fill="auto"/>
          </w:tcPr>
          <w:p w:rsidR="004E0BED" w:rsidRPr="00187944" w:rsidRDefault="004E0BED" w:rsidP="00BE0CB2">
            <w:pPr>
              <w:pStyle w:val="naiskr"/>
              <w:ind w:left="33"/>
              <w:jc w:val="both"/>
            </w:pPr>
            <w:r w:rsidRPr="00187944">
              <w:t>Saistītie politikas ietekmes novērtējumi un pētījumi</w:t>
            </w:r>
          </w:p>
        </w:tc>
        <w:tc>
          <w:tcPr>
            <w:tcW w:w="6095" w:type="dxa"/>
            <w:shd w:val="clear" w:color="auto" w:fill="auto"/>
          </w:tcPr>
          <w:p w:rsidR="004E0BED" w:rsidRPr="00187944" w:rsidRDefault="004E0BED" w:rsidP="00BE0CB2">
            <w:pPr>
              <w:pStyle w:val="naiskr"/>
              <w:ind w:left="34"/>
              <w:jc w:val="both"/>
            </w:pPr>
            <w:r w:rsidRPr="00187944">
              <w:t>Projekts šo jomu neskar.</w:t>
            </w:r>
          </w:p>
        </w:tc>
      </w:tr>
      <w:tr w:rsidR="004E0BED" w:rsidRPr="00187944" w:rsidTr="00B83ED8">
        <w:tc>
          <w:tcPr>
            <w:tcW w:w="540" w:type="dxa"/>
            <w:shd w:val="clear" w:color="auto" w:fill="auto"/>
          </w:tcPr>
          <w:p w:rsidR="004E0BED" w:rsidRPr="00187944" w:rsidRDefault="004E0BED" w:rsidP="00BE0CB2">
            <w:pPr>
              <w:pStyle w:val="naiskr"/>
              <w:jc w:val="center"/>
            </w:pPr>
            <w:r w:rsidRPr="00187944">
              <w:t>4.</w:t>
            </w:r>
          </w:p>
        </w:tc>
        <w:tc>
          <w:tcPr>
            <w:tcW w:w="2437" w:type="dxa"/>
            <w:shd w:val="clear" w:color="auto" w:fill="auto"/>
          </w:tcPr>
          <w:p w:rsidR="004E0BED" w:rsidRPr="00187944" w:rsidRDefault="004E0BED" w:rsidP="00BE0CB2">
            <w:pPr>
              <w:pStyle w:val="naiskr"/>
              <w:ind w:left="33" w:right="34"/>
              <w:jc w:val="both"/>
            </w:pPr>
            <w:r w:rsidRPr="00187944">
              <w:t>Tiesiskā regulējuma mērķis un būtība</w:t>
            </w:r>
          </w:p>
        </w:tc>
        <w:tc>
          <w:tcPr>
            <w:tcW w:w="6095" w:type="dxa"/>
            <w:shd w:val="clear" w:color="auto" w:fill="auto"/>
          </w:tcPr>
          <w:p w:rsidR="00322A2F" w:rsidRPr="00BA49D1" w:rsidRDefault="00FA2856" w:rsidP="00671653">
            <w:pPr>
              <w:pStyle w:val="naiskr"/>
              <w:spacing w:before="0" w:after="120"/>
              <w:jc w:val="both"/>
              <w:rPr>
                <w:bCs/>
              </w:rPr>
            </w:pPr>
            <w:r w:rsidRPr="00BA49D1">
              <w:rPr>
                <w:bCs/>
              </w:rPr>
              <w:t>Noteikumu projekts paredz</w:t>
            </w:r>
            <w:r w:rsidR="00322A2F" w:rsidRPr="00BA49D1">
              <w:rPr>
                <w:bCs/>
              </w:rPr>
              <w:t>:</w:t>
            </w:r>
          </w:p>
          <w:p w:rsidR="00D80C98" w:rsidRPr="00BA49D1" w:rsidRDefault="00322A2F" w:rsidP="00D00A66">
            <w:pPr>
              <w:pStyle w:val="CM1"/>
              <w:spacing w:after="120"/>
              <w:jc w:val="both"/>
              <w:rPr>
                <w:rFonts w:ascii="Times New Roman" w:hAnsi="Times New Roman"/>
              </w:rPr>
            </w:pPr>
            <w:r w:rsidRPr="00BA49D1">
              <w:rPr>
                <w:rFonts w:ascii="Times New Roman" w:hAnsi="Times New Roman"/>
                <w:bCs/>
              </w:rPr>
              <w:t xml:space="preserve">1) </w:t>
            </w:r>
            <w:r w:rsidR="007B07CB" w:rsidRPr="00BA49D1">
              <w:rPr>
                <w:rFonts w:ascii="Times New Roman" w:hAnsi="Times New Roman"/>
                <w:bCs/>
              </w:rPr>
              <w:t xml:space="preserve">precizēt </w:t>
            </w:r>
            <w:r w:rsidR="00365398" w:rsidRPr="00BA49D1">
              <w:rPr>
                <w:rFonts w:ascii="Times New Roman" w:hAnsi="Times New Roman"/>
                <w:bCs/>
              </w:rPr>
              <w:t xml:space="preserve">MK noteikumos Nr.129 lietoto terminu </w:t>
            </w:r>
            <w:r w:rsidR="00365398" w:rsidRPr="00BA49D1">
              <w:rPr>
                <w:rFonts w:ascii="Times New Roman" w:hAnsi="Times New Roman"/>
              </w:rPr>
              <w:t xml:space="preserve">„radioaktīvo atkritumu apglabāšanas vai pārvaldes uzņēmums” </w:t>
            </w:r>
            <w:r w:rsidR="007B07CB" w:rsidRPr="00BA49D1">
              <w:rPr>
                <w:rFonts w:ascii="Times New Roman" w:hAnsi="Times New Roman"/>
                <w:bCs/>
              </w:rPr>
              <w:t xml:space="preserve">atbilstoši </w:t>
            </w:r>
            <w:r w:rsidR="00BF28F3" w:rsidRPr="00BA49D1">
              <w:rPr>
                <w:rFonts w:ascii="Times New Roman" w:hAnsi="Times New Roman"/>
              </w:rPr>
              <w:t>D</w:t>
            </w:r>
            <w:r w:rsidR="007B07CB" w:rsidRPr="00BA49D1">
              <w:rPr>
                <w:rFonts w:ascii="Times New Roman" w:hAnsi="Times New Roman"/>
              </w:rPr>
              <w:t xml:space="preserve">irektīvai 2011/70/Euratom: radioaktīvo atkritumu pārvaldības objekts </w:t>
            </w:r>
            <w:r w:rsidR="00365398" w:rsidRPr="00BA49D1">
              <w:rPr>
                <w:rFonts w:ascii="Times New Roman" w:hAnsi="Times New Roman"/>
              </w:rPr>
              <w:t xml:space="preserve">(angļu valodā - </w:t>
            </w:r>
            <w:r w:rsidR="00365398" w:rsidRPr="00BA49D1">
              <w:rPr>
                <w:rFonts w:ascii="Times New Roman" w:hAnsi="Times New Roman"/>
                <w:i/>
              </w:rPr>
              <w:t>radioactive waste management facility</w:t>
            </w:r>
            <w:r w:rsidR="00365398" w:rsidRPr="00BA49D1">
              <w:rPr>
                <w:rFonts w:ascii="Times New Roman" w:hAnsi="Times New Roman"/>
              </w:rPr>
              <w:t xml:space="preserve">) </w:t>
            </w:r>
            <w:r w:rsidR="007B07CB" w:rsidRPr="00BA49D1">
              <w:rPr>
                <w:rFonts w:ascii="Times New Roman" w:hAnsi="Times New Roman"/>
              </w:rPr>
              <w:t>un radioaktīvo</w:t>
            </w:r>
            <w:r w:rsidR="002923EB" w:rsidRPr="00BA49D1">
              <w:rPr>
                <w:rFonts w:ascii="Times New Roman" w:hAnsi="Times New Roman"/>
              </w:rPr>
              <w:t xml:space="preserve"> atkritumu apglabāšanas objekts</w:t>
            </w:r>
            <w:r w:rsidR="00365398" w:rsidRPr="00BA49D1">
              <w:rPr>
                <w:rFonts w:ascii="Times New Roman" w:hAnsi="Times New Roman"/>
              </w:rPr>
              <w:t xml:space="preserve"> (angļu valodā - </w:t>
            </w:r>
            <w:r w:rsidR="00365398" w:rsidRPr="00BA49D1">
              <w:rPr>
                <w:rFonts w:ascii="Times New Roman" w:hAnsi="Times New Roman"/>
                <w:i/>
              </w:rPr>
              <w:t>disposal facility</w:t>
            </w:r>
            <w:r w:rsidR="00365398" w:rsidRPr="00BA49D1">
              <w:rPr>
                <w:rFonts w:ascii="Times New Roman" w:hAnsi="Times New Roman"/>
              </w:rPr>
              <w:t>)</w:t>
            </w:r>
            <w:r w:rsidR="002923EB" w:rsidRPr="00BA49D1">
              <w:rPr>
                <w:rFonts w:ascii="Times New Roman" w:hAnsi="Times New Roman"/>
              </w:rPr>
              <w:t xml:space="preserve">. </w:t>
            </w:r>
          </w:p>
          <w:p w:rsidR="00365398" w:rsidRPr="00BA49D1" w:rsidRDefault="00365398" w:rsidP="00944336">
            <w:pPr>
              <w:spacing w:after="120"/>
              <w:jc w:val="both"/>
              <w:rPr>
                <w:sz w:val="24"/>
              </w:rPr>
            </w:pPr>
            <w:r w:rsidRPr="00BA49D1">
              <w:rPr>
                <w:sz w:val="24"/>
              </w:rPr>
              <w:t>Arī likuma „Par radi</w:t>
            </w:r>
            <w:r w:rsidR="00924BA5" w:rsidRPr="00BA49D1">
              <w:rPr>
                <w:sz w:val="24"/>
              </w:rPr>
              <w:t>ācijas drošību un kodoldrošību”</w:t>
            </w:r>
            <w:r w:rsidRPr="00BA49D1">
              <w:rPr>
                <w:sz w:val="24"/>
              </w:rPr>
              <w:t xml:space="preserve"> 1.panta 10.punktā termins „radioaktīvo atkritumu apglabāšanas vai pārvaldes uzņēmums” tiek aizstāts ar vārdiem „radioaktīvo atkritumu apglabāšanas objekts” un „radioaktīvo atkritumu pārvaldības objekts” atbilstoši Direktīvai 2011/70/Euratom un vienlaicīgi likumā tiek doti šo t</w:t>
            </w:r>
            <w:r w:rsidRPr="00BA49D1">
              <w:rPr>
                <w:sz w:val="24"/>
                <w:lang w:eastAsia="lv-LV"/>
              </w:rPr>
              <w:t>erminu</w:t>
            </w:r>
            <w:r w:rsidRPr="00BA49D1">
              <w:rPr>
                <w:sz w:val="24"/>
              </w:rPr>
              <w:t xml:space="preserve"> </w:t>
            </w:r>
            <w:r w:rsidRPr="00BA49D1">
              <w:rPr>
                <w:sz w:val="24"/>
                <w:lang w:eastAsia="lv-LV"/>
              </w:rPr>
              <w:t xml:space="preserve">definīcijas. </w:t>
            </w:r>
            <w:r w:rsidR="00D80C98" w:rsidRPr="00BA49D1">
              <w:rPr>
                <w:sz w:val="24"/>
              </w:rPr>
              <w:t>G</w:t>
            </w:r>
            <w:r w:rsidR="002923EB" w:rsidRPr="00BA49D1">
              <w:rPr>
                <w:sz w:val="24"/>
              </w:rPr>
              <w:t xml:space="preserve">rozījumi likumā izsludināti Valsts sekretāru 2013.gada 7.februāra sanāksmē, protokols Nr.5 11.§, VSS-105) un 2013.gada </w:t>
            </w:r>
            <w:r w:rsidR="00671653" w:rsidRPr="00BA49D1">
              <w:rPr>
                <w:sz w:val="24"/>
              </w:rPr>
              <w:t>1.augustā</w:t>
            </w:r>
            <w:r w:rsidR="002923EB" w:rsidRPr="00BA49D1">
              <w:rPr>
                <w:sz w:val="24"/>
              </w:rPr>
              <w:t xml:space="preserve"> saskaņoti iesniegti Valsts kancelejā. Atbilstoši Eiropas Atomenerģijas kopienas dibināšanas līguma (</w:t>
            </w:r>
            <w:r w:rsidR="002923EB" w:rsidRPr="00BA49D1">
              <w:rPr>
                <w:i/>
                <w:sz w:val="24"/>
              </w:rPr>
              <w:t xml:space="preserve">Euratom </w:t>
            </w:r>
            <w:r w:rsidR="002923EB" w:rsidRPr="00BA49D1">
              <w:rPr>
                <w:sz w:val="24"/>
              </w:rPr>
              <w:t>līgums</w:t>
            </w:r>
            <w:r w:rsidR="002923EB" w:rsidRPr="00BA49D1">
              <w:rPr>
                <w:i/>
                <w:sz w:val="24"/>
              </w:rPr>
              <w:t>)</w:t>
            </w:r>
            <w:r w:rsidR="002923EB" w:rsidRPr="00BA49D1">
              <w:rPr>
                <w:sz w:val="24"/>
              </w:rPr>
              <w:t xml:space="preserve"> 33.pantam likumprojekt</w:t>
            </w:r>
            <w:r w:rsidRPr="00BA49D1">
              <w:rPr>
                <w:sz w:val="24"/>
              </w:rPr>
              <w:t>s nosūtīts saskaņošanai</w:t>
            </w:r>
            <w:r w:rsidR="002923EB" w:rsidRPr="00BA49D1">
              <w:rPr>
                <w:sz w:val="24"/>
              </w:rPr>
              <w:t xml:space="preserve"> Eiro</w:t>
            </w:r>
            <w:r w:rsidR="007F4120" w:rsidRPr="00BA49D1">
              <w:rPr>
                <w:sz w:val="24"/>
              </w:rPr>
              <w:t>pas Komisij</w:t>
            </w:r>
            <w:r w:rsidRPr="00BA49D1">
              <w:rPr>
                <w:sz w:val="24"/>
              </w:rPr>
              <w:t>ai</w:t>
            </w:r>
            <w:r w:rsidR="007F4120" w:rsidRPr="00BA49D1">
              <w:rPr>
                <w:sz w:val="24"/>
              </w:rPr>
              <w:t xml:space="preserve"> (3 mēnešu termiņš). </w:t>
            </w:r>
          </w:p>
          <w:p w:rsidR="002923EB" w:rsidRPr="00BA49D1" w:rsidRDefault="007F4120" w:rsidP="00D00A66">
            <w:pPr>
              <w:spacing w:after="120"/>
              <w:jc w:val="both"/>
              <w:rPr>
                <w:sz w:val="24"/>
              </w:rPr>
            </w:pPr>
            <w:r w:rsidRPr="00BA49D1">
              <w:rPr>
                <w:sz w:val="24"/>
              </w:rPr>
              <w:t xml:space="preserve">Attiecīgi </w:t>
            </w:r>
            <w:r w:rsidR="00365398" w:rsidRPr="00BA49D1">
              <w:rPr>
                <w:sz w:val="24"/>
              </w:rPr>
              <w:t xml:space="preserve">arī </w:t>
            </w:r>
            <w:r w:rsidRPr="00BA49D1">
              <w:rPr>
                <w:sz w:val="24"/>
              </w:rPr>
              <w:t>noteikumu projektā termin</w:t>
            </w:r>
            <w:r w:rsidR="00365398" w:rsidRPr="00BA49D1">
              <w:rPr>
                <w:sz w:val="24"/>
              </w:rPr>
              <w:t>s</w:t>
            </w:r>
            <w:r w:rsidRPr="00BA49D1">
              <w:rPr>
                <w:sz w:val="24"/>
              </w:rPr>
              <w:t xml:space="preserve"> „radioaktīvo atkritumu apglabāšanas vai pārvaldes uzņēmums” tiek aizstāti ar vārdiem „radioaktīvo atkritumu apglabāšanas objekts” un „radioaktīvo atkritumu pārvaldības objekts” atbilstoši Direktīvā 2011/70/Euratom un likumprojektā lietotajiem terminiem</w:t>
            </w:r>
            <w:r w:rsidR="00944336" w:rsidRPr="00BA49D1">
              <w:rPr>
                <w:sz w:val="24"/>
              </w:rPr>
              <w:t>;</w:t>
            </w:r>
          </w:p>
          <w:p w:rsidR="00CE6FD8" w:rsidRPr="00BA49D1" w:rsidRDefault="007B07CB" w:rsidP="00671653">
            <w:pPr>
              <w:spacing w:after="120"/>
              <w:jc w:val="both"/>
              <w:rPr>
                <w:bCs/>
                <w:sz w:val="24"/>
              </w:rPr>
            </w:pPr>
            <w:r w:rsidRPr="00BA49D1">
              <w:rPr>
                <w:bCs/>
                <w:sz w:val="24"/>
              </w:rPr>
              <w:t xml:space="preserve">2) </w:t>
            </w:r>
            <w:r w:rsidR="00CE6FD8" w:rsidRPr="00BA49D1">
              <w:rPr>
                <w:bCs/>
                <w:sz w:val="24"/>
              </w:rPr>
              <w:t>precizē</w:t>
            </w:r>
            <w:r w:rsidR="00900519" w:rsidRPr="00BA49D1">
              <w:rPr>
                <w:bCs/>
                <w:sz w:val="24"/>
              </w:rPr>
              <w:t>t</w:t>
            </w:r>
            <w:r w:rsidR="00CE6FD8" w:rsidRPr="00BA49D1">
              <w:rPr>
                <w:bCs/>
                <w:sz w:val="24"/>
              </w:rPr>
              <w:t xml:space="preserve"> </w:t>
            </w:r>
            <w:r w:rsidR="009C579C" w:rsidRPr="00BA49D1">
              <w:rPr>
                <w:bCs/>
                <w:sz w:val="24"/>
              </w:rPr>
              <w:t xml:space="preserve">noteikumu 2.punktā </w:t>
            </w:r>
            <w:r w:rsidR="00CE6FD8" w:rsidRPr="00BA49D1">
              <w:rPr>
                <w:bCs/>
                <w:sz w:val="24"/>
              </w:rPr>
              <w:t xml:space="preserve">atsauci uz </w:t>
            </w:r>
            <w:r w:rsidR="00944336" w:rsidRPr="00BA49D1">
              <w:rPr>
                <w:bCs/>
                <w:sz w:val="24"/>
              </w:rPr>
              <w:t>MK</w:t>
            </w:r>
            <w:r w:rsidR="00C43A66" w:rsidRPr="00BA49D1">
              <w:rPr>
                <w:bCs/>
                <w:sz w:val="24"/>
              </w:rPr>
              <w:t xml:space="preserve"> 2011.gada 20. septembra noteikumiem Nr.723 </w:t>
            </w:r>
            <w:r w:rsidR="00561C71" w:rsidRPr="00BA49D1">
              <w:rPr>
                <w:bCs/>
                <w:sz w:val="24"/>
              </w:rPr>
              <w:t>„</w:t>
            </w:r>
            <w:r w:rsidR="00C43A66" w:rsidRPr="00BA49D1">
              <w:rPr>
                <w:bCs/>
                <w:sz w:val="24"/>
              </w:rPr>
              <w:t>Darbību ar jonizējošā starojuma avotiem licencēšanas kārtība</w:t>
            </w:r>
            <w:r w:rsidR="00561C71" w:rsidRPr="00BA49D1">
              <w:rPr>
                <w:bCs/>
                <w:sz w:val="24"/>
              </w:rPr>
              <w:t>”</w:t>
            </w:r>
            <w:r w:rsidR="00C43A66" w:rsidRPr="00BA49D1">
              <w:rPr>
                <w:bCs/>
                <w:sz w:val="24"/>
              </w:rPr>
              <w:t>, kuri aizstāj</w:t>
            </w:r>
            <w:r w:rsidR="00CE6FD8" w:rsidRPr="00BA49D1">
              <w:rPr>
                <w:bCs/>
                <w:sz w:val="24"/>
              </w:rPr>
              <w:t xml:space="preserve"> </w:t>
            </w:r>
            <w:r w:rsidR="00944336" w:rsidRPr="00BA49D1">
              <w:rPr>
                <w:bCs/>
                <w:sz w:val="24"/>
              </w:rPr>
              <w:t>MK 2001.gada 3.jūlija noteikumus Nr.</w:t>
            </w:r>
            <w:r w:rsidR="00C43A66" w:rsidRPr="00BA49D1">
              <w:rPr>
                <w:bCs/>
                <w:sz w:val="24"/>
              </w:rPr>
              <w:t xml:space="preserve">301 </w:t>
            </w:r>
            <w:r w:rsidR="00561C71" w:rsidRPr="00BA49D1">
              <w:rPr>
                <w:bCs/>
                <w:sz w:val="24"/>
              </w:rPr>
              <w:t>„</w:t>
            </w:r>
            <w:r w:rsidR="00C43A66" w:rsidRPr="00BA49D1">
              <w:rPr>
                <w:bCs/>
                <w:sz w:val="24"/>
              </w:rPr>
              <w:t>Speciālo atļauju (licenču) un atļauju darbībām ar jonizējošā starojuma avotiem izsniegšanas kārtība un kārtība, kādā publiski apspriežama valsts nozīmes jonizējošā starojuma objektu izveidošana vai būtisku pārmaiņu veikšana tajos</w:t>
            </w:r>
            <w:r w:rsidR="00561C71" w:rsidRPr="00BA49D1">
              <w:rPr>
                <w:bCs/>
                <w:sz w:val="24"/>
              </w:rPr>
              <w:t>”</w:t>
            </w:r>
            <w:r w:rsidR="009C579C" w:rsidRPr="00BA49D1">
              <w:rPr>
                <w:bCs/>
                <w:sz w:val="24"/>
              </w:rPr>
              <w:t>;</w:t>
            </w:r>
          </w:p>
          <w:p w:rsidR="007B07CB" w:rsidRPr="00BA49D1" w:rsidRDefault="007B07CB" w:rsidP="00671653">
            <w:pPr>
              <w:pStyle w:val="naiskr"/>
              <w:spacing w:before="0" w:after="120"/>
              <w:jc w:val="both"/>
              <w:rPr>
                <w:bCs/>
              </w:rPr>
            </w:pPr>
            <w:r w:rsidRPr="00BA49D1">
              <w:rPr>
                <w:bCs/>
              </w:rPr>
              <w:t>3</w:t>
            </w:r>
            <w:r w:rsidR="00D80C98" w:rsidRPr="00BA49D1">
              <w:rPr>
                <w:bCs/>
              </w:rPr>
              <w:t>)</w:t>
            </w:r>
            <w:r w:rsidRPr="00BA49D1">
              <w:rPr>
                <w:bCs/>
              </w:rPr>
              <w:t xml:space="preserve"> </w:t>
            </w:r>
            <w:r w:rsidR="00900519" w:rsidRPr="00BA49D1">
              <w:rPr>
                <w:bCs/>
              </w:rPr>
              <w:t>aizstāt</w:t>
            </w:r>
            <w:r w:rsidR="00CE6FD8" w:rsidRPr="00BA49D1">
              <w:rPr>
                <w:bCs/>
              </w:rPr>
              <w:t xml:space="preserve"> Radi</w:t>
            </w:r>
            <w:r w:rsidR="00C43A66" w:rsidRPr="00BA49D1">
              <w:rPr>
                <w:bCs/>
              </w:rPr>
              <w:t>ācijas drošības centrs nosaukumu</w:t>
            </w:r>
            <w:r w:rsidR="00CE6FD8" w:rsidRPr="00BA49D1">
              <w:rPr>
                <w:bCs/>
              </w:rPr>
              <w:t xml:space="preserve"> ar - </w:t>
            </w:r>
            <w:r w:rsidRPr="00BA49D1">
              <w:rPr>
                <w:bCs/>
              </w:rPr>
              <w:t>Valsts vides diene</w:t>
            </w:r>
            <w:r w:rsidR="00CE6FD8" w:rsidRPr="00BA49D1">
              <w:rPr>
                <w:bCs/>
              </w:rPr>
              <w:t>sta Radiācijas drošības centrs</w:t>
            </w:r>
            <w:r w:rsidR="00BA119F" w:rsidRPr="00BA49D1">
              <w:rPr>
                <w:bCs/>
              </w:rPr>
              <w:t xml:space="preserve"> -</w:t>
            </w:r>
            <w:r w:rsidR="00CE6FD8" w:rsidRPr="00BA49D1">
              <w:rPr>
                <w:bCs/>
              </w:rPr>
              <w:t xml:space="preserve"> atbilstoši </w:t>
            </w:r>
            <w:r w:rsidR="00944336" w:rsidRPr="00BA49D1">
              <w:rPr>
                <w:bCs/>
              </w:rPr>
              <w:t>MK</w:t>
            </w:r>
            <w:r w:rsidR="00C43A66" w:rsidRPr="00BA49D1">
              <w:rPr>
                <w:bCs/>
              </w:rPr>
              <w:t xml:space="preserve"> 2009.gada 28.maija rīkojumam Nr.339 „Par Radiācijas </w:t>
            </w:r>
            <w:r w:rsidR="009C579C" w:rsidRPr="00BA49D1">
              <w:rPr>
                <w:bCs/>
              </w:rPr>
              <w:t>drošības centra reorganizāciju”;</w:t>
            </w:r>
          </w:p>
          <w:p w:rsidR="00BA119F" w:rsidRPr="00BA49D1" w:rsidRDefault="007B07CB" w:rsidP="00671653">
            <w:pPr>
              <w:spacing w:after="120"/>
              <w:jc w:val="both"/>
              <w:rPr>
                <w:bCs/>
                <w:sz w:val="24"/>
              </w:rPr>
            </w:pPr>
            <w:r w:rsidRPr="00BA49D1">
              <w:rPr>
                <w:bCs/>
                <w:sz w:val="24"/>
              </w:rPr>
              <w:t xml:space="preserve">4) </w:t>
            </w:r>
            <w:r w:rsidR="009C579C" w:rsidRPr="00BA49D1">
              <w:rPr>
                <w:bCs/>
                <w:sz w:val="24"/>
              </w:rPr>
              <w:t>i</w:t>
            </w:r>
            <w:r w:rsidR="00900519" w:rsidRPr="00BA49D1">
              <w:rPr>
                <w:bCs/>
                <w:sz w:val="24"/>
              </w:rPr>
              <w:t>zslēgt</w:t>
            </w:r>
            <w:r w:rsidR="00CE6FD8" w:rsidRPr="00BA49D1">
              <w:rPr>
                <w:bCs/>
                <w:sz w:val="24"/>
              </w:rPr>
              <w:t xml:space="preserve"> termin</w:t>
            </w:r>
            <w:r w:rsidR="00900519" w:rsidRPr="00BA49D1">
              <w:rPr>
                <w:bCs/>
                <w:sz w:val="24"/>
              </w:rPr>
              <w:t>u</w:t>
            </w:r>
            <w:r w:rsidR="00CE6FD8" w:rsidRPr="00BA49D1">
              <w:rPr>
                <w:bCs/>
                <w:sz w:val="24"/>
              </w:rPr>
              <w:t xml:space="preserve"> „apglabāšana”, ievērojot, ka šis termins tiek iekļauts likumā „Par radiācijas drošību un kod</w:t>
            </w:r>
            <w:r w:rsidR="00137D8A" w:rsidRPr="00BA49D1">
              <w:rPr>
                <w:bCs/>
                <w:sz w:val="24"/>
              </w:rPr>
              <w:t xml:space="preserve">oldrošību” (likumprojekts </w:t>
            </w:r>
            <w:r w:rsidR="00D00A66" w:rsidRPr="00BA49D1">
              <w:rPr>
                <w:bCs/>
                <w:sz w:val="24"/>
              </w:rPr>
              <w:t>„</w:t>
            </w:r>
            <w:r w:rsidR="00137D8A" w:rsidRPr="00BA49D1">
              <w:rPr>
                <w:bCs/>
                <w:sz w:val="24"/>
              </w:rPr>
              <w:t xml:space="preserve">Grozījumi likumā </w:t>
            </w:r>
            <w:r w:rsidR="00561C71" w:rsidRPr="00BA49D1">
              <w:rPr>
                <w:bCs/>
                <w:sz w:val="24"/>
              </w:rPr>
              <w:t>„</w:t>
            </w:r>
            <w:r w:rsidR="00137D8A" w:rsidRPr="00BA49D1">
              <w:rPr>
                <w:bCs/>
                <w:sz w:val="24"/>
              </w:rPr>
              <w:t>Par radiāc</w:t>
            </w:r>
            <w:r w:rsidR="009A5B96" w:rsidRPr="00BA49D1">
              <w:rPr>
                <w:bCs/>
                <w:sz w:val="24"/>
              </w:rPr>
              <w:t>ijas drošību un kodoldrošību</w:t>
            </w:r>
            <w:r w:rsidR="00561C71" w:rsidRPr="00BA49D1">
              <w:rPr>
                <w:bCs/>
                <w:sz w:val="24"/>
              </w:rPr>
              <w:t>””</w:t>
            </w:r>
            <w:r w:rsidR="009A5B96" w:rsidRPr="00BA49D1">
              <w:rPr>
                <w:bCs/>
                <w:sz w:val="24"/>
              </w:rPr>
              <w:t xml:space="preserve"> </w:t>
            </w:r>
            <w:r w:rsidR="009A5B96" w:rsidRPr="00BA49D1">
              <w:rPr>
                <w:sz w:val="24"/>
              </w:rPr>
              <w:t>(izsludināts Valsts sekretāru 2013.gada 7.februāra sanāksmē, protokols Nr.5 11.§, VSS-105)</w:t>
            </w:r>
            <w:r w:rsidR="00CE6FD8" w:rsidRPr="00BA49D1">
              <w:rPr>
                <w:bCs/>
                <w:sz w:val="24"/>
              </w:rPr>
              <w:t>)</w:t>
            </w:r>
            <w:r w:rsidR="008C323F" w:rsidRPr="00BA49D1">
              <w:rPr>
                <w:bCs/>
                <w:sz w:val="24"/>
              </w:rPr>
              <w:t xml:space="preserve"> (turpmāk – Likumprojekts);</w:t>
            </w:r>
            <w:r w:rsidR="00BA119F" w:rsidRPr="00BA49D1">
              <w:rPr>
                <w:bCs/>
                <w:sz w:val="24"/>
              </w:rPr>
              <w:t xml:space="preserve"> </w:t>
            </w:r>
          </w:p>
          <w:p w:rsidR="00D80C98" w:rsidRPr="00BA49D1" w:rsidRDefault="00D80C98" w:rsidP="00671653">
            <w:pPr>
              <w:spacing w:after="120"/>
              <w:jc w:val="both"/>
              <w:rPr>
                <w:bCs/>
                <w:sz w:val="24"/>
              </w:rPr>
            </w:pPr>
            <w:r w:rsidRPr="00BA49D1">
              <w:rPr>
                <w:bCs/>
                <w:sz w:val="24"/>
              </w:rPr>
              <w:t xml:space="preserve">5) </w:t>
            </w:r>
            <w:r w:rsidR="009C579C" w:rsidRPr="00BA49D1">
              <w:rPr>
                <w:bCs/>
                <w:sz w:val="24"/>
              </w:rPr>
              <w:t>i</w:t>
            </w:r>
            <w:r w:rsidRPr="00BA49D1">
              <w:rPr>
                <w:bCs/>
                <w:sz w:val="24"/>
              </w:rPr>
              <w:t>zslēgt MK noteikumu Nr.129 45.punktā terminu „izgāztuve”, ievērojot, ka atbilstoši Atkritumu apsaimniekošanas likumam atkritumi tiek apglabāti poligonā un vēsturiskajās izgāztuvēs nav atļauts apglabāt atkritumus</w:t>
            </w:r>
            <w:r w:rsidR="009C579C" w:rsidRPr="00BA49D1">
              <w:rPr>
                <w:bCs/>
                <w:sz w:val="24"/>
              </w:rPr>
              <w:t>;</w:t>
            </w:r>
          </w:p>
          <w:p w:rsidR="00D80C98" w:rsidRPr="00BA49D1" w:rsidRDefault="00D80C98" w:rsidP="00671653">
            <w:pPr>
              <w:spacing w:after="120"/>
              <w:jc w:val="both"/>
              <w:rPr>
                <w:sz w:val="24"/>
              </w:rPr>
            </w:pPr>
            <w:r w:rsidRPr="00BA49D1">
              <w:rPr>
                <w:bCs/>
                <w:sz w:val="24"/>
              </w:rPr>
              <w:t xml:space="preserve">6) </w:t>
            </w:r>
            <w:r w:rsidR="009C579C" w:rsidRPr="00BA49D1">
              <w:rPr>
                <w:bCs/>
                <w:sz w:val="24"/>
              </w:rPr>
              <w:t xml:space="preserve">iekļaut papildus nosacījumus, kas jāievēro radioaktīvo atkritumu apglabāšanas objekta operatoram attiecībā uz objekta apsaimniekošanu, kā arī noteikt šī objekta kontroles minimālo regularitāti, kuru nodrošina VVD RDC (projekta </w:t>
            </w:r>
            <w:r w:rsidR="009C579C" w:rsidRPr="00BA49D1">
              <w:rPr>
                <w:sz w:val="24"/>
              </w:rPr>
              <w:t>77.</w:t>
            </w:r>
            <w:r w:rsidR="009C579C" w:rsidRPr="00BA49D1">
              <w:rPr>
                <w:sz w:val="24"/>
                <w:vertAlign w:val="superscript"/>
              </w:rPr>
              <w:t>1</w:t>
            </w:r>
            <w:r w:rsidR="009C579C" w:rsidRPr="00BA49D1">
              <w:rPr>
                <w:sz w:val="24"/>
              </w:rPr>
              <w:t xml:space="preserve"> un 77.</w:t>
            </w:r>
            <w:r w:rsidR="009C579C" w:rsidRPr="00BA49D1">
              <w:rPr>
                <w:sz w:val="24"/>
                <w:vertAlign w:val="superscript"/>
              </w:rPr>
              <w:t>2</w:t>
            </w:r>
            <w:r w:rsidR="00D00A66" w:rsidRPr="00BA49D1">
              <w:rPr>
                <w:sz w:val="24"/>
              </w:rPr>
              <w:t xml:space="preserve"> punkts).</w:t>
            </w:r>
          </w:p>
          <w:p w:rsidR="00D00A66" w:rsidRPr="00BA49D1" w:rsidRDefault="00D00A66" w:rsidP="00671653">
            <w:pPr>
              <w:spacing w:after="120"/>
              <w:jc w:val="both"/>
              <w:rPr>
                <w:sz w:val="24"/>
              </w:rPr>
            </w:pPr>
            <w:r w:rsidRPr="00BA49D1">
              <w:rPr>
                <w:sz w:val="24"/>
              </w:rPr>
              <w:t>Noteikumu projekta 77.</w:t>
            </w:r>
            <w:r w:rsidRPr="00BA49D1">
              <w:rPr>
                <w:sz w:val="24"/>
                <w:vertAlign w:val="superscript"/>
              </w:rPr>
              <w:t>1</w:t>
            </w:r>
            <w:r w:rsidRPr="00BA49D1">
              <w:rPr>
                <w:sz w:val="24"/>
              </w:rPr>
              <w:t xml:space="preserve">1.apakšpunkts paredz nosacījumus attiecībā uz finanšu resursiem un darbiniekiem, kurus jānodrošina operatoram </w:t>
            </w:r>
            <w:r w:rsidRPr="00BA49D1">
              <w:rPr>
                <w:bCs/>
                <w:sz w:val="24"/>
                <w:u w:val="single"/>
              </w:rPr>
              <w:t>radioaktīvo atkritumu pievirsmas glabātavā</w:t>
            </w:r>
            <w:r w:rsidRPr="00BA49D1">
              <w:rPr>
                <w:bCs/>
                <w:sz w:val="24"/>
              </w:rPr>
              <w:t xml:space="preserve">. Savukārt MK noteikumu Nr.129 13.punkts paredz nosacījumus attiecībā uz finanšu resursiem un darbiniekiem, kurus jānodrošina operatoram radioaktīvo atkritumu </w:t>
            </w:r>
            <w:r w:rsidRPr="00BA49D1">
              <w:rPr>
                <w:bCs/>
                <w:sz w:val="24"/>
                <w:u w:val="single"/>
              </w:rPr>
              <w:t>rašanās vietā</w:t>
            </w:r>
            <w:r w:rsidRPr="00BA49D1">
              <w:rPr>
                <w:bCs/>
                <w:sz w:val="24"/>
              </w:rPr>
              <w:t>.</w:t>
            </w:r>
          </w:p>
          <w:p w:rsidR="00D00A66" w:rsidRPr="00BA49D1" w:rsidRDefault="0089694F" w:rsidP="00A4551C">
            <w:pPr>
              <w:spacing w:after="120"/>
              <w:jc w:val="both"/>
              <w:rPr>
                <w:sz w:val="24"/>
              </w:rPr>
            </w:pPr>
            <w:r w:rsidRPr="00BA49D1">
              <w:rPr>
                <w:sz w:val="24"/>
              </w:rPr>
              <w:t xml:space="preserve">Noteikumu projekta </w:t>
            </w:r>
            <w:r w:rsidR="00D00A66" w:rsidRPr="00BA49D1">
              <w:rPr>
                <w:sz w:val="24"/>
              </w:rPr>
              <w:t>77.</w:t>
            </w:r>
            <w:r w:rsidR="00D00A66" w:rsidRPr="00BA49D1">
              <w:rPr>
                <w:sz w:val="24"/>
                <w:vertAlign w:val="superscript"/>
              </w:rPr>
              <w:t>1</w:t>
            </w:r>
            <w:r w:rsidR="00D00A66" w:rsidRPr="00BA49D1">
              <w:rPr>
                <w:sz w:val="24"/>
              </w:rPr>
              <w:t>2.</w:t>
            </w:r>
            <w:r w:rsidRPr="00BA49D1">
              <w:rPr>
                <w:sz w:val="24"/>
              </w:rPr>
              <w:t xml:space="preserve"> un </w:t>
            </w:r>
            <w:r w:rsidR="00D00A66" w:rsidRPr="00BA49D1">
              <w:rPr>
                <w:sz w:val="24"/>
              </w:rPr>
              <w:t xml:space="preserve"> 77.</w:t>
            </w:r>
            <w:r w:rsidR="00D00A66" w:rsidRPr="00BA49D1">
              <w:rPr>
                <w:sz w:val="24"/>
                <w:vertAlign w:val="superscript"/>
              </w:rPr>
              <w:t>1</w:t>
            </w:r>
            <w:r w:rsidR="00D00A66" w:rsidRPr="00BA49D1">
              <w:rPr>
                <w:sz w:val="24"/>
              </w:rPr>
              <w:t>3.</w:t>
            </w:r>
            <w:r w:rsidRPr="00BA49D1">
              <w:rPr>
                <w:sz w:val="24"/>
              </w:rPr>
              <w:t>apakšpunkts</w:t>
            </w:r>
            <w:r w:rsidR="00D00A66" w:rsidRPr="00BA49D1">
              <w:rPr>
                <w:sz w:val="24"/>
              </w:rPr>
              <w:t xml:space="preserve"> </w:t>
            </w:r>
            <w:r w:rsidRPr="00BA49D1">
              <w:rPr>
                <w:sz w:val="24"/>
              </w:rPr>
              <w:t xml:space="preserve">paredz nosacījumus </w:t>
            </w:r>
            <w:r w:rsidR="00D00A66" w:rsidRPr="00BA49D1">
              <w:rPr>
                <w:sz w:val="24"/>
              </w:rPr>
              <w:t>kvalitātes nodrošināšanas programm</w:t>
            </w:r>
            <w:r w:rsidR="00A4551C" w:rsidRPr="00BA49D1">
              <w:rPr>
                <w:sz w:val="24"/>
              </w:rPr>
              <w:t xml:space="preserve">ai, savukārt </w:t>
            </w:r>
            <w:r w:rsidR="00944336" w:rsidRPr="00BA49D1">
              <w:rPr>
                <w:sz w:val="24"/>
              </w:rPr>
              <w:t xml:space="preserve">projekta </w:t>
            </w:r>
            <w:r w:rsidR="00D00A66" w:rsidRPr="00BA49D1">
              <w:rPr>
                <w:sz w:val="24"/>
              </w:rPr>
              <w:t>77.</w:t>
            </w:r>
            <w:r w:rsidR="00D00A66" w:rsidRPr="00BA49D1">
              <w:rPr>
                <w:sz w:val="24"/>
                <w:vertAlign w:val="superscript"/>
              </w:rPr>
              <w:t>1</w:t>
            </w:r>
            <w:r w:rsidR="00D00A66" w:rsidRPr="00BA49D1">
              <w:rPr>
                <w:sz w:val="24"/>
              </w:rPr>
              <w:t>4.</w:t>
            </w:r>
            <w:r w:rsidR="00A4551C" w:rsidRPr="00BA49D1">
              <w:rPr>
                <w:sz w:val="24"/>
              </w:rPr>
              <w:t xml:space="preserve">apakšpunkts paredz prasības informācijas </w:t>
            </w:r>
            <w:r w:rsidR="00D00A66" w:rsidRPr="00BA49D1">
              <w:rPr>
                <w:sz w:val="24"/>
              </w:rPr>
              <w:t>dokumentē</w:t>
            </w:r>
            <w:r w:rsidR="00A4551C" w:rsidRPr="00BA49D1">
              <w:rPr>
                <w:sz w:val="24"/>
              </w:rPr>
              <w:t>šanai</w:t>
            </w:r>
            <w:r w:rsidR="00A10CF2">
              <w:rPr>
                <w:sz w:val="24"/>
              </w:rPr>
              <w:t xml:space="preserve"> visām</w:t>
            </w:r>
            <w:r w:rsidR="00D00A66" w:rsidRPr="00BA49D1">
              <w:rPr>
                <w:sz w:val="24"/>
              </w:rPr>
              <w:t xml:space="preserve"> darbīb</w:t>
            </w:r>
            <w:r w:rsidR="00A4551C" w:rsidRPr="00BA49D1">
              <w:rPr>
                <w:sz w:val="24"/>
              </w:rPr>
              <w:t>ām</w:t>
            </w:r>
            <w:r w:rsidR="00D00A66" w:rsidRPr="00BA49D1">
              <w:rPr>
                <w:sz w:val="24"/>
              </w:rPr>
              <w:t xml:space="preserve"> ar radioaktīvajiem atkritumiem.</w:t>
            </w:r>
          </w:p>
          <w:p w:rsidR="00A4551C" w:rsidRPr="00BA49D1" w:rsidRDefault="00A4551C" w:rsidP="00A4551C">
            <w:pPr>
              <w:spacing w:after="120"/>
              <w:jc w:val="both"/>
              <w:rPr>
                <w:sz w:val="24"/>
              </w:rPr>
            </w:pPr>
            <w:r w:rsidRPr="00BA49D1">
              <w:rPr>
                <w:sz w:val="24"/>
              </w:rPr>
              <w:t>Noteikumu projekta 77.</w:t>
            </w:r>
            <w:r w:rsidRPr="00BA49D1">
              <w:rPr>
                <w:sz w:val="24"/>
                <w:vertAlign w:val="superscript"/>
              </w:rPr>
              <w:t>2</w:t>
            </w:r>
            <w:r w:rsidRPr="00BA49D1">
              <w:rPr>
                <w:sz w:val="24"/>
              </w:rPr>
              <w:t>punkts paredz nosacījumu attiecībā uz radioaktīvo atkritumu apglabāšanas objekta darbības kontroles regularitāti.</w:t>
            </w:r>
          </w:p>
          <w:p w:rsidR="00D022CC" w:rsidRPr="00BA49D1" w:rsidRDefault="00D80C98" w:rsidP="00671653">
            <w:pPr>
              <w:spacing w:after="120"/>
              <w:jc w:val="both"/>
              <w:rPr>
                <w:sz w:val="24"/>
              </w:rPr>
            </w:pPr>
            <w:r w:rsidRPr="00BA49D1">
              <w:rPr>
                <w:sz w:val="24"/>
              </w:rPr>
              <w:t>7</w:t>
            </w:r>
            <w:r w:rsidR="00CE6FD8" w:rsidRPr="00BA49D1">
              <w:rPr>
                <w:sz w:val="24"/>
              </w:rPr>
              <w:t xml:space="preserve">) </w:t>
            </w:r>
            <w:r w:rsidR="00536D90" w:rsidRPr="00BA49D1">
              <w:rPr>
                <w:sz w:val="24"/>
              </w:rPr>
              <w:t>p</w:t>
            </w:r>
            <w:r w:rsidR="00900519" w:rsidRPr="00BA49D1">
              <w:rPr>
                <w:sz w:val="24"/>
              </w:rPr>
              <w:t xml:space="preserve">apildināt MK noteikumu Nr.129 </w:t>
            </w:r>
            <w:r w:rsidR="00372BB8" w:rsidRPr="00BA49D1">
              <w:rPr>
                <w:sz w:val="24"/>
              </w:rPr>
              <w:t>ar nosacījumiem par drošības novērtējumu</w:t>
            </w:r>
            <w:r w:rsidR="00924BA5" w:rsidRPr="00BA49D1">
              <w:rPr>
                <w:sz w:val="24"/>
              </w:rPr>
              <w:t xml:space="preserve">: </w:t>
            </w:r>
          </w:p>
          <w:p w:rsidR="00A4551C" w:rsidRPr="00BA49D1" w:rsidRDefault="00372BB8" w:rsidP="00052D8A">
            <w:pPr>
              <w:spacing w:after="120"/>
              <w:jc w:val="both"/>
              <w:rPr>
                <w:szCs w:val="28"/>
              </w:rPr>
            </w:pPr>
            <w:r w:rsidRPr="00BA49D1">
              <w:rPr>
                <w:sz w:val="24"/>
              </w:rPr>
              <w:t>a</w:t>
            </w:r>
            <w:r w:rsidR="00D022CC" w:rsidRPr="00BA49D1">
              <w:rPr>
                <w:sz w:val="24"/>
              </w:rPr>
              <w:t xml:space="preserve">) </w:t>
            </w:r>
            <w:r w:rsidRPr="00BA49D1">
              <w:rPr>
                <w:sz w:val="24"/>
              </w:rPr>
              <w:t xml:space="preserve">drošības novērtējumu veic </w:t>
            </w:r>
            <w:r w:rsidR="00D022CC" w:rsidRPr="00BA49D1">
              <w:rPr>
                <w:sz w:val="24"/>
              </w:rPr>
              <w:t xml:space="preserve">darbībām, kuras veicamas pirms radioaktīvo </w:t>
            </w:r>
            <w:r w:rsidRPr="00BA49D1">
              <w:rPr>
                <w:sz w:val="24"/>
              </w:rPr>
              <w:t xml:space="preserve">atkritumu </w:t>
            </w:r>
            <w:r w:rsidR="00D022CC" w:rsidRPr="00BA49D1">
              <w:rPr>
                <w:sz w:val="24"/>
              </w:rPr>
              <w:t>apglabāšanas (apstrāde, pārstrāde, ilgtermiņa glabāšana) (noteikumu projekta 4.punkts, noteikumu Nr.129 7.</w:t>
            </w:r>
            <w:r w:rsidR="00D022CC" w:rsidRPr="00BA49D1">
              <w:rPr>
                <w:sz w:val="24"/>
                <w:vertAlign w:val="superscript"/>
              </w:rPr>
              <w:t>1</w:t>
            </w:r>
            <w:r w:rsidR="00D022CC" w:rsidRPr="00BA49D1">
              <w:rPr>
                <w:sz w:val="24"/>
              </w:rPr>
              <w:t>punkts);</w:t>
            </w:r>
          </w:p>
          <w:p w:rsidR="00372BB8" w:rsidRPr="00BA49D1" w:rsidRDefault="00372BB8" w:rsidP="00052D8A">
            <w:pPr>
              <w:spacing w:after="120"/>
              <w:jc w:val="both"/>
              <w:rPr>
                <w:sz w:val="24"/>
              </w:rPr>
            </w:pPr>
            <w:r w:rsidRPr="00BA49D1">
              <w:rPr>
                <w:sz w:val="24"/>
              </w:rPr>
              <w:t>b</w:t>
            </w:r>
            <w:r w:rsidR="00D022CC" w:rsidRPr="00BA49D1">
              <w:rPr>
                <w:sz w:val="24"/>
              </w:rPr>
              <w:t xml:space="preserve">) </w:t>
            </w:r>
            <w:r w:rsidRPr="00BA49D1">
              <w:rPr>
                <w:sz w:val="24"/>
              </w:rPr>
              <w:t xml:space="preserve">MK noteikumu Nr.129 </w:t>
            </w:r>
            <w:r w:rsidRPr="00BA49D1">
              <w:rPr>
                <w:bCs/>
                <w:sz w:val="24"/>
                <w:lang w:eastAsia="lv-LV"/>
              </w:rPr>
              <w:t>IX. nodaļ</w:t>
            </w:r>
            <w:r w:rsidR="00A82FAA" w:rsidRPr="00BA49D1">
              <w:rPr>
                <w:bCs/>
                <w:sz w:val="24"/>
                <w:lang w:eastAsia="lv-LV"/>
              </w:rPr>
              <w:t>a</w:t>
            </w:r>
            <w:r w:rsidRPr="00BA49D1">
              <w:rPr>
                <w:bCs/>
                <w:sz w:val="24"/>
                <w:lang w:eastAsia="lv-LV"/>
              </w:rPr>
              <w:t xml:space="preserve"> „Prasības apglabāto radioaktīvo atkritumu ilgtermiņa drošības novērtēšanai” </w:t>
            </w:r>
            <w:r w:rsidR="00A82FAA" w:rsidRPr="00BA49D1">
              <w:rPr>
                <w:bCs/>
                <w:sz w:val="24"/>
                <w:lang w:eastAsia="lv-LV"/>
              </w:rPr>
              <w:t xml:space="preserve">papildināta </w:t>
            </w:r>
            <w:r w:rsidRPr="00BA49D1">
              <w:rPr>
                <w:sz w:val="24"/>
              </w:rPr>
              <w:t>ar jautājumiem par radioaktīvo atkritumu apglabāšanas objekta ilgtermiņa drošības novērtējumu, nosakot arī to veikšanas regularitāti. Vienlaicīgi projektā tiek paredzēti pasākumi sabiedrības informēšanai gan par ilgtermiņa drošības novērtējuma uzsākšanu, gan par tā rezultātiem, ievērojot, ka šāds objekts Latvijā ir tikai viens – radioaktīvo atkritumu glabātava „Radons</w:t>
            </w:r>
            <w:r w:rsidR="00052D8A" w:rsidRPr="00BA49D1">
              <w:rPr>
                <w:sz w:val="24"/>
              </w:rPr>
              <w:t>”</w:t>
            </w:r>
            <w:r w:rsidRPr="00BA49D1">
              <w:rPr>
                <w:sz w:val="24"/>
              </w:rPr>
              <w:t xml:space="preserve"> un sabie</w:t>
            </w:r>
            <w:r w:rsidR="00052D8A" w:rsidRPr="00BA49D1">
              <w:rPr>
                <w:sz w:val="24"/>
              </w:rPr>
              <w:t>d</w:t>
            </w:r>
            <w:r w:rsidRPr="00BA49D1">
              <w:rPr>
                <w:sz w:val="24"/>
              </w:rPr>
              <w:t>rības savlaicīga informēšana par drošības jautājumu risināšanu ir svarīga.</w:t>
            </w:r>
          </w:p>
          <w:p w:rsidR="00A4551C" w:rsidRPr="00BA49D1" w:rsidRDefault="00A82FAA" w:rsidP="00550434">
            <w:pPr>
              <w:spacing w:after="120"/>
              <w:jc w:val="both"/>
              <w:rPr>
                <w:szCs w:val="28"/>
              </w:rPr>
            </w:pPr>
            <w:r w:rsidRPr="00BA49D1">
              <w:rPr>
                <w:sz w:val="24"/>
              </w:rPr>
              <w:t xml:space="preserve">Noteikumu projekts paredz, ka drošības novērtējums veicams, ievērojot MK noteikumos Nr.129 paredzētās prasības radioaktīvo atkritumu apsaimniekošanai, kā arī tiek noteikts, ka drošības novērtējuma laikā ievēro arī Starptautiskās atomenerģijas aģentūras rekomendācijas par drošības novērtējumu. Lai šīs rekomendācijas būtu pieejamas sabiedrībai, projekts paredz, ka </w:t>
            </w:r>
            <w:r w:rsidR="00550434">
              <w:rPr>
                <w:bCs/>
                <w:sz w:val="24"/>
              </w:rPr>
              <w:t xml:space="preserve">VVD RDC </w:t>
            </w:r>
            <w:r w:rsidR="00BA49D1">
              <w:rPr>
                <w:bCs/>
                <w:sz w:val="24"/>
              </w:rPr>
              <w:t xml:space="preserve">(kā kontrolējošā iestāde) </w:t>
            </w:r>
            <w:r w:rsidRPr="00BA49D1">
              <w:rPr>
                <w:bCs/>
                <w:sz w:val="24"/>
              </w:rPr>
              <w:t>tās ievieto</w:t>
            </w:r>
            <w:r w:rsidRPr="00BA49D1">
              <w:rPr>
                <w:sz w:val="24"/>
              </w:rPr>
              <w:t xml:space="preserve"> Valsts vides dienesta tīmekļa vietnē. Latvijā ir tikai viens objekts, uz kuru attieksies šie drošības novērtējuma nosacījumi – radioaktīvo atkritumu glabātava „Radons”, kurā notiek radioaktīvo atkritumu apglabāšana, kā arī darbības, kuras veicamas pirms radioaktīvo atkritumu apglabāšanas. </w:t>
            </w:r>
            <w:r w:rsidR="00BA49D1">
              <w:rPr>
                <w:sz w:val="24"/>
              </w:rPr>
              <w:t>Kā jau minēts anotācijas I. sadaļas 2.punktā, šo objektu apsaimnieko valsts un pašreiz nav plānots Latvijā būvēt vēl kādu radioaktīvo atkritumu apglabāšanas objektu.</w:t>
            </w:r>
          </w:p>
        </w:tc>
      </w:tr>
      <w:tr w:rsidR="004E0BED" w:rsidRPr="00187944" w:rsidTr="00B83ED8">
        <w:tc>
          <w:tcPr>
            <w:tcW w:w="540" w:type="dxa"/>
            <w:shd w:val="clear" w:color="auto" w:fill="auto"/>
          </w:tcPr>
          <w:p w:rsidR="004E0BED" w:rsidRPr="00187944" w:rsidRDefault="004E0BED" w:rsidP="00BE0CB2">
            <w:pPr>
              <w:pStyle w:val="naiskr"/>
              <w:jc w:val="center"/>
            </w:pPr>
            <w:r w:rsidRPr="00187944">
              <w:t>5.</w:t>
            </w:r>
          </w:p>
        </w:tc>
        <w:tc>
          <w:tcPr>
            <w:tcW w:w="2437" w:type="dxa"/>
            <w:shd w:val="clear" w:color="auto" w:fill="auto"/>
          </w:tcPr>
          <w:p w:rsidR="004E0BED" w:rsidRPr="00187944" w:rsidRDefault="004E0BED" w:rsidP="00BE0CB2">
            <w:pPr>
              <w:pStyle w:val="naiskr"/>
              <w:ind w:left="33" w:right="34"/>
              <w:jc w:val="both"/>
            </w:pPr>
            <w:r w:rsidRPr="00187944">
              <w:t>Projekta izstrādē iesaistītās institūcijas</w:t>
            </w:r>
          </w:p>
        </w:tc>
        <w:tc>
          <w:tcPr>
            <w:tcW w:w="6095" w:type="dxa"/>
            <w:shd w:val="clear" w:color="auto" w:fill="auto"/>
          </w:tcPr>
          <w:p w:rsidR="002D5771" w:rsidRPr="004718AD" w:rsidRDefault="000B5230" w:rsidP="00944336">
            <w:pPr>
              <w:spacing w:after="120"/>
              <w:jc w:val="both"/>
              <w:rPr>
                <w:sz w:val="24"/>
              </w:rPr>
            </w:pPr>
            <w:r>
              <w:rPr>
                <w:sz w:val="24"/>
              </w:rPr>
              <w:t xml:space="preserve">VSIA </w:t>
            </w:r>
            <w:r w:rsidR="004718AD" w:rsidRPr="009A5B96">
              <w:rPr>
                <w:sz w:val="24"/>
              </w:rPr>
              <w:t>„Latvijas Vides, ģeoloģijas un meteoroloģijas centrs” (turpmāk -  LVĢMC)</w:t>
            </w:r>
            <w:r w:rsidR="001B2627" w:rsidRPr="009A5B96">
              <w:rPr>
                <w:sz w:val="24"/>
              </w:rPr>
              <w:t>,</w:t>
            </w:r>
            <w:r w:rsidR="001B2627" w:rsidRPr="004718AD">
              <w:rPr>
                <w:sz w:val="24"/>
              </w:rPr>
              <w:t xml:space="preserve"> VVD RDC</w:t>
            </w:r>
            <w:r w:rsidR="000360A6" w:rsidRPr="004718AD">
              <w:rPr>
                <w:sz w:val="24"/>
              </w:rPr>
              <w:t xml:space="preserve"> </w:t>
            </w:r>
          </w:p>
        </w:tc>
      </w:tr>
      <w:tr w:rsidR="004E0BED" w:rsidRPr="00187944" w:rsidTr="00B83ED8">
        <w:tc>
          <w:tcPr>
            <w:tcW w:w="540" w:type="dxa"/>
            <w:shd w:val="clear" w:color="auto" w:fill="auto"/>
          </w:tcPr>
          <w:p w:rsidR="004E0BED" w:rsidRPr="00187944" w:rsidRDefault="004E0BED" w:rsidP="00BE0CB2">
            <w:pPr>
              <w:pStyle w:val="naiskr"/>
              <w:jc w:val="center"/>
            </w:pPr>
            <w:r w:rsidRPr="00187944">
              <w:t>6.</w:t>
            </w:r>
          </w:p>
        </w:tc>
        <w:tc>
          <w:tcPr>
            <w:tcW w:w="2437" w:type="dxa"/>
            <w:shd w:val="clear" w:color="auto" w:fill="auto"/>
          </w:tcPr>
          <w:p w:rsidR="004E0BED" w:rsidRPr="00187944" w:rsidRDefault="004E0BED" w:rsidP="00BE0CB2">
            <w:pPr>
              <w:pStyle w:val="naiskr"/>
              <w:ind w:left="33" w:right="34"/>
              <w:jc w:val="both"/>
            </w:pPr>
            <w:r w:rsidRPr="00187944">
              <w:t>Iemesli, kādēļ netika nodrošināta sabiedrības līdzdalība</w:t>
            </w:r>
          </w:p>
        </w:tc>
        <w:tc>
          <w:tcPr>
            <w:tcW w:w="6095" w:type="dxa"/>
            <w:shd w:val="clear" w:color="auto" w:fill="auto"/>
          </w:tcPr>
          <w:p w:rsidR="004E0BED" w:rsidRPr="00187944" w:rsidRDefault="00FE42DA" w:rsidP="00944336">
            <w:pPr>
              <w:pStyle w:val="naiskr"/>
              <w:spacing w:before="0"/>
              <w:ind w:left="34"/>
              <w:jc w:val="both"/>
            </w:pPr>
            <w:r>
              <w:t xml:space="preserve">Projekts pirms izsludināšanas Valsts sekretāru sanāksmē </w:t>
            </w:r>
            <w:r w:rsidR="00944336">
              <w:t xml:space="preserve">tika </w:t>
            </w:r>
            <w:r>
              <w:t>ievietots</w:t>
            </w:r>
            <w:r w:rsidR="00561C71">
              <w:t xml:space="preserve"> VARAM</w:t>
            </w:r>
            <w:r w:rsidR="00561C71" w:rsidRPr="00187944">
              <w:t xml:space="preserve"> tīmekļa vietnē: </w:t>
            </w:r>
            <w:hyperlink r:id="rId8" w:history="1">
              <w:r w:rsidR="00561C71" w:rsidRPr="00187944">
                <w:rPr>
                  <w:rStyle w:val="Hyperlink"/>
                </w:rPr>
                <w:t>www.varam.gov.lv</w:t>
              </w:r>
            </w:hyperlink>
          </w:p>
        </w:tc>
      </w:tr>
      <w:tr w:rsidR="004E0BED" w:rsidRPr="00187944" w:rsidTr="00B83ED8">
        <w:tc>
          <w:tcPr>
            <w:tcW w:w="540" w:type="dxa"/>
            <w:shd w:val="clear" w:color="auto" w:fill="auto"/>
          </w:tcPr>
          <w:p w:rsidR="004E0BED" w:rsidRPr="00187944" w:rsidRDefault="004E0BED" w:rsidP="00BE0CB2">
            <w:pPr>
              <w:pStyle w:val="naiskr"/>
              <w:jc w:val="center"/>
            </w:pPr>
            <w:r w:rsidRPr="00187944">
              <w:t>7.</w:t>
            </w:r>
          </w:p>
        </w:tc>
        <w:tc>
          <w:tcPr>
            <w:tcW w:w="2437" w:type="dxa"/>
            <w:shd w:val="clear" w:color="auto" w:fill="auto"/>
          </w:tcPr>
          <w:p w:rsidR="004E0BED" w:rsidRPr="00187944" w:rsidRDefault="004E0BED" w:rsidP="00BE0CB2">
            <w:pPr>
              <w:pStyle w:val="naiskr"/>
              <w:ind w:left="33" w:right="34"/>
              <w:jc w:val="both"/>
            </w:pPr>
            <w:r w:rsidRPr="00187944">
              <w:t> Cita informācija</w:t>
            </w:r>
          </w:p>
        </w:tc>
        <w:tc>
          <w:tcPr>
            <w:tcW w:w="6095" w:type="dxa"/>
            <w:shd w:val="clear" w:color="auto" w:fill="auto"/>
          </w:tcPr>
          <w:p w:rsidR="004E0BED" w:rsidRPr="00187944" w:rsidRDefault="004E0BED" w:rsidP="00BE0CB2">
            <w:pPr>
              <w:pStyle w:val="naiskr"/>
              <w:ind w:left="34"/>
              <w:jc w:val="both"/>
            </w:pPr>
            <w:r w:rsidRPr="00187944">
              <w:t>Nav</w:t>
            </w:r>
          </w:p>
        </w:tc>
      </w:tr>
    </w:tbl>
    <w:p w:rsidR="004E0BED" w:rsidRPr="00187944" w:rsidRDefault="004E0BED" w:rsidP="00F00AE2">
      <w:pPr>
        <w:rPr>
          <w:b/>
          <w:bCs/>
          <w:sz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2551"/>
        <w:gridCol w:w="6095"/>
      </w:tblGrid>
      <w:tr w:rsidR="004E0BED" w:rsidRPr="00187944" w:rsidTr="00BE0CB2">
        <w:tc>
          <w:tcPr>
            <w:tcW w:w="9072" w:type="dxa"/>
            <w:gridSpan w:val="3"/>
            <w:shd w:val="clear" w:color="auto" w:fill="auto"/>
          </w:tcPr>
          <w:p w:rsidR="004E0BED" w:rsidRPr="00187944" w:rsidRDefault="004E0BED" w:rsidP="00B83ED8">
            <w:pPr>
              <w:spacing w:before="120" w:after="120"/>
              <w:jc w:val="center"/>
              <w:rPr>
                <w:b/>
                <w:bCs/>
                <w:sz w:val="24"/>
                <w:lang w:eastAsia="lv-LV"/>
              </w:rPr>
            </w:pPr>
            <w:r w:rsidRPr="00187944">
              <w:rPr>
                <w:b/>
                <w:sz w:val="24"/>
              </w:rPr>
              <w:t>II. Tiesību akta projekta ietekme uz sabiedrību</w:t>
            </w:r>
          </w:p>
        </w:tc>
      </w:tr>
      <w:tr w:rsidR="00B20055" w:rsidRPr="00187944" w:rsidTr="00BE0CB2">
        <w:tc>
          <w:tcPr>
            <w:tcW w:w="426" w:type="dxa"/>
            <w:shd w:val="clear" w:color="auto" w:fill="auto"/>
          </w:tcPr>
          <w:p w:rsidR="00B20055" w:rsidRPr="00187944" w:rsidRDefault="00B20055" w:rsidP="00BE0CB2">
            <w:pPr>
              <w:pStyle w:val="naiskr"/>
              <w:jc w:val="center"/>
            </w:pPr>
            <w:r w:rsidRPr="00187944">
              <w:t>1.</w:t>
            </w:r>
          </w:p>
        </w:tc>
        <w:tc>
          <w:tcPr>
            <w:tcW w:w="2551" w:type="dxa"/>
            <w:shd w:val="clear" w:color="auto" w:fill="auto"/>
          </w:tcPr>
          <w:p w:rsidR="00B20055" w:rsidRPr="00187944" w:rsidRDefault="00B20055" w:rsidP="00BE0CB2">
            <w:pPr>
              <w:pStyle w:val="naiskr"/>
              <w:ind w:left="33"/>
              <w:jc w:val="both"/>
            </w:pPr>
            <w:r w:rsidRPr="00187944">
              <w:t>Sabiedrības mērķgrupa</w:t>
            </w:r>
          </w:p>
        </w:tc>
        <w:tc>
          <w:tcPr>
            <w:tcW w:w="6095" w:type="dxa"/>
            <w:shd w:val="clear" w:color="auto" w:fill="auto"/>
          </w:tcPr>
          <w:p w:rsidR="003F7473" w:rsidRPr="00187944" w:rsidRDefault="001B2627" w:rsidP="004718AD">
            <w:pPr>
              <w:pStyle w:val="naiskr"/>
              <w:jc w:val="both"/>
            </w:pPr>
            <w:r>
              <w:t>Noteikumu projektā</w:t>
            </w:r>
            <w:r w:rsidR="00B20055" w:rsidRPr="00187944">
              <w:t xml:space="preserve"> noteiktais attieksi</w:t>
            </w:r>
            <w:smartTag w:uri="urn:schemas-microsoft-com:office:smarttags" w:element="PersonName">
              <w:r w:rsidR="00B20055" w:rsidRPr="00187944">
                <w:t>es</w:t>
              </w:r>
            </w:smartTag>
            <w:r w:rsidR="00B20055" w:rsidRPr="00187944">
              <w:t xml:space="preserve"> uz</w:t>
            </w:r>
            <w:r>
              <w:t xml:space="preserve"> radioaktīvo atkritumu apglabāšanas objekt</w:t>
            </w:r>
            <w:r w:rsidR="00322A2F">
              <w:t>u</w:t>
            </w:r>
            <w:r>
              <w:t xml:space="preserve"> – radioaktīvo atkritumu glabātavu „Radons”, kuru </w:t>
            </w:r>
            <w:r w:rsidR="009A5B96" w:rsidRPr="009A5B96">
              <w:t xml:space="preserve">apsaimnieko </w:t>
            </w:r>
            <w:r w:rsidRPr="009A5B96">
              <w:t>LVĢMC.</w:t>
            </w:r>
          </w:p>
        </w:tc>
      </w:tr>
      <w:tr w:rsidR="00B20055" w:rsidRPr="00187944" w:rsidTr="00BE0CB2">
        <w:tc>
          <w:tcPr>
            <w:tcW w:w="426" w:type="dxa"/>
            <w:shd w:val="clear" w:color="auto" w:fill="auto"/>
          </w:tcPr>
          <w:p w:rsidR="00B20055" w:rsidRPr="00187944" w:rsidRDefault="00B20055" w:rsidP="00BE0CB2">
            <w:pPr>
              <w:pStyle w:val="naiskr"/>
              <w:jc w:val="center"/>
            </w:pPr>
            <w:r w:rsidRPr="00187944">
              <w:t>2.</w:t>
            </w:r>
          </w:p>
        </w:tc>
        <w:tc>
          <w:tcPr>
            <w:tcW w:w="2551" w:type="dxa"/>
            <w:shd w:val="clear" w:color="auto" w:fill="auto"/>
          </w:tcPr>
          <w:p w:rsidR="00B20055" w:rsidRPr="00187944" w:rsidRDefault="00B20055" w:rsidP="00BE0CB2">
            <w:pPr>
              <w:pStyle w:val="naiskr"/>
              <w:ind w:left="33"/>
              <w:jc w:val="both"/>
            </w:pPr>
            <w:r w:rsidRPr="00187944">
              <w:t>Citas sabiedrības grupas (bez mērķgrupas), kuras tiesiskais regulējums arī ietekmē vai varētu ietekmēt</w:t>
            </w:r>
          </w:p>
        </w:tc>
        <w:tc>
          <w:tcPr>
            <w:tcW w:w="6095" w:type="dxa"/>
            <w:shd w:val="clear" w:color="auto" w:fill="auto"/>
          </w:tcPr>
          <w:p w:rsidR="00B20055" w:rsidRPr="00187944" w:rsidRDefault="00D742EF" w:rsidP="001B2627">
            <w:pPr>
              <w:pStyle w:val="naiskr"/>
              <w:jc w:val="both"/>
            </w:pPr>
            <w:r w:rsidRPr="00900519">
              <w:t>Iedzīvotāji</w:t>
            </w:r>
            <w:r w:rsidR="001B2627" w:rsidRPr="00900519">
              <w:t xml:space="preserve"> un Baldones pašvaldība</w:t>
            </w:r>
            <w:r w:rsidRPr="00900519">
              <w:t>, kur</w:t>
            </w:r>
            <w:r w:rsidR="001B2627" w:rsidRPr="00900519">
              <w:t>as</w:t>
            </w:r>
            <w:r w:rsidRPr="00900519">
              <w:t xml:space="preserve"> </w:t>
            </w:r>
            <w:r w:rsidR="001B2627" w:rsidRPr="00900519">
              <w:t>teritorijā atrodas radioaktīvo atkritumu glabātava „Radons”</w:t>
            </w:r>
            <w:r w:rsidR="00C63AEB" w:rsidRPr="00900519">
              <w:t>.</w:t>
            </w:r>
          </w:p>
        </w:tc>
      </w:tr>
      <w:tr w:rsidR="00B20055" w:rsidRPr="00187944" w:rsidTr="00BE0CB2">
        <w:tc>
          <w:tcPr>
            <w:tcW w:w="426" w:type="dxa"/>
            <w:shd w:val="clear" w:color="auto" w:fill="auto"/>
          </w:tcPr>
          <w:p w:rsidR="00B20055" w:rsidRPr="00187944" w:rsidRDefault="00B20055" w:rsidP="00BE0CB2">
            <w:pPr>
              <w:pStyle w:val="naiskr"/>
              <w:jc w:val="center"/>
            </w:pPr>
            <w:r w:rsidRPr="00187944">
              <w:t>3.</w:t>
            </w:r>
          </w:p>
        </w:tc>
        <w:tc>
          <w:tcPr>
            <w:tcW w:w="2551" w:type="dxa"/>
            <w:shd w:val="clear" w:color="auto" w:fill="auto"/>
          </w:tcPr>
          <w:p w:rsidR="00B20055" w:rsidRPr="00187944" w:rsidRDefault="00B20055" w:rsidP="00BE0CB2">
            <w:pPr>
              <w:pStyle w:val="naiskr"/>
              <w:ind w:left="33"/>
              <w:jc w:val="both"/>
            </w:pPr>
            <w:r w:rsidRPr="00187944">
              <w:t>Tiesiskā regulējuma finansiālā ietekme</w:t>
            </w:r>
          </w:p>
        </w:tc>
        <w:tc>
          <w:tcPr>
            <w:tcW w:w="6095" w:type="dxa"/>
            <w:shd w:val="clear" w:color="auto" w:fill="auto"/>
          </w:tcPr>
          <w:p w:rsidR="00B20055" w:rsidRPr="00187944" w:rsidRDefault="001B2627" w:rsidP="00706CC4">
            <w:pPr>
              <w:pStyle w:val="naiskr"/>
              <w:jc w:val="both"/>
              <w:rPr>
                <w:bCs/>
                <w:highlight w:val="yellow"/>
              </w:rPr>
            </w:pPr>
            <w:r>
              <w:t xml:space="preserve">Radioaktīvo atkritumu glabātavas „Radons” apsaimniekotājam </w:t>
            </w:r>
            <w:r w:rsidRPr="00FE42DA">
              <w:t xml:space="preserve">LVĢMC būs nepieciešami </w:t>
            </w:r>
            <w:r w:rsidR="00900519" w:rsidRPr="00FE42DA">
              <w:t xml:space="preserve">papildus līdzekļi </w:t>
            </w:r>
            <w:r w:rsidR="00900519" w:rsidRPr="00706CC4">
              <w:t>r</w:t>
            </w:r>
            <w:r w:rsidR="00900519" w:rsidRPr="00706CC4">
              <w:rPr>
                <w:szCs w:val="28"/>
              </w:rPr>
              <w:t xml:space="preserve">adioaktīvo atkritumu glabātavas ilgtermiņa drošības novērtējumam, kurš tiks veikts 2022.gadā (skat. </w:t>
            </w:r>
            <w:r w:rsidR="00030AB3" w:rsidRPr="00706CC4">
              <w:rPr>
                <w:szCs w:val="28"/>
              </w:rPr>
              <w:t>anotācijas III sadaļas 7.punkt</w:t>
            </w:r>
            <w:r w:rsidR="00706CC4" w:rsidRPr="00706CC4">
              <w:rPr>
                <w:szCs w:val="28"/>
              </w:rPr>
              <w:t>s</w:t>
            </w:r>
            <w:r w:rsidR="008347C2" w:rsidRPr="00706CC4">
              <w:rPr>
                <w:szCs w:val="28"/>
              </w:rPr>
              <w:t>)</w:t>
            </w:r>
            <w:r w:rsidR="00030AB3" w:rsidRPr="00706CC4">
              <w:rPr>
                <w:szCs w:val="28"/>
              </w:rPr>
              <w:t>.</w:t>
            </w:r>
          </w:p>
        </w:tc>
      </w:tr>
      <w:tr w:rsidR="00B20055" w:rsidRPr="00187944" w:rsidTr="00BE0CB2">
        <w:tc>
          <w:tcPr>
            <w:tcW w:w="426" w:type="dxa"/>
            <w:shd w:val="clear" w:color="auto" w:fill="auto"/>
          </w:tcPr>
          <w:p w:rsidR="00B20055" w:rsidRPr="00187944" w:rsidRDefault="00B20055" w:rsidP="00BE0CB2">
            <w:pPr>
              <w:pStyle w:val="naiskr"/>
              <w:jc w:val="center"/>
            </w:pPr>
            <w:r w:rsidRPr="00187944">
              <w:t>4.</w:t>
            </w:r>
          </w:p>
        </w:tc>
        <w:tc>
          <w:tcPr>
            <w:tcW w:w="2551" w:type="dxa"/>
            <w:shd w:val="clear" w:color="auto" w:fill="auto"/>
          </w:tcPr>
          <w:p w:rsidR="00B20055" w:rsidRPr="00187944" w:rsidRDefault="00B20055" w:rsidP="00BE0CB2">
            <w:pPr>
              <w:pStyle w:val="naiskr"/>
              <w:jc w:val="both"/>
            </w:pPr>
            <w:r w:rsidRPr="00187944">
              <w:t>Tiesiskā regulējuma nefinansiālā ietekme</w:t>
            </w:r>
          </w:p>
        </w:tc>
        <w:tc>
          <w:tcPr>
            <w:tcW w:w="6095" w:type="dxa"/>
            <w:shd w:val="clear" w:color="auto" w:fill="auto"/>
          </w:tcPr>
          <w:p w:rsidR="00122869" w:rsidRDefault="001B2627" w:rsidP="000B27CD">
            <w:pPr>
              <w:pStyle w:val="naiskr"/>
              <w:jc w:val="both"/>
            </w:pPr>
            <w:r>
              <w:t>Noteikumu projektā</w:t>
            </w:r>
            <w:r w:rsidR="00725364" w:rsidRPr="00187944">
              <w:t xml:space="preserve"> paredzētās </w:t>
            </w:r>
            <w:r w:rsidR="00612F31">
              <w:t>izmaiņas attiecībā uz Direktīvu</w:t>
            </w:r>
            <w:r w:rsidR="00725364" w:rsidRPr="00187944">
              <w:t xml:space="preserve"> 2011/70/Euratom attiecas uz radioaktīvo atkritumu glabātavas „Radons” apsaimniekošanu, ievērojot</w:t>
            </w:r>
            <w:r w:rsidR="00670508" w:rsidRPr="00187944">
              <w:t>, ka šīs ir vienīgais objekts Latvijā, kas nodrošina ilgstošu radioaktīvo atkritumu glabāšanu un apglabāšanu.</w:t>
            </w:r>
          </w:p>
          <w:p w:rsidR="001B2627" w:rsidRPr="00187944" w:rsidRDefault="001B2627" w:rsidP="008838F2">
            <w:pPr>
              <w:pStyle w:val="naiskr"/>
              <w:jc w:val="both"/>
              <w:rPr>
                <w:highlight w:val="yellow"/>
              </w:rPr>
            </w:pPr>
            <w:r>
              <w:t xml:space="preserve">Noteikumu projektā paredzētās </w:t>
            </w:r>
            <w:r w:rsidRPr="00FE42DA">
              <w:t xml:space="preserve">izmaiņas </w:t>
            </w:r>
            <w:r w:rsidR="008838F2" w:rsidRPr="00FE42DA">
              <w:t>precīzāk</w:t>
            </w:r>
            <w:r w:rsidRPr="00FE42DA">
              <w:t xml:space="preserve"> noteiks </w:t>
            </w:r>
            <w:r w:rsidR="008838F2" w:rsidRPr="00FE42DA">
              <w:t>r</w:t>
            </w:r>
            <w:r w:rsidR="008347C2" w:rsidRPr="00FE42DA">
              <w:rPr>
                <w:szCs w:val="28"/>
              </w:rPr>
              <w:t>adioaktīvo atkritumu apglabāšanas objekta ilgtermiņa drošības novērtējuma veikšanas nosacījumus.</w:t>
            </w:r>
          </w:p>
        </w:tc>
      </w:tr>
      <w:tr w:rsidR="00B20055" w:rsidRPr="00187944" w:rsidTr="00BE0CB2">
        <w:tc>
          <w:tcPr>
            <w:tcW w:w="426" w:type="dxa"/>
            <w:shd w:val="clear" w:color="auto" w:fill="auto"/>
          </w:tcPr>
          <w:p w:rsidR="00B20055" w:rsidRPr="00187944" w:rsidRDefault="00B20055" w:rsidP="00BE0CB2">
            <w:pPr>
              <w:pStyle w:val="naiskr"/>
              <w:jc w:val="center"/>
            </w:pPr>
            <w:r w:rsidRPr="00187944">
              <w:t>5.</w:t>
            </w:r>
          </w:p>
        </w:tc>
        <w:tc>
          <w:tcPr>
            <w:tcW w:w="2551" w:type="dxa"/>
            <w:shd w:val="clear" w:color="auto" w:fill="auto"/>
          </w:tcPr>
          <w:p w:rsidR="00B20055" w:rsidRPr="00187944" w:rsidRDefault="00B20055" w:rsidP="00BE0CB2">
            <w:pPr>
              <w:pStyle w:val="naiskr"/>
              <w:ind w:left="33"/>
              <w:jc w:val="both"/>
            </w:pPr>
            <w:r w:rsidRPr="00187944">
              <w:t>Administratīvās procedūras raksturojums</w:t>
            </w:r>
          </w:p>
        </w:tc>
        <w:tc>
          <w:tcPr>
            <w:tcW w:w="6095" w:type="dxa"/>
            <w:shd w:val="clear" w:color="auto" w:fill="auto"/>
          </w:tcPr>
          <w:p w:rsidR="001B2627" w:rsidRPr="00706CC4" w:rsidRDefault="001B2627" w:rsidP="00F32D81">
            <w:pPr>
              <w:pStyle w:val="naisf"/>
              <w:ind w:firstLine="0"/>
            </w:pPr>
            <w:r>
              <w:t>Noteikumu projekts</w:t>
            </w:r>
            <w:r w:rsidR="003C6A45" w:rsidRPr="00187944">
              <w:t xml:space="preserve"> paredz izmaiņas </w:t>
            </w:r>
            <w:r>
              <w:t>attiecībā uz radioaktīvo atkritumu glabātavas „Radons” ap</w:t>
            </w:r>
            <w:r w:rsidR="008347C2">
              <w:t>saimniekošanu -</w:t>
            </w:r>
            <w:r>
              <w:t xml:space="preserve"> </w:t>
            </w:r>
            <w:r w:rsidRPr="00706CC4">
              <w:t>ilgtermiņa drošības novērtējumu – tiek noteikts termiņš, cik regulāri šāds novērtējums ir jāveic, kā arī noteiktas prasības sabiedrības in</w:t>
            </w:r>
            <w:r w:rsidR="008347C2" w:rsidRPr="00706CC4">
              <w:t>formēšanai par šādu novērtējumu.</w:t>
            </w:r>
          </w:p>
          <w:p w:rsidR="00F32D81" w:rsidRPr="00187944" w:rsidRDefault="001B2627" w:rsidP="00075A21">
            <w:pPr>
              <w:pStyle w:val="naisf"/>
              <w:ind w:firstLine="0"/>
            </w:pPr>
            <w:r w:rsidRPr="00706CC4">
              <w:t>Vienlaicīgi noteikumu projektā ir iekļautas prasības VVD RDC kontroles regularitātei attiecībā uz radioaktīvo atkritumu glabātavu „Radons”</w:t>
            </w:r>
            <w:r w:rsidR="00075A21" w:rsidRPr="00706CC4">
              <w:t>.</w:t>
            </w:r>
            <w:r w:rsidR="00075A21">
              <w:t xml:space="preserve"> </w:t>
            </w:r>
          </w:p>
        </w:tc>
      </w:tr>
      <w:tr w:rsidR="00B20055" w:rsidRPr="00187944" w:rsidTr="00BE0CB2">
        <w:tc>
          <w:tcPr>
            <w:tcW w:w="426" w:type="dxa"/>
            <w:shd w:val="clear" w:color="auto" w:fill="auto"/>
          </w:tcPr>
          <w:p w:rsidR="00B20055" w:rsidRPr="00187944" w:rsidRDefault="00B20055" w:rsidP="00BE0CB2">
            <w:pPr>
              <w:pStyle w:val="naiskr"/>
              <w:jc w:val="center"/>
            </w:pPr>
            <w:r w:rsidRPr="00187944">
              <w:t>6.</w:t>
            </w:r>
          </w:p>
        </w:tc>
        <w:tc>
          <w:tcPr>
            <w:tcW w:w="2551" w:type="dxa"/>
            <w:shd w:val="clear" w:color="auto" w:fill="auto"/>
          </w:tcPr>
          <w:p w:rsidR="00B20055" w:rsidRPr="00187944" w:rsidRDefault="00B20055" w:rsidP="00BE0CB2">
            <w:pPr>
              <w:pStyle w:val="naiskr"/>
              <w:ind w:left="33"/>
              <w:jc w:val="both"/>
            </w:pPr>
            <w:r w:rsidRPr="00187944">
              <w:t>Administratīvo izmaksu monetārs novērtējums</w:t>
            </w:r>
          </w:p>
        </w:tc>
        <w:tc>
          <w:tcPr>
            <w:tcW w:w="6095" w:type="dxa"/>
            <w:shd w:val="clear" w:color="auto" w:fill="auto"/>
          </w:tcPr>
          <w:p w:rsidR="00F32D81" w:rsidRPr="00187944" w:rsidRDefault="00DB018E" w:rsidP="00F32D81">
            <w:pPr>
              <w:pStyle w:val="naiskr"/>
            </w:pPr>
            <w:r w:rsidRPr="00187944">
              <w:t>Projekts šo jomu neskar.</w:t>
            </w:r>
          </w:p>
        </w:tc>
      </w:tr>
      <w:tr w:rsidR="00B20055" w:rsidRPr="00187944" w:rsidTr="00BE0CB2">
        <w:tc>
          <w:tcPr>
            <w:tcW w:w="426" w:type="dxa"/>
            <w:shd w:val="clear" w:color="auto" w:fill="auto"/>
          </w:tcPr>
          <w:p w:rsidR="00B20055" w:rsidRPr="00187944" w:rsidRDefault="00B20055" w:rsidP="00E43705">
            <w:pPr>
              <w:pStyle w:val="naiskr"/>
              <w:spacing w:before="0" w:after="120"/>
              <w:jc w:val="center"/>
            </w:pPr>
            <w:r w:rsidRPr="00187944">
              <w:t>7.</w:t>
            </w:r>
          </w:p>
        </w:tc>
        <w:tc>
          <w:tcPr>
            <w:tcW w:w="2551" w:type="dxa"/>
            <w:shd w:val="clear" w:color="auto" w:fill="auto"/>
          </w:tcPr>
          <w:p w:rsidR="00B20055" w:rsidRPr="00187944" w:rsidRDefault="00B20055" w:rsidP="00E43705">
            <w:pPr>
              <w:pStyle w:val="naiskr"/>
              <w:spacing w:before="0" w:after="120"/>
              <w:ind w:left="33"/>
              <w:jc w:val="both"/>
            </w:pPr>
            <w:r w:rsidRPr="00187944">
              <w:t>Cita informācija</w:t>
            </w:r>
          </w:p>
        </w:tc>
        <w:tc>
          <w:tcPr>
            <w:tcW w:w="6095" w:type="dxa"/>
            <w:shd w:val="clear" w:color="auto" w:fill="auto"/>
          </w:tcPr>
          <w:p w:rsidR="00B20055" w:rsidRPr="00187944" w:rsidRDefault="00B20055" w:rsidP="00E43705">
            <w:pPr>
              <w:spacing w:after="120"/>
              <w:jc w:val="both"/>
              <w:rPr>
                <w:sz w:val="24"/>
              </w:rPr>
            </w:pPr>
            <w:r w:rsidRPr="00187944">
              <w:rPr>
                <w:sz w:val="24"/>
              </w:rPr>
              <w:t>Nav.</w:t>
            </w:r>
          </w:p>
        </w:tc>
      </w:tr>
    </w:tbl>
    <w:p w:rsidR="004E0BED" w:rsidRPr="00187944" w:rsidRDefault="004E0BED" w:rsidP="00F00AE2">
      <w:pPr>
        <w:rPr>
          <w:b/>
          <w:bCs/>
          <w:sz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85"/>
        <w:gridCol w:w="1233"/>
        <w:gridCol w:w="1486"/>
        <w:gridCol w:w="1313"/>
        <w:gridCol w:w="1407"/>
        <w:gridCol w:w="1407"/>
      </w:tblGrid>
      <w:tr w:rsidR="00A202F6" w:rsidRPr="00187944" w:rsidTr="007754C1">
        <w:tc>
          <w:tcPr>
            <w:tcW w:w="0" w:type="auto"/>
            <w:gridSpan w:val="6"/>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lang w:eastAsia="lv-LV"/>
              </w:rPr>
            </w:pPr>
            <w:r w:rsidRPr="00187944">
              <w:rPr>
                <w:b/>
                <w:bCs/>
                <w:sz w:val="24"/>
                <w:lang w:eastAsia="lv-LV"/>
              </w:rPr>
              <w:t>III. Tiesību akta projekta ietekme uz valsts budžetu un pašvaldību budžetiem</w:t>
            </w:r>
          </w:p>
        </w:tc>
      </w:tr>
      <w:tr w:rsidR="00A202F6" w:rsidRPr="00187944" w:rsidTr="007754C1">
        <w:tc>
          <w:tcPr>
            <w:tcW w:w="0" w:type="auto"/>
            <w:vMerge w:val="restart"/>
            <w:tcBorders>
              <w:top w:val="outset" w:sz="6" w:space="0" w:color="auto"/>
              <w:left w:val="outset" w:sz="6" w:space="0" w:color="auto"/>
              <w:bottom w:val="outset" w:sz="6" w:space="0" w:color="auto"/>
              <w:right w:val="outset" w:sz="6" w:space="0" w:color="auto"/>
            </w:tcBorders>
            <w:vAlign w:val="center"/>
          </w:tcPr>
          <w:p w:rsidR="00A202F6" w:rsidRPr="00187944" w:rsidRDefault="00A202F6" w:rsidP="007754C1">
            <w:pPr>
              <w:jc w:val="center"/>
              <w:rPr>
                <w:sz w:val="24"/>
                <w:lang w:eastAsia="lv-LV"/>
              </w:rPr>
            </w:pPr>
            <w:r w:rsidRPr="00187944">
              <w:rPr>
                <w:b/>
                <w:bCs/>
                <w:sz w:val="24"/>
                <w:lang w:eastAsia="lv-LV"/>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tcPr>
          <w:p w:rsidR="00A202F6" w:rsidRPr="00187944" w:rsidRDefault="00A202F6" w:rsidP="00A202F6">
            <w:pPr>
              <w:jc w:val="center"/>
              <w:rPr>
                <w:sz w:val="24"/>
                <w:lang w:eastAsia="lv-LV"/>
              </w:rPr>
            </w:pPr>
            <w:r w:rsidRPr="00187944">
              <w:rPr>
                <w:b/>
                <w:bCs/>
                <w:sz w:val="24"/>
                <w:lang w:eastAsia="lv-LV"/>
              </w:rPr>
              <w:t>2013.gads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A202F6" w:rsidRPr="00187944" w:rsidRDefault="00A202F6" w:rsidP="007754C1">
            <w:pPr>
              <w:jc w:val="center"/>
              <w:rPr>
                <w:sz w:val="24"/>
                <w:lang w:eastAsia="lv-LV"/>
              </w:rPr>
            </w:pPr>
            <w:r w:rsidRPr="00187944">
              <w:rPr>
                <w:sz w:val="24"/>
                <w:lang w:eastAsia="lv-LV"/>
              </w:rPr>
              <w:t>Turpmākie trīs gadi (tūkst</w:t>
            </w:r>
            <w:smartTag w:uri="schemas-tilde-lv/tildestengine" w:element="currency2">
              <w:smartTagPr>
                <w:attr w:name="currency_id" w:val="48"/>
                <w:attr w:name="currency_key" w:val="LVL"/>
                <w:attr w:name="currency_value" w:val="."/>
                <w:attr w:name="currency_text" w:val="latu"/>
              </w:smartTagPr>
              <w:r w:rsidRPr="00187944">
                <w:rPr>
                  <w:sz w:val="24"/>
                  <w:lang w:eastAsia="lv-LV"/>
                </w:rPr>
                <w:t>. latu</w:t>
              </w:r>
            </w:smartTag>
            <w:r w:rsidRPr="00187944">
              <w:rPr>
                <w:sz w:val="24"/>
                <w:lang w:eastAsia="lv-LV"/>
              </w:rPr>
              <w:t>)</w:t>
            </w:r>
          </w:p>
        </w:tc>
      </w:tr>
      <w:tr w:rsidR="00A202F6" w:rsidRPr="00187944" w:rsidTr="007754C1">
        <w:tc>
          <w:tcPr>
            <w:tcW w:w="0" w:type="auto"/>
            <w:vMerge/>
            <w:tcBorders>
              <w:top w:val="outset" w:sz="6" w:space="0" w:color="auto"/>
              <w:left w:val="outset" w:sz="6" w:space="0" w:color="auto"/>
              <w:bottom w:val="outset" w:sz="6" w:space="0" w:color="auto"/>
              <w:right w:val="outset" w:sz="6" w:space="0" w:color="auto"/>
            </w:tcBorders>
            <w:vAlign w:val="center"/>
          </w:tcPr>
          <w:p w:rsidR="00A202F6" w:rsidRPr="00187944" w:rsidRDefault="00A202F6" w:rsidP="007754C1">
            <w:pPr>
              <w:rPr>
                <w:sz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A202F6" w:rsidRPr="00187944" w:rsidRDefault="00A202F6" w:rsidP="007754C1">
            <w:pPr>
              <w:rPr>
                <w:sz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A202F6" w:rsidRPr="00187944" w:rsidRDefault="00A202F6" w:rsidP="00A202F6">
            <w:pPr>
              <w:jc w:val="center"/>
              <w:rPr>
                <w:sz w:val="24"/>
                <w:lang w:eastAsia="lv-LV"/>
              </w:rPr>
            </w:pPr>
            <w:r w:rsidRPr="00187944">
              <w:rPr>
                <w:b/>
                <w:bCs/>
                <w:sz w:val="24"/>
                <w:lang w:eastAsia="lv-LV"/>
              </w:rPr>
              <w:t>2014.gads</w:t>
            </w:r>
          </w:p>
        </w:tc>
        <w:tc>
          <w:tcPr>
            <w:tcW w:w="0" w:type="auto"/>
            <w:tcBorders>
              <w:top w:val="outset" w:sz="6" w:space="0" w:color="auto"/>
              <w:left w:val="outset" w:sz="6" w:space="0" w:color="auto"/>
              <w:bottom w:val="outset" w:sz="6" w:space="0" w:color="auto"/>
              <w:right w:val="outset" w:sz="6" w:space="0" w:color="auto"/>
            </w:tcBorders>
            <w:vAlign w:val="center"/>
          </w:tcPr>
          <w:p w:rsidR="00A202F6" w:rsidRPr="00187944" w:rsidRDefault="00A202F6" w:rsidP="00A202F6">
            <w:pPr>
              <w:jc w:val="center"/>
              <w:rPr>
                <w:sz w:val="24"/>
                <w:lang w:eastAsia="lv-LV"/>
              </w:rPr>
            </w:pPr>
            <w:r w:rsidRPr="00187944">
              <w:rPr>
                <w:b/>
                <w:bCs/>
                <w:sz w:val="24"/>
                <w:lang w:eastAsia="lv-LV"/>
              </w:rPr>
              <w:t>2015.gads</w:t>
            </w:r>
          </w:p>
        </w:tc>
        <w:tc>
          <w:tcPr>
            <w:tcW w:w="0" w:type="auto"/>
            <w:tcBorders>
              <w:top w:val="outset" w:sz="6" w:space="0" w:color="auto"/>
              <w:left w:val="outset" w:sz="6" w:space="0" w:color="auto"/>
              <w:bottom w:val="outset" w:sz="6" w:space="0" w:color="auto"/>
              <w:right w:val="outset" w:sz="6" w:space="0" w:color="auto"/>
            </w:tcBorders>
            <w:vAlign w:val="center"/>
          </w:tcPr>
          <w:p w:rsidR="00A202F6" w:rsidRPr="00187944" w:rsidRDefault="00A202F6" w:rsidP="00A202F6">
            <w:pPr>
              <w:jc w:val="center"/>
              <w:rPr>
                <w:sz w:val="24"/>
                <w:lang w:eastAsia="lv-LV"/>
              </w:rPr>
            </w:pPr>
            <w:r w:rsidRPr="00187944">
              <w:rPr>
                <w:b/>
                <w:bCs/>
                <w:sz w:val="24"/>
                <w:lang w:eastAsia="lv-LV"/>
              </w:rPr>
              <w:t>2016.gads</w:t>
            </w:r>
          </w:p>
        </w:tc>
      </w:tr>
      <w:tr w:rsidR="00A202F6" w:rsidRPr="00187944" w:rsidTr="007754C1">
        <w:tc>
          <w:tcPr>
            <w:tcW w:w="0" w:type="auto"/>
            <w:vMerge/>
            <w:tcBorders>
              <w:top w:val="outset" w:sz="6" w:space="0" w:color="auto"/>
              <w:left w:val="outset" w:sz="6" w:space="0" w:color="auto"/>
              <w:bottom w:val="outset" w:sz="6" w:space="0" w:color="auto"/>
              <w:right w:val="outset" w:sz="6" w:space="0" w:color="auto"/>
            </w:tcBorders>
            <w:vAlign w:val="center"/>
          </w:tcPr>
          <w:p w:rsidR="00A202F6" w:rsidRPr="00187944" w:rsidRDefault="00A202F6" w:rsidP="007754C1">
            <w:pPr>
              <w:rPr>
                <w:sz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A202F6" w:rsidRPr="00187944" w:rsidRDefault="00A202F6" w:rsidP="007754C1">
            <w:pPr>
              <w:jc w:val="center"/>
              <w:rPr>
                <w:sz w:val="24"/>
                <w:lang w:eastAsia="lv-LV"/>
              </w:rPr>
            </w:pPr>
            <w:r w:rsidRPr="00187944">
              <w:rPr>
                <w:sz w:val="24"/>
                <w:lang w:eastAsia="lv-LV"/>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tcPr>
          <w:p w:rsidR="00A202F6" w:rsidRPr="00187944" w:rsidRDefault="00A202F6" w:rsidP="007754C1">
            <w:pPr>
              <w:jc w:val="center"/>
              <w:rPr>
                <w:sz w:val="24"/>
                <w:lang w:eastAsia="lv-LV"/>
              </w:rPr>
            </w:pPr>
            <w:r w:rsidRPr="00187944">
              <w:rPr>
                <w:sz w:val="24"/>
                <w:lang w:eastAsia="lv-LV"/>
              </w:rPr>
              <w:t>Izmaiņas kārtējā gadā, salīdzinot ar budžetu kārtējam gadam</w:t>
            </w:r>
          </w:p>
        </w:tc>
        <w:tc>
          <w:tcPr>
            <w:tcW w:w="0" w:type="auto"/>
            <w:tcBorders>
              <w:top w:val="outset" w:sz="6" w:space="0" w:color="auto"/>
              <w:left w:val="outset" w:sz="6" w:space="0" w:color="auto"/>
              <w:bottom w:val="outset" w:sz="6" w:space="0" w:color="auto"/>
              <w:right w:val="outset" w:sz="6" w:space="0" w:color="auto"/>
            </w:tcBorders>
            <w:vAlign w:val="center"/>
          </w:tcPr>
          <w:p w:rsidR="00A202F6" w:rsidRPr="00187944" w:rsidRDefault="00A202F6" w:rsidP="00A202F6">
            <w:pPr>
              <w:jc w:val="center"/>
              <w:rPr>
                <w:sz w:val="24"/>
                <w:lang w:eastAsia="lv-LV"/>
              </w:rPr>
            </w:pPr>
            <w:r w:rsidRPr="00187944">
              <w:rPr>
                <w:sz w:val="24"/>
                <w:lang w:eastAsia="lv-LV"/>
              </w:rPr>
              <w:t>Izmaiņas, salīdzinot ar 2013.gadu</w:t>
            </w:r>
          </w:p>
        </w:tc>
        <w:tc>
          <w:tcPr>
            <w:tcW w:w="0" w:type="auto"/>
            <w:tcBorders>
              <w:top w:val="outset" w:sz="6" w:space="0" w:color="auto"/>
              <w:left w:val="outset" w:sz="6" w:space="0" w:color="auto"/>
              <w:bottom w:val="outset" w:sz="6" w:space="0" w:color="auto"/>
              <w:right w:val="outset" w:sz="6" w:space="0" w:color="auto"/>
            </w:tcBorders>
            <w:vAlign w:val="center"/>
          </w:tcPr>
          <w:p w:rsidR="00A202F6" w:rsidRPr="00187944" w:rsidRDefault="00A202F6" w:rsidP="00A202F6">
            <w:pPr>
              <w:jc w:val="center"/>
              <w:rPr>
                <w:sz w:val="24"/>
                <w:lang w:eastAsia="lv-LV"/>
              </w:rPr>
            </w:pPr>
            <w:r w:rsidRPr="00187944">
              <w:rPr>
                <w:sz w:val="24"/>
                <w:lang w:eastAsia="lv-LV"/>
              </w:rPr>
              <w:t>Izmaiņas, salīdzinot ar 2013.gadu</w:t>
            </w:r>
          </w:p>
        </w:tc>
        <w:tc>
          <w:tcPr>
            <w:tcW w:w="0" w:type="auto"/>
            <w:tcBorders>
              <w:top w:val="outset" w:sz="6" w:space="0" w:color="auto"/>
              <w:left w:val="outset" w:sz="6" w:space="0" w:color="auto"/>
              <w:bottom w:val="outset" w:sz="6" w:space="0" w:color="auto"/>
              <w:right w:val="outset" w:sz="6" w:space="0" w:color="auto"/>
            </w:tcBorders>
            <w:vAlign w:val="center"/>
          </w:tcPr>
          <w:p w:rsidR="00A202F6" w:rsidRPr="00187944" w:rsidRDefault="00A202F6" w:rsidP="00A202F6">
            <w:pPr>
              <w:jc w:val="center"/>
              <w:rPr>
                <w:sz w:val="24"/>
                <w:lang w:eastAsia="lv-LV"/>
              </w:rPr>
            </w:pPr>
            <w:r w:rsidRPr="00187944">
              <w:rPr>
                <w:sz w:val="24"/>
                <w:lang w:eastAsia="lv-LV"/>
              </w:rPr>
              <w:t>Izmaiņas, salīdzinot ar 2013.gadu</w:t>
            </w:r>
          </w:p>
        </w:tc>
      </w:tr>
      <w:tr w:rsidR="00A202F6" w:rsidRPr="00187944" w:rsidTr="007754C1">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rPr>
                <w:sz w:val="24"/>
                <w:lang w:eastAsia="lv-LV"/>
              </w:rPr>
            </w:pPr>
            <w:r w:rsidRPr="00187944">
              <w:rPr>
                <w:sz w:val="24"/>
                <w:lang w:eastAsia="lv-LV"/>
              </w:rPr>
              <w:t>1. Budžeta ieņēmumi:</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rPr>
                <w:sz w:val="24"/>
                <w:lang w:eastAsia="lv-LV"/>
              </w:rPr>
            </w:pP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rPr>
                <w:sz w:val="24"/>
                <w:lang w:eastAsia="lv-LV"/>
              </w:rPr>
            </w:pP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rPr>
                <w:sz w:val="24"/>
                <w:lang w:eastAsia="lv-LV"/>
              </w:rPr>
            </w:pP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rPr>
                <w:sz w:val="24"/>
                <w:lang w:eastAsia="lv-LV"/>
              </w:rPr>
            </w:pP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rPr>
                <w:sz w:val="24"/>
                <w:lang w:eastAsia="lv-LV"/>
              </w:rPr>
            </w:pPr>
          </w:p>
        </w:tc>
      </w:tr>
      <w:tr w:rsidR="00A202F6" w:rsidRPr="00187944" w:rsidTr="007754C1">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rPr>
                <w:sz w:val="24"/>
                <w:lang w:eastAsia="lv-LV"/>
              </w:rPr>
            </w:pPr>
            <w:r w:rsidRPr="00187944">
              <w:rPr>
                <w:sz w:val="24"/>
                <w:lang w:eastAsia="lv-LV"/>
              </w:rPr>
              <w:t>1.1. valsts pamatbudžets, tai skaitā ieņēmumi no maksas pakalpojumiem un citi pašu ieņēmumi</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A202F6" w:rsidRPr="009A5B96" w:rsidRDefault="00A202F6" w:rsidP="007754C1">
            <w:pPr>
              <w:jc w:val="center"/>
              <w:rPr>
                <w:sz w:val="24"/>
              </w:rPr>
            </w:pPr>
            <w:r w:rsidRPr="009A5B96">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A202F6" w:rsidRPr="009A5B96" w:rsidRDefault="00A202F6" w:rsidP="007754C1">
            <w:pPr>
              <w:jc w:val="center"/>
              <w:rPr>
                <w:sz w:val="24"/>
              </w:rPr>
            </w:pPr>
            <w:r w:rsidRPr="009A5B96">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A202F6" w:rsidRPr="009A5B96" w:rsidRDefault="00B4182A" w:rsidP="007754C1">
            <w:pPr>
              <w:jc w:val="center"/>
              <w:rPr>
                <w:sz w:val="24"/>
              </w:rPr>
            </w:pPr>
            <w:r w:rsidRPr="009A5B96">
              <w:rPr>
                <w:sz w:val="24"/>
              </w:rPr>
              <w:t>Nav precīzi aprēķināms</w:t>
            </w:r>
          </w:p>
        </w:tc>
        <w:tc>
          <w:tcPr>
            <w:tcW w:w="0" w:type="auto"/>
            <w:tcBorders>
              <w:top w:val="outset" w:sz="6" w:space="0" w:color="auto"/>
              <w:left w:val="outset" w:sz="6" w:space="0" w:color="auto"/>
              <w:bottom w:val="outset" w:sz="6" w:space="0" w:color="auto"/>
              <w:right w:val="outset" w:sz="6" w:space="0" w:color="auto"/>
            </w:tcBorders>
          </w:tcPr>
          <w:p w:rsidR="00A202F6" w:rsidRPr="009A5B96" w:rsidRDefault="00DB018E" w:rsidP="007754C1">
            <w:pPr>
              <w:jc w:val="center"/>
              <w:rPr>
                <w:sz w:val="24"/>
              </w:rPr>
            </w:pPr>
            <w:r w:rsidRPr="009A5B96">
              <w:rPr>
                <w:sz w:val="24"/>
              </w:rPr>
              <w:t>Nav precīzi aprēķināms</w:t>
            </w:r>
          </w:p>
        </w:tc>
      </w:tr>
      <w:tr w:rsidR="00A202F6" w:rsidRPr="00187944" w:rsidTr="007754C1">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rPr>
                <w:sz w:val="24"/>
                <w:lang w:eastAsia="lv-LV"/>
              </w:rPr>
            </w:pPr>
            <w:r w:rsidRPr="00187944">
              <w:rPr>
                <w:sz w:val="24"/>
                <w:lang w:eastAsia="lv-LV"/>
              </w:rPr>
              <w:t>1.2. valsts speciālais budžets</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r>
      <w:tr w:rsidR="00A202F6" w:rsidRPr="00187944" w:rsidTr="007754C1">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rPr>
                <w:sz w:val="24"/>
                <w:lang w:eastAsia="lv-LV"/>
              </w:rPr>
            </w:pPr>
            <w:r w:rsidRPr="00187944">
              <w:rPr>
                <w:sz w:val="24"/>
                <w:lang w:eastAsia="lv-LV"/>
              </w:rPr>
              <w:t>1.3. pašvaldību budžets</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r>
      <w:tr w:rsidR="00A202F6" w:rsidRPr="00187944" w:rsidTr="007754C1">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rPr>
                <w:sz w:val="24"/>
                <w:lang w:eastAsia="lv-LV"/>
              </w:rPr>
            </w:pPr>
            <w:r w:rsidRPr="00187944">
              <w:rPr>
                <w:sz w:val="24"/>
                <w:lang w:eastAsia="lv-LV"/>
              </w:rPr>
              <w:t>2. Budžeta izdevumi:</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lang w:eastAsia="lv-LV"/>
              </w:rPr>
            </w:pP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lang w:eastAsia="lv-LV"/>
              </w:rPr>
            </w:pP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lang w:eastAsia="lv-LV"/>
              </w:rPr>
            </w:pP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lang w:eastAsia="lv-LV"/>
              </w:rPr>
            </w:pP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lang w:eastAsia="lv-LV"/>
              </w:rPr>
            </w:pPr>
          </w:p>
        </w:tc>
      </w:tr>
      <w:tr w:rsidR="00A202F6" w:rsidRPr="00187944" w:rsidTr="007754C1">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rPr>
                <w:sz w:val="24"/>
                <w:lang w:eastAsia="lv-LV"/>
              </w:rPr>
            </w:pPr>
            <w:r w:rsidRPr="00187944">
              <w:rPr>
                <w:sz w:val="24"/>
                <w:lang w:eastAsia="lv-LV"/>
              </w:rPr>
              <w:t>2.1. valsts pamatbudžets</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r>
      <w:tr w:rsidR="00A202F6" w:rsidRPr="00187944" w:rsidTr="007754C1">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rPr>
                <w:sz w:val="24"/>
                <w:lang w:eastAsia="lv-LV"/>
              </w:rPr>
            </w:pPr>
            <w:r w:rsidRPr="00187944">
              <w:rPr>
                <w:sz w:val="24"/>
                <w:lang w:eastAsia="lv-LV"/>
              </w:rPr>
              <w:t>2.2. valsts speciālais budžets</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r>
      <w:tr w:rsidR="00A202F6" w:rsidRPr="00187944" w:rsidTr="007754C1">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rPr>
                <w:sz w:val="24"/>
                <w:lang w:eastAsia="lv-LV"/>
              </w:rPr>
            </w:pPr>
            <w:r w:rsidRPr="00187944">
              <w:rPr>
                <w:sz w:val="24"/>
                <w:lang w:eastAsia="lv-LV"/>
              </w:rPr>
              <w:t>2.3. pašvaldību budžets</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r>
      <w:tr w:rsidR="00A202F6" w:rsidRPr="00187944" w:rsidTr="007754C1">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rPr>
                <w:sz w:val="24"/>
                <w:lang w:eastAsia="lv-LV"/>
              </w:rPr>
            </w:pPr>
            <w:r w:rsidRPr="00187944">
              <w:rPr>
                <w:sz w:val="24"/>
                <w:lang w:eastAsia="lv-LV"/>
              </w:rPr>
              <w:t>3. Finansiālā ietekme:</w:t>
            </w:r>
          </w:p>
        </w:tc>
        <w:tc>
          <w:tcPr>
            <w:tcW w:w="0" w:type="auto"/>
            <w:tcBorders>
              <w:top w:val="outset" w:sz="6" w:space="0" w:color="auto"/>
              <w:left w:val="outset" w:sz="6" w:space="0" w:color="auto"/>
              <w:bottom w:val="outset" w:sz="6" w:space="0" w:color="auto"/>
              <w:right w:val="outset" w:sz="6" w:space="0" w:color="auto"/>
            </w:tcBorders>
            <w:vAlign w:val="center"/>
          </w:tcPr>
          <w:p w:rsidR="00A202F6" w:rsidRPr="00187944" w:rsidRDefault="00A202F6" w:rsidP="007754C1">
            <w:pPr>
              <w:jc w:val="center"/>
              <w:rPr>
                <w:sz w:val="24"/>
                <w:lang w:eastAsia="lv-LV"/>
              </w:rPr>
            </w:pP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lang w:eastAsia="lv-LV"/>
              </w:rPr>
            </w:pP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lang w:eastAsia="lv-LV"/>
              </w:rPr>
            </w:pP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lang w:eastAsia="lv-LV"/>
              </w:rPr>
            </w:pP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lang w:eastAsia="lv-LV"/>
              </w:rPr>
            </w:pPr>
          </w:p>
        </w:tc>
      </w:tr>
      <w:tr w:rsidR="00A202F6" w:rsidRPr="00187944" w:rsidTr="007754C1">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rPr>
                <w:sz w:val="24"/>
                <w:lang w:eastAsia="lv-LV"/>
              </w:rPr>
            </w:pPr>
            <w:r w:rsidRPr="00187944">
              <w:rPr>
                <w:sz w:val="24"/>
                <w:lang w:eastAsia="lv-LV"/>
              </w:rPr>
              <w:t>3.1. valsts pamatbudžets</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A202F6" w:rsidRPr="009A5B96" w:rsidRDefault="00A202F6" w:rsidP="007754C1">
            <w:pPr>
              <w:jc w:val="center"/>
              <w:rPr>
                <w:sz w:val="24"/>
              </w:rPr>
            </w:pPr>
            <w:r w:rsidRPr="009A5B96">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A202F6" w:rsidRPr="009A5B96" w:rsidRDefault="00A202F6" w:rsidP="007754C1">
            <w:pPr>
              <w:jc w:val="center"/>
              <w:rPr>
                <w:sz w:val="24"/>
              </w:rPr>
            </w:pPr>
            <w:r w:rsidRPr="009A5B96">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A202F6" w:rsidRPr="009A5B96" w:rsidRDefault="00B4182A" w:rsidP="007754C1">
            <w:pPr>
              <w:jc w:val="center"/>
              <w:rPr>
                <w:sz w:val="24"/>
              </w:rPr>
            </w:pPr>
            <w:r w:rsidRPr="009A5B96">
              <w:rPr>
                <w:sz w:val="24"/>
              </w:rPr>
              <w:t>Nav precīzi aprēķināms</w:t>
            </w:r>
          </w:p>
        </w:tc>
        <w:tc>
          <w:tcPr>
            <w:tcW w:w="0" w:type="auto"/>
            <w:tcBorders>
              <w:top w:val="outset" w:sz="6" w:space="0" w:color="auto"/>
              <w:left w:val="outset" w:sz="6" w:space="0" w:color="auto"/>
              <w:bottom w:val="outset" w:sz="6" w:space="0" w:color="auto"/>
              <w:right w:val="outset" w:sz="6" w:space="0" w:color="auto"/>
            </w:tcBorders>
          </w:tcPr>
          <w:p w:rsidR="00A202F6" w:rsidRPr="009A5B96" w:rsidRDefault="00DB018E" w:rsidP="007754C1">
            <w:pPr>
              <w:jc w:val="center"/>
              <w:rPr>
                <w:sz w:val="24"/>
              </w:rPr>
            </w:pPr>
            <w:r w:rsidRPr="009A5B96">
              <w:rPr>
                <w:sz w:val="24"/>
              </w:rPr>
              <w:t>Nav precīzi aprēķināms</w:t>
            </w:r>
          </w:p>
        </w:tc>
      </w:tr>
      <w:tr w:rsidR="00A202F6" w:rsidRPr="00187944" w:rsidTr="007754C1">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rPr>
                <w:sz w:val="24"/>
                <w:lang w:eastAsia="lv-LV"/>
              </w:rPr>
            </w:pPr>
            <w:r w:rsidRPr="00187944">
              <w:rPr>
                <w:sz w:val="24"/>
                <w:lang w:eastAsia="lv-LV"/>
              </w:rPr>
              <w:t>3.2. speciālais budžets</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r>
      <w:tr w:rsidR="00A202F6" w:rsidRPr="00187944" w:rsidTr="007754C1">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rPr>
                <w:sz w:val="24"/>
                <w:lang w:eastAsia="lv-LV"/>
              </w:rPr>
            </w:pPr>
            <w:r w:rsidRPr="00187944">
              <w:rPr>
                <w:sz w:val="24"/>
                <w:lang w:eastAsia="lv-LV"/>
              </w:rPr>
              <w:t>3.3. pašvaldību budžets</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r>
      <w:tr w:rsidR="00A202F6" w:rsidRPr="00187944" w:rsidTr="007754C1">
        <w:trPr>
          <w:trHeight w:val="807"/>
        </w:trPr>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rPr>
                <w:sz w:val="24"/>
                <w:lang w:eastAsia="lv-LV"/>
              </w:rPr>
            </w:pPr>
            <w:r w:rsidRPr="00187944">
              <w:rPr>
                <w:sz w:val="24"/>
                <w:lang w:eastAsia="lv-LV"/>
              </w:rPr>
              <w:t>4. Finanšu līdzekļi papildu izde</w:t>
            </w:r>
            <w:r w:rsidRPr="00187944">
              <w:rPr>
                <w:sz w:val="24"/>
                <w:lang w:eastAsia="lv-LV"/>
              </w:rPr>
              <w:softHyphen/>
              <w:t xml:space="preserve">vumu finansēšanai </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lang w:eastAsia="lv-LV"/>
              </w:rPr>
            </w:pPr>
            <w:r w:rsidRPr="00187944">
              <w:rPr>
                <w:sz w:val="24"/>
                <w:lang w:eastAsia="lv-LV"/>
              </w:rPr>
              <w:t>X</w:t>
            </w:r>
          </w:p>
        </w:tc>
        <w:tc>
          <w:tcPr>
            <w:tcW w:w="0" w:type="auto"/>
            <w:tcBorders>
              <w:top w:val="outset" w:sz="6" w:space="0" w:color="auto"/>
              <w:left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c>
          <w:tcPr>
            <w:tcW w:w="0" w:type="auto"/>
            <w:tcBorders>
              <w:top w:val="outset" w:sz="6" w:space="0" w:color="auto"/>
              <w:left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c>
          <w:tcPr>
            <w:tcW w:w="0" w:type="auto"/>
            <w:tcBorders>
              <w:top w:val="outset" w:sz="6" w:space="0" w:color="auto"/>
              <w:left w:val="outset" w:sz="6" w:space="0" w:color="auto"/>
              <w:right w:val="outset" w:sz="6" w:space="0" w:color="auto"/>
            </w:tcBorders>
          </w:tcPr>
          <w:p w:rsidR="00A202F6" w:rsidRPr="00187944" w:rsidRDefault="00A202F6" w:rsidP="007754C1">
            <w:pPr>
              <w:jc w:val="center"/>
              <w:rPr>
                <w:sz w:val="24"/>
              </w:rPr>
            </w:pPr>
            <w:r w:rsidRPr="00187944">
              <w:rPr>
                <w:sz w:val="24"/>
              </w:rPr>
              <w:t>Projekts šo jomu neskar</w:t>
            </w:r>
          </w:p>
        </w:tc>
        <w:tc>
          <w:tcPr>
            <w:tcW w:w="0" w:type="auto"/>
            <w:tcBorders>
              <w:top w:val="outset" w:sz="6" w:space="0" w:color="auto"/>
              <w:left w:val="outset" w:sz="6" w:space="0" w:color="auto"/>
              <w:bottom w:val="nil"/>
              <w:right w:val="outset" w:sz="6" w:space="0" w:color="auto"/>
            </w:tcBorders>
          </w:tcPr>
          <w:p w:rsidR="00A202F6" w:rsidRPr="00187944" w:rsidRDefault="00A202F6" w:rsidP="007754C1">
            <w:pPr>
              <w:jc w:val="center"/>
              <w:rPr>
                <w:sz w:val="24"/>
              </w:rPr>
            </w:pPr>
            <w:r w:rsidRPr="00187944">
              <w:rPr>
                <w:sz w:val="24"/>
              </w:rPr>
              <w:t>Projekts šo jomu neskar</w:t>
            </w:r>
          </w:p>
        </w:tc>
      </w:tr>
      <w:tr w:rsidR="00A202F6" w:rsidRPr="00187944" w:rsidTr="007754C1">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rPr>
                <w:sz w:val="24"/>
                <w:lang w:eastAsia="lv-LV"/>
              </w:rPr>
            </w:pPr>
            <w:r w:rsidRPr="00187944">
              <w:rPr>
                <w:sz w:val="24"/>
                <w:lang w:eastAsia="lv-LV"/>
              </w:rPr>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lang w:eastAsia="lv-LV"/>
              </w:rPr>
            </w:pPr>
            <w:r w:rsidRPr="00187944">
              <w:rPr>
                <w:sz w:val="24"/>
                <w:lang w:eastAsia="lv-LV"/>
              </w:rPr>
              <w:t>X</w:t>
            </w: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lang w:eastAsia="lv-LV"/>
              </w:rPr>
            </w:pP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lang w:eastAsia="lv-LV"/>
              </w:rPr>
            </w:pP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lang w:eastAsia="lv-LV"/>
              </w:rPr>
            </w:pPr>
          </w:p>
        </w:tc>
        <w:tc>
          <w:tcPr>
            <w:tcW w:w="0" w:type="auto"/>
            <w:tcBorders>
              <w:top w:val="outset" w:sz="6" w:space="0" w:color="auto"/>
              <w:left w:val="outset" w:sz="6" w:space="0" w:color="auto"/>
              <w:bottom w:val="outset" w:sz="6" w:space="0" w:color="auto"/>
              <w:right w:val="outset" w:sz="6" w:space="0" w:color="auto"/>
            </w:tcBorders>
          </w:tcPr>
          <w:p w:rsidR="00A202F6" w:rsidRPr="00187944" w:rsidRDefault="00A202F6" w:rsidP="007754C1">
            <w:pPr>
              <w:jc w:val="center"/>
              <w:rPr>
                <w:sz w:val="24"/>
                <w:lang w:eastAsia="lv-LV"/>
              </w:rPr>
            </w:pPr>
          </w:p>
        </w:tc>
      </w:tr>
      <w:tr w:rsidR="00D55F29" w:rsidRPr="00187944" w:rsidTr="007754C1">
        <w:tc>
          <w:tcPr>
            <w:tcW w:w="0" w:type="auto"/>
            <w:tcBorders>
              <w:top w:val="outset" w:sz="6" w:space="0" w:color="auto"/>
              <w:left w:val="outset" w:sz="6" w:space="0" w:color="auto"/>
              <w:bottom w:val="outset" w:sz="6" w:space="0" w:color="auto"/>
              <w:right w:val="outset" w:sz="6" w:space="0" w:color="auto"/>
            </w:tcBorders>
          </w:tcPr>
          <w:p w:rsidR="00D55F29" w:rsidRPr="00187944" w:rsidRDefault="00D55F29" w:rsidP="007754C1">
            <w:pPr>
              <w:rPr>
                <w:sz w:val="24"/>
                <w:lang w:eastAsia="lv-LV"/>
              </w:rPr>
            </w:pPr>
            <w:r w:rsidRPr="00187944">
              <w:rPr>
                <w:sz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D55F29" w:rsidRPr="00187944" w:rsidRDefault="00D55F29" w:rsidP="007754C1">
            <w:pPr>
              <w:jc w:val="center"/>
              <w:rPr>
                <w:sz w:val="24"/>
                <w:lang w:eastAsia="lv-LV"/>
              </w:rPr>
            </w:pPr>
          </w:p>
        </w:tc>
        <w:tc>
          <w:tcPr>
            <w:tcW w:w="0" w:type="auto"/>
            <w:tcBorders>
              <w:top w:val="outset" w:sz="6" w:space="0" w:color="auto"/>
              <w:left w:val="outset" w:sz="6" w:space="0" w:color="auto"/>
              <w:bottom w:val="outset" w:sz="6" w:space="0" w:color="auto"/>
              <w:right w:val="outset" w:sz="6" w:space="0" w:color="auto"/>
            </w:tcBorders>
          </w:tcPr>
          <w:p w:rsidR="00D55F29" w:rsidRPr="009A5B96" w:rsidRDefault="00D55F29" w:rsidP="007754C1">
            <w:pPr>
              <w:jc w:val="center"/>
              <w:rPr>
                <w:sz w:val="24"/>
              </w:rPr>
            </w:pPr>
            <w:r w:rsidRPr="009A5B96">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D55F29" w:rsidRPr="009A5B96" w:rsidRDefault="00D55F29" w:rsidP="007754C1">
            <w:pPr>
              <w:jc w:val="center"/>
              <w:rPr>
                <w:sz w:val="24"/>
              </w:rPr>
            </w:pPr>
            <w:r w:rsidRPr="009A5B96">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D55F29" w:rsidRPr="009A5B96" w:rsidRDefault="00D55F29" w:rsidP="001D2624">
            <w:pPr>
              <w:jc w:val="center"/>
              <w:rPr>
                <w:sz w:val="24"/>
              </w:rPr>
            </w:pPr>
            <w:r w:rsidRPr="009A5B96">
              <w:rPr>
                <w:sz w:val="24"/>
              </w:rPr>
              <w:t>Nav precīzi aprēķināms</w:t>
            </w:r>
          </w:p>
        </w:tc>
        <w:tc>
          <w:tcPr>
            <w:tcW w:w="0" w:type="auto"/>
            <w:tcBorders>
              <w:top w:val="outset" w:sz="6" w:space="0" w:color="auto"/>
              <w:left w:val="outset" w:sz="6" w:space="0" w:color="auto"/>
              <w:bottom w:val="outset" w:sz="6" w:space="0" w:color="auto"/>
              <w:right w:val="outset" w:sz="6" w:space="0" w:color="auto"/>
            </w:tcBorders>
          </w:tcPr>
          <w:p w:rsidR="00D55F29" w:rsidRPr="009A5B96" w:rsidRDefault="00D55F29" w:rsidP="001D2624">
            <w:pPr>
              <w:jc w:val="center"/>
              <w:rPr>
                <w:sz w:val="24"/>
              </w:rPr>
            </w:pPr>
            <w:r w:rsidRPr="009A5B96">
              <w:rPr>
                <w:sz w:val="24"/>
              </w:rPr>
              <w:t>Nav precīzi aprēķināms</w:t>
            </w:r>
          </w:p>
        </w:tc>
      </w:tr>
      <w:tr w:rsidR="00D55F29" w:rsidRPr="00187944" w:rsidTr="007754C1">
        <w:tc>
          <w:tcPr>
            <w:tcW w:w="0" w:type="auto"/>
            <w:tcBorders>
              <w:top w:val="outset" w:sz="6" w:space="0" w:color="auto"/>
              <w:left w:val="outset" w:sz="6" w:space="0" w:color="auto"/>
              <w:bottom w:val="outset" w:sz="6" w:space="0" w:color="auto"/>
              <w:right w:val="outset" w:sz="6" w:space="0" w:color="auto"/>
            </w:tcBorders>
          </w:tcPr>
          <w:p w:rsidR="00D55F29" w:rsidRPr="00187944" w:rsidRDefault="00D55F29" w:rsidP="007754C1">
            <w:pPr>
              <w:rPr>
                <w:sz w:val="24"/>
                <w:lang w:eastAsia="lv-LV"/>
              </w:rPr>
            </w:pPr>
            <w:r w:rsidRPr="00187944">
              <w:rPr>
                <w:sz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D55F29" w:rsidRPr="00187944" w:rsidRDefault="00D55F29" w:rsidP="007754C1">
            <w:pPr>
              <w:jc w:val="center"/>
              <w:rPr>
                <w:sz w:val="24"/>
                <w:lang w:eastAsia="lv-LV"/>
              </w:rPr>
            </w:pPr>
          </w:p>
        </w:tc>
        <w:tc>
          <w:tcPr>
            <w:tcW w:w="0" w:type="auto"/>
            <w:tcBorders>
              <w:top w:val="outset" w:sz="6" w:space="0" w:color="auto"/>
              <w:left w:val="outset" w:sz="6" w:space="0" w:color="auto"/>
              <w:bottom w:val="outset" w:sz="6" w:space="0" w:color="auto"/>
              <w:right w:val="outset" w:sz="6" w:space="0" w:color="auto"/>
            </w:tcBorders>
          </w:tcPr>
          <w:p w:rsidR="00D55F29" w:rsidRPr="00187944" w:rsidRDefault="00D55F29"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D55F29" w:rsidRPr="00187944" w:rsidRDefault="00D55F29"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D55F29" w:rsidRPr="00187944" w:rsidRDefault="00D55F29"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D55F29" w:rsidRPr="00187944" w:rsidRDefault="00D55F29" w:rsidP="007754C1">
            <w:pPr>
              <w:jc w:val="center"/>
              <w:rPr>
                <w:sz w:val="24"/>
              </w:rPr>
            </w:pPr>
            <w:r w:rsidRPr="00187944">
              <w:rPr>
                <w:sz w:val="24"/>
              </w:rPr>
              <w:t>Projekts šo jomu neskar</w:t>
            </w:r>
          </w:p>
        </w:tc>
      </w:tr>
      <w:tr w:rsidR="00D55F29" w:rsidRPr="00187944" w:rsidTr="007754C1">
        <w:tc>
          <w:tcPr>
            <w:tcW w:w="0" w:type="auto"/>
            <w:tcBorders>
              <w:top w:val="outset" w:sz="6" w:space="0" w:color="auto"/>
              <w:left w:val="outset" w:sz="6" w:space="0" w:color="auto"/>
              <w:bottom w:val="outset" w:sz="6" w:space="0" w:color="auto"/>
              <w:right w:val="outset" w:sz="6" w:space="0" w:color="auto"/>
            </w:tcBorders>
          </w:tcPr>
          <w:p w:rsidR="00D55F29" w:rsidRPr="00187944" w:rsidRDefault="00D55F29" w:rsidP="007754C1">
            <w:pPr>
              <w:rPr>
                <w:sz w:val="24"/>
                <w:lang w:eastAsia="lv-LV"/>
              </w:rPr>
            </w:pPr>
            <w:r w:rsidRPr="00187944">
              <w:rPr>
                <w:sz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D55F29" w:rsidRPr="00187944" w:rsidRDefault="00D55F29" w:rsidP="007754C1">
            <w:pPr>
              <w:jc w:val="center"/>
              <w:rPr>
                <w:sz w:val="24"/>
                <w:lang w:eastAsia="lv-LV"/>
              </w:rPr>
            </w:pPr>
          </w:p>
        </w:tc>
        <w:tc>
          <w:tcPr>
            <w:tcW w:w="0" w:type="auto"/>
            <w:tcBorders>
              <w:top w:val="outset" w:sz="6" w:space="0" w:color="auto"/>
              <w:left w:val="outset" w:sz="6" w:space="0" w:color="auto"/>
              <w:bottom w:val="outset" w:sz="6" w:space="0" w:color="auto"/>
              <w:right w:val="outset" w:sz="6" w:space="0" w:color="auto"/>
            </w:tcBorders>
          </w:tcPr>
          <w:p w:rsidR="00D55F29" w:rsidRPr="00187944" w:rsidRDefault="00D55F29"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D55F29" w:rsidRPr="00187944" w:rsidRDefault="00D55F29"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D55F29" w:rsidRPr="00187944" w:rsidRDefault="00D55F29" w:rsidP="007754C1">
            <w:pPr>
              <w:jc w:val="center"/>
              <w:rPr>
                <w:sz w:val="24"/>
              </w:rPr>
            </w:pPr>
            <w:r w:rsidRPr="00187944">
              <w:rPr>
                <w:sz w:val="24"/>
              </w:rPr>
              <w:t>Projekts šo jomu neskar</w:t>
            </w:r>
          </w:p>
        </w:tc>
        <w:tc>
          <w:tcPr>
            <w:tcW w:w="0" w:type="auto"/>
            <w:tcBorders>
              <w:top w:val="outset" w:sz="6" w:space="0" w:color="auto"/>
              <w:left w:val="outset" w:sz="6" w:space="0" w:color="auto"/>
              <w:bottom w:val="outset" w:sz="6" w:space="0" w:color="auto"/>
              <w:right w:val="outset" w:sz="6" w:space="0" w:color="auto"/>
            </w:tcBorders>
          </w:tcPr>
          <w:p w:rsidR="00D55F29" w:rsidRPr="00187944" w:rsidRDefault="00D55F29" w:rsidP="007754C1">
            <w:pPr>
              <w:jc w:val="center"/>
              <w:rPr>
                <w:sz w:val="24"/>
              </w:rPr>
            </w:pPr>
            <w:r w:rsidRPr="00187944">
              <w:rPr>
                <w:sz w:val="24"/>
              </w:rPr>
              <w:t>Projekts šo jomu neskar</w:t>
            </w:r>
          </w:p>
        </w:tc>
      </w:tr>
      <w:tr w:rsidR="00D55F29" w:rsidRPr="00187944" w:rsidTr="007754C1">
        <w:tc>
          <w:tcPr>
            <w:tcW w:w="0" w:type="auto"/>
            <w:tcBorders>
              <w:top w:val="outset" w:sz="6" w:space="0" w:color="auto"/>
              <w:left w:val="outset" w:sz="6" w:space="0" w:color="auto"/>
              <w:bottom w:val="outset" w:sz="6" w:space="0" w:color="auto"/>
              <w:right w:val="outset" w:sz="6" w:space="0" w:color="auto"/>
            </w:tcBorders>
          </w:tcPr>
          <w:p w:rsidR="00D55F29" w:rsidRPr="00187944" w:rsidRDefault="00D55F29" w:rsidP="00DB018E">
            <w:pPr>
              <w:jc w:val="both"/>
              <w:rPr>
                <w:sz w:val="24"/>
                <w:lang w:eastAsia="lv-LV"/>
              </w:rPr>
            </w:pPr>
            <w:r w:rsidRPr="00187944">
              <w:rPr>
                <w:sz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outset" w:sz="6" w:space="0" w:color="auto"/>
              <w:left w:val="outset" w:sz="6" w:space="0" w:color="auto"/>
              <w:bottom w:val="outset" w:sz="6" w:space="0" w:color="auto"/>
              <w:right w:val="outset" w:sz="6" w:space="0" w:color="auto"/>
            </w:tcBorders>
            <w:vAlign w:val="center"/>
          </w:tcPr>
          <w:p w:rsidR="00D55F29" w:rsidRPr="00187944" w:rsidRDefault="007D4934" w:rsidP="007754C1">
            <w:pPr>
              <w:rPr>
                <w:b/>
                <w:sz w:val="24"/>
                <w:lang w:eastAsia="lv-LV"/>
              </w:rPr>
            </w:pPr>
            <w:r w:rsidRPr="009A5B96">
              <w:rPr>
                <w:sz w:val="24"/>
              </w:rPr>
              <w:t>Nav precīzi aprēķināms</w:t>
            </w:r>
          </w:p>
        </w:tc>
      </w:tr>
      <w:tr w:rsidR="00D55F29" w:rsidRPr="00187944" w:rsidTr="007754C1">
        <w:tc>
          <w:tcPr>
            <w:tcW w:w="0" w:type="auto"/>
            <w:tcBorders>
              <w:top w:val="outset" w:sz="6" w:space="0" w:color="auto"/>
              <w:left w:val="outset" w:sz="6" w:space="0" w:color="auto"/>
              <w:bottom w:val="outset" w:sz="6" w:space="0" w:color="auto"/>
              <w:right w:val="outset" w:sz="6" w:space="0" w:color="auto"/>
            </w:tcBorders>
          </w:tcPr>
          <w:p w:rsidR="00D55F29" w:rsidRPr="00187944" w:rsidRDefault="00D55F29" w:rsidP="007754C1">
            <w:pPr>
              <w:jc w:val="both"/>
              <w:rPr>
                <w:sz w:val="24"/>
                <w:lang w:eastAsia="lv-LV"/>
              </w:rPr>
            </w:pPr>
            <w:r w:rsidRPr="00187944">
              <w:rPr>
                <w:sz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tcPr>
          <w:p w:rsidR="00D55F29" w:rsidRPr="00187944" w:rsidRDefault="00D55F29" w:rsidP="007754C1">
            <w:pPr>
              <w:rPr>
                <w:sz w:val="24"/>
                <w:lang w:eastAsia="lv-LV"/>
              </w:rPr>
            </w:pPr>
          </w:p>
        </w:tc>
      </w:tr>
      <w:tr w:rsidR="00D55F29" w:rsidRPr="00187944" w:rsidTr="007754C1">
        <w:tc>
          <w:tcPr>
            <w:tcW w:w="0" w:type="auto"/>
            <w:tcBorders>
              <w:top w:val="outset" w:sz="6" w:space="0" w:color="auto"/>
              <w:left w:val="outset" w:sz="6" w:space="0" w:color="auto"/>
              <w:bottom w:val="outset" w:sz="6" w:space="0" w:color="auto"/>
              <w:right w:val="outset" w:sz="6" w:space="0" w:color="auto"/>
            </w:tcBorders>
          </w:tcPr>
          <w:p w:rsidR="00D55F29" w:rsidRPr="00187944" w:rsidRDefault="00D55F29" w:rsidP="007754C1">
            <w:pPr>
              <w:jc w:val="both"/>
              <w:rPr>
                <w:sz w:val="24"/>
                <w:lang w:eastAsia="lv-LV"/>
              </w:rPr>
            </w:pPr>
            <w:r w:rsidRPr="00187944">
              <w:rPr>
                <w:sz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tcPr>
          <w:p w:rsidR="00D55F29" w:rsidRPr="00187944" w:rsidRDefault="00D55F29" w:rsidP="007754C1">
            <w:pPr>
              <w:rPr>
                <w:sz w:val="24"/>
                <w:lang w:eastAsia="lv-LV"/>
              </w:rPr>
            </w:pPr>
          </w:p>
        </w:tc>
      </w:tr>
      <w:tr w:rsidR="00D55F29" w:rsidRPr="00187944" w:rsidTr="007754C1">
        <w:tc>
          <w:tcPr>
            <w:tcW w:w="0" w:type="auto"/>
            <w:tcBorders>
              <w:top w:val="outset" w:sz="6" w:space="0" w:color="auto"/>
              <w:left w:val="outset" w:sz="6" w:space="0" w:color="auto"/>
              <w:bottom w:val="outset" w:sz="6" w:space="0" w:color="auto"/>
              <w:right w:val="outset" w:sz="6" w:space="0" w:color="auto"/>
            </w:tcBorders>
          </w:tcPr>
          <w:p w:rsidR="00D55F29" w:rsidRPr="00187944" w:rsidRDefault="00D55F29" w:rsidP="007754C1">
            <w:pPr>
              <w:rPr>
                <w:sz w:val="24"/>
                <w:lang w:eastAsia="lv-LV"/>
              </w:rPr>
            </w:pPr>
            <w:r w:rsidRPr="00187944">
              <w:rPr>
                <w:sz w:val="24"/>
                <w:lang w:eastAsia="lv-LV"/>
              </w:rPr>
              <w:t>7. Cita informācija</w:t>
            </w:r>
          </w:p>
        </w:tc>
        <w:tc>
          <w:tcPr>
            <w:tcW w:w="0" w:type="auto"/>
            <w:gridSpan w:val="5"/>
            <w:tcBorders>
              <w:top w:val="outset" w:sz="6" w:space="0" w:color="auto"/>
              <w:left w:val="outset" w:sz="6" w:space="0" w:color="auto"/>
              <w:bottom w:val="outset" w:sz="6" w:space="0" w:color="auto"/>
              <w:right w:val="outset" w:sz="6" w:space="0" w:color="auto"/>
            </w:tcBorders>
          </w:tcPr>
          <w:p w:rsidR="00D55F29" w:rsidRPr="004E569D" w:rsidRDefault="00F71AD5" w:rsidP="007D4934">
            <w:pPr>
              <w:pStyle w:val="tvhtmlmktable"/>
              <w:spacing w:before="0" w:beforeAutospacing="0" w:after="120" w:afterAutospacing="0"/>
              <w:jc w:val="both"/>
              <w:rPr>
                <w:rFonts w:ascii="Times New Roman" w:hAnsi="Times New Roman"/>
                <w:color w:val="000000"/>
                <w:sz w:val="24"/>
                <w:szCs w:val="24"/>
              </w:rPr>
            </w:pPr>
            <w:r>
              <w:rPr>
                <w:rFonts w:ascii="Times New Roman" w:hAnsi="Times New Roman"/>
                <w:sz w:val="24"/>
                <w:szCs w:val="24"/>
              </w:rPr>
              <w:t>1</w:t>
            </w:r>
            <w:r w:rsidR="00D55F29" w:rsidRPr="004E569D">
              <w:rPr>
                <w:rFonts w:ascii="Times New Roman" w:hAnsi="Times New Roman"/>
                <w:sz w:val="24"/>
                <w:szCs w:val="24"/>
              </w:rPr>
              <w:t>) Direktīvas 2</w:t>
            </w:r>
            <w:r w:rsidR="003E164B">
              <w:rPr>
                <w:rFonts w:ascii="Times New Roman" w:hAnsi="Times New Roman"/>
                <w:sz w:val="24"/>
                <w:szCs w:val="24"/>
              </w:rPr>
              <w:t>011/70/Euratom 14.panta trešā</w:t>
            </w:r>
            <w:r w:rsidR="00D55F29" w:rsidRPr="004E569D">
              <w:rPr>
                <w:rFonts w:ascii="Times New Roman" w:hAnsi="Times New Roman"/>
                <w:sz w:val="24"/>
                <w:szCs w:val="24"/>
              </w:rPr>
              <w:t xml:space="preserve"> daļa paredz, ka dalībvalstīm </w:t>
            </w:r>
            <w:r w:rsidR="00D55F29" w:rsidRPr="004E569D">
              <w:rPr>
                <w:rFonts w:ascii="Times New Roman" w:hAnsi="Times New Roman"/>
                <w:color w:val="000000"/>
                <w:sz w:val="24"/>
                <w:szCs w:val="24"/>
              </w:rPr>
              <w:t xml:space="preserve">periodiski un vismaz reizi desmit gados jāsagatavo pašnovērtējumus par savu valsts sistēmu, kompetento iestādi, valsts programmu radioaktīvo atkritumu apsaimniekošanai un tās īstenošanu. Vienlaicīgi dalībvalstīm būs arī jānodrošina sistēmas starptautiskais novērtējums, pieaicinot starptautiskus ekspertus. Pašreiz nav iespējams novērtēt, cik lielas papildus izmaksas būs nepieciešamas minētajiem novērtējumiem, ievērojot, ka pašreiz no EK puses </w:t>
            </w:r>
            <w:r w:rsidR="004718AD">
              <w:rPr>
                <w:rFonts w:ascii="Times New Roman" w:hAnsi="Times New Roman"/>
                <w:color w:val="000000"/>
                <w:sz w:val="24"/>
                <w:szCs w:val="24"/>
              </w:rPr>
              <w:t xml:space="preserve">nav </w:t>
            </w:r>
            <w:r w:rsidR="00D55F29" w:rsidRPr="004E569D">
              <w:rPr>
                <w:rFonts w:ascii="Times New Roman" w:hAnsi="Times New Roman"/>
                <w:color w:val="000000"/>
                <w:sz w:val="24"/>
                <w:szCs w:val="24"/>
              </w:rPr>
              <w:t>sniegti norādījumi par novērtēšanas apjomu, kā arī to, ka plānotais pašnovērtējums varētu notikt 2017.gadā, bet starptautiskais novērtējums - 2018.gadā.</w:t>
            </w:r>
            <w:r w:rsidR="000B3611">
              <w:rPr>
                <w:rFonts w:ascii="Times New Roman" w:hAnsi="Times New Roman"/>
                <w:color w:val="000000"/>
                <w:sz w:val="24"/>
                <w:szCs w:val="24"/>
              </w:rPr>
              <w:t xml:space="preserve"> </w:t>
            </w:r>
            <w:r>
              <w:rPr>
                <w:rFonts w:ascii="Times New Roman" w:hAnsi="Times New Roman"/>
                <w:color w:val="000000"/>
                <w:sz w:val="24"/>
                <w:szCs w:val="24"/>
              </w:rPr>
              <w:t>Sistēmas pašnovērtējumu nodrošinās VVD RDC</w:t>
            </w:r>
            <w:r w:rsidRPr="00706CC4">
              <w:rPr>
                <w:rFonts w:ascii="Times New Roman" w:hAnsi="Times New Roman"/>
                <w:color w:val="000000"/>
                <w:sz w:val="24"/>
                <w:szCs w:val="24"/>
              </w:rPr>
              <w:t xml:space="preserve">, kā arī starptautiskā novērtējuma ekspertus pieaicinās VVD RDC. Indikatīvi starptautiskā novērtējuma ekspertu izmaksas varētu būt </w:t>
            </w:r>
            <w:r w:rsidR="000B3611" w:rsidRPr="00706CC4">
              <w:rPr>
                <w:rFonts w:ascii="Times New Roman" w:hAnsi="Times New Roman"/>
                <w:color w:val="000000"/>
                <w:sz w:val="24"/>
                <w:szCs w:val="24"/>
              </w:rPr>
              <w:t>20 000 Ls</w:t>
            </w:r>
            <w:r w:rsidRPr="00706CC4">
              <w:rPr>
                <w:rFonts w:ascii="Times New Roman" w:hAnsi="Times New Roman"/>
                <w:color w:val="000000"/>
                <w:sz w:val="24"/>
                <w:szCs w:val="24"/>
              </w:rPr>
              <w:t>.</w:t>
            </w:r>
          </w:p>
          <w:p w:rsidR="00D55F29" w:rsidRPr="004E569D" w:rsidRDefault="00F71AD5" w:rsidP="007D4934">
            <w:pPr>
              <w:pStyle w:val="CM1"/>
              <w:spacing w:after="120"/>
              <w:jc w:val="both"/>
              <w:rPr>
                <w:rFonts w:ascii="Times New Roman" w:hAnsi="Times New Roman"/>
              </w:rPr>
            </w:pPr>
            <w:r>
              <w:rPr>
                <w:rFonts w:ascii="Times New Roman" w:hAnsi="Times New Roman"/>
              </w:rPr>
              <w:t>2</w:t>
            </w:r>
            <w:r w:rsidR="00D55F29" w:rsidRPr="004E569D">
              <w:rPr>
                <w:rFonts w:ascii="Times New Roman" w:hAnsi="Times New Roman"/>
              </w:rPr>
              <w:t>) Atbilstoši Direktīvas 2011/70/Euratom 7.panta 3.punktam operatoram, kas ir atbildīgs par radioaktīvo atkritumu pārvaldības un apglabāšanas objektu, ir jāveic regulāri d</w:t>
            </w:r>
            <w:r w:rsidR="00D55F29" w:rsidRPr="004E569D">
              <w:rPr>
                <w:rFonts w:ascii="Times New Roman" w:hAnsi="Times New Roman"/>
                <w:color w:val="000000"/>
              </w:rPr>
              <w:t xml:space="preserve">rošības novērtējumi, kas ir kā sastāvdaļa licencei. </w:t>
            </w:r>
            <w:r>
              <w:rPr>
                <w:rFonts w:ascii="Times New Roman" w:hAnsi="Times New Roman"/>
                <w:color w:val="000000"/>
              </w:rPr>
              <w:t>Attiecīgi no</w:t>
            </w:r>
            <w:r w:rsidR="00D55F29" w:rsidRPr="004E569D">
              <w:rPr>
                <w:rFonts w:ascii="Times New Roman" w:hAnsi="Times New Roman"/>
                <w:color w:val="000000"/>
              </w:rPr>
              <w:t xml:space="preserve"> Direktīvas 2011/70/Euratom pārņemšana</w:t>
            </w:r>
            <w:r w:rsidR="003E164B">
              <w:rPr>
                <w:rFonts w:ascii="Times New Roman" w:hAnsi="Times New Roman"/>
                <w:color w:val="000000"/>
              </w:rPr>
              <w:t>s termiņa – 2013.gada 23.augusta</w:t>
            </w:r>
            <w:r w:rsidR="00D55F29" w:rsidRPr="004E569D">
              <w:rPr>
                <w:rFonts w:ascii="Times New Roman" w:hAnsi="Times New Roman"/>
                <w:color w:val="000000"/>
              </w:rPr>
              <w:t xml:space="preserve"> – būs nepieciešams reizi 10 gados veikt radioaktīvo atkritumu glabātavas „Radons” drošības novērtējumu atbilstoši Direktīvas 2011/70/Euratom prasībām. Licence radioaktīvo atkritumu glabātavai „Radons” izsniegta 2012.gadā, attiecīgi pilnais drošības novērtējums jānodrošina līdz 2022.gadam. Pašreiz nav iespējams novērtēt, cik lielas papildus </w:t>
            </w:r>
            <w:r w:rsidR="00FE42DA">
              <w:rPr>
                <w:rFonts w:ascii="Times New Roman" w:hAnsi="Times New Roman"/>
                <w:color w:val="000000"/>
              </w:rPr>
              <w:t xml:space="preserve">kopējās </w:t>
            </w:r>
            <w:r w:rsidR="00D55F29" w:rsidRPr="004E569D">
              <w:rPr>
                <w:rFonts w:ascii="Times New Roman" w:hAnsi="Times New Roman"/>
                <w:color w:val="000000"/>
              </w:rPr>
              <w:t xml:space="preserve">izmaksas būs nepieciešamas. </w:t>
            </w:r>
          </w:p>
          <w:p w:rsidR="00D55F29" w:rsidRDefault="00F71AD5" w:rsidP="007D4934">
            <w:pPr>
              <w:spacing w:after="120"/>
              <w:jc w:val="both"/>
              <w:rPr>
                <w:sz w:val="24"/>
              </w:rPr>
            </w:pPr>
            <w:r w:rsidRPr="008C152E">
              <w:rPr>
                <w:sz w:val="24"/>
                <w:lang w:eastAsia="lv-LV"/>
              </w:rPr>
              <w:t>3</w:t>
            </w:r>
            <w:r w:rsidR="00D55F29" w:rsidRPr="008C152E">
              <w:rPr>
                <w:sz w:val="24"/>
                <w:lang w:eastAsia="lv-LV"/>
              </w:rPr>
              <w:t xml:space="preserve">) </w:t>
            </w:r>
            <w:r w:rsidR="00D55F29" w:rsidRPr="008C152E">
              <w:rPr>
                <w:sz w:val="24"/>
              </w:rPr>
              <w:t xml:space="preserve">Ievērojot pašreizējos VVD RDC resursus,  nepieciešams stiprināt VVD RDC kapacitāti, lai varētu nodrošināt pēc iespējas efektīvāku valsts uzraudzību un kontroli, tādejādi nodrošinot arī </w:t>
            </w:r>
            <w:r w:rsidR="00D55F29" w:rsidRPr="0047635D">
              <w:rPr>
                <w:sz w:val="24"/>
              </w:rPr>
              <w:t>Direktīvas 2011/70/Euratom, Direktīvas 96/29/Euratom, u.c. īstenošanu</w:t>
            </w:r>
            <w:r w:rsidR="00D55F29" w:rsidRPr="008C152E">
              <w:rPr>
                <w:sz w:val="24"/>
              </w:rPr>
              <w:t>. Īpaši jāuzsver Direktīvas 2011/70/Euratom 6.pantu, kurš nosaka, ka dalībvalstīm jānodrošina, ka kompetentajai iestādei ir piešķirti atbilstoši cilvēkresursi un finanšu resursi, lai varētu nodrošināt atbilstošu pienākumu izpildi.</w:t>
            </w:r>
            <w:r w:rsidR="00D55F29" w:rsidRPr="007D4934">
              <w:rPr>
                <w:sz w:val="24"/>
              </w:rPr>
              <w:t xml:space="preserve"> </w:t>
            </w:r>
          </w:p>
          <w:p w:rsidR="00F71AD5" w:rsidRPr="007D4934" w:rsidRDefault="00F71AD5" w:rsidP="007D4934">
            <w:pPr>
              <w:spacing w:after="120"/>
              <w:jc w:val="both"/>
              <w:rPr>
                <w:sz w:val="24"/>
              </w:rPr>
            </w:pPr>
            <w:r w:rsidRPr="00FE42DA">
              <w:rPr>
                <w:sz w:val="24"/>
              </w:rPr>
              <w:t xml:space="preserve">LVĢMC </w:t>
            </w:r>
            <w:r w:rsidR="008347C2" w:rsidRPr="00FE42DA">
              <w:rPr>
                <w:sz w:val="24"/>
              </w:rPr>
              <w:t xml:space="preserve">nepieciešams papildus resursi, lai nodrošinātu drošu radioaktīvo atkritumu glabātavas „Radons” apsaimniekošanu, nodrošinot arī </w:t>
            </w:r>
            <w:r w:rsidR="00FE42DA" w:rsidRPr="00FE42DA">
              <w:rPr>
                <w:sz w:val="24"/>
              </w:rPr>
              <w:t xml:space="preserve">paplašinātu </w:t>
            </w:r>
            <w:r w:rsidR="008347C2" w:rsidRPr="00FE42DA">
              <w:rPr>
                <w:sz w:val="24"/>
              </w:rPr>
              <w:t>vides moni</w:t>
            </w:r>
            <w:r w:rsidR="00FE42DA" w:rsidRPr="00FE42DA">
              <w:rPr>
                <w:sz w:val="24"/>
              </w:rPr>
              <w:t>t</w:t>
            </w:r>
            <w:r w:rsidR="008347C2" w:rsidRPr="00FE42DA">
              <w:rPr>
                <w:sz w:val="24"/>
              </w:rPr>
              <w:t>oringu un regulāru ziņojumu, atskaišu sagatavošanu.</w:t>
            </w:r>
          </w:p>
          <w:p w:rsidR="007D4934" w:rsidRPr="004E569D" w:rsidRDefault="00F71AD5" w:rsidP="00706CC4">
            <w:pPr>
              <w:spacing w:after="120"/>
              <w:jc w:val="both"/>
              <w:rPr>
                <w:sz w:val="24"/>
                <w:lang w:eastAsia="lv-LV"/>
              </w:rPr>
            </w:pPr>
            <w:r>
              <w:rPr>
                <w:sz w:val="24"/>
              </w:rPr>
              <w:t>4</w:t>
            </w:r>
            <w:r w:rsidR="000B3611">
              <w:rPr>
                <w:sz w:val="24"/>
              </w:rPr>
              <w:t xml:space="preserve">) </w:t>
            </w:r>
            <w:r w:rsidR="00706CC4">
              <w:rPr>
                <w:sz w:val="24"/>
              </w:rPr>
              <w:t>Nepieciešami</w:t>
            </w:r>
            <w:r w:rsidR="00706CC4" w:rsidRPr="007D4934">
              <w:rPr>
                <w:sz w:val="24"/>
              </w:rPr>
              <w:t xml:space="preserve"> pasākumi, </w:t>
            </w:r>
            <w:r w:rsidR="00706CC4">
              <w:rPr>
                <w:sz w:val="24"/>
              </w:rPr>
              <w:t>(</w:t>
            </w:r>
            <w:r w:rsidR="00706CC4" w:rsidRPr="007D4934">
              <w:rPr>
                <w:sz w:val="24"/>
              </w:rPr>
              <w:t xml:space="preserve">tai skaitā šīs sadaļas 7.punkta </w:t>
            </w:r>
            <w:r w:rsidR="00706CC4">
              <w:rPr>
                <w:sz w:val="24"/>
              </w:rPr>
              <w:t>1</w:t>
            </w:r>
            <w:r w:rsidR="00706CC4" w:rsidRPr="007D4934">
              <w:rPr>
                <w:sz w:val="24"/>
              </w:rPr>
              <w:t>)-</w:t>
            </w:r>
            <w:r w:rsidR="00706CC4">
              <w:rPr>
                <w:sz w:val="24"/>
              </w:rPr>
              <w:t>3</w:t>
            </w:r>
            <w:r w:rsidR="00706CC4" w:rsidRPr="007D4934">
              <w:rPr>
                <w:sz w:val="24"/>
              </w:rPr>
              <w:t>) apakšpunktā minētie</w:t>
            </w:r>
            <w:r w:rsidR="00706CC4">
              <w:rPr>
                <w:sz w:val="24"/>
              </w:rPr>
              <w:t>)</w:t>
            </w:r>
            <w:r w:rsidR="00706CC4" w:rsidRPr="007D4934">
              <w:rPr>
                <w:sz w:val="24"/>
              </w:rPr>
              <w:t xml:space="preserve">, kas izriet no Direktīvas 2011/70/Euratom, tiks nodrošināti Vides aizsardzības un reģionālās attīstības ministrijai (turpmāk – </w:t>
            </w:r>
            <w:smartTag w:uri="urn:schemas-microsoft-com:office:smarttags" w:element="PersonName">
              <w:r w:rsidR="00706CC4" w:rsidRPr="007D4934">
                <w:rPr>
                  <w:sz w:val="24"/>
                </w:rPr>
                <w:t>VARAM</w:t>
              </w:r>
            </w:smartTag>
            <w:r w:rsidR="00706CC4" w:rsidRPr="007D4934">
              <w:rPr>
                <w:sz w:val="24"/>
              </w:rPr>
              <w:t xml:space="preserve">) piešķirto līdzekļu ietvaros un, ja būs nepieciešams papildu valsts budžeta finansējums, </w:t>
            </w:r>
            <w:smartTag w:uri="urn:schemas-microsoft-com:office:smarttags" w:element="PersonName">
              <w:r w:rsidR="00706CC4" w:rsidRPr="007D4934">
                <w:rPr>
                  <w:sz w:val="24"/>
                </w:rPr>
                <w:t>VARAM</w:t>
              </w:r>
            </w:smartTag>
            <w:r w:rsidR="00706CC4" w:rsidRPr="007D4934">
              <w:rPr>
                <w:sz w:val="24"/>
              </w:rPr>
              <w:t xml:space="preserve"> to pieprasīs likumprojekta par valsts budžetu kārtējam gadam sagatavošanas un izskatīšanas procesā kopā ar </w:t>
            </w:r>
            <w:r w:rsidR="00706CC4" w:rsidRPr="00752410">
              <w:rPr>
                <w:sz w:val="24"/>
              </w:rPr>
              <w:t>visu ministriju un citu centrālo valsts iestāžu jauno politikas iniciatīvu pieprasījumiem.</w:t>
            </w:r>
            <w:r w:rsidR="00706CC4">
              <w:rPr>
                <w:sz w:val="24"/>
              </w:rPr>
              <w:t xml:space="preserve"> </w:t>
            </w:r>
            <w:smartTag w:uri="urn:schemas-microsoft-com:office:smarttags" w:element="PersonName">
              <w:r w:rsidR="00706CC4">
                <w:rPr>
                  <w:sz w:val="24"/>
                </w:rPr>
                <w:t>VARAM</w:t>
              </w:r>
            </w:smartTag>
            <w:r w:rsidR="00706CC4">
              <w:rPr>
                <w:sz w:val="24"/>
              </w:rPr>
              <w:t xml:space="preserve"> jauno politikas </w:t>
            </w:r>
            <w:r w:rsidR="00706CC4" w:rsidRPr="00B7029D">
              <w:rPr>
                <w:sz w:val="24"/>
              </w:rPr>
              <w:t>iniciatīvu 2014.-2016.gadam pieprasījumā, kurš iesniegts Finanšu ministrijā 2013.gada 3.jūnijā atbilstoši MK 2012.gada 11.decembra noteikumiem Nr.867 „</w:t>
            </w:r>
            <w:r w:rsidR="00706CC4" w:rsidRPr="00B7029D">
              <w:rPr>
                <w:bCs/>
                <w:sz w:val="24"/>
                <w:lang w:eastAsia="lv-LV"/>
              </w:rPr>
              <w:t>Kārtība, kādā nosakāms maksimāli pieļaujamais valsts budžeta izdevumu kopapjoms un maksimāli pieļaujamais valsts budžeta izdevumu kopējais apjoms katrai ministrijai un citām centrālajām valsts iestādēm vidējam termiņam”</w:t>
            </w:r>
            <w:r w:rsidR="00706CC4" w:rsidRPr="00B7029D">
              <w:rPr>
                <w:sz w:val="24"/>
              </w:rPr>
              <w:t>, ir iekļāvusi arī pieprasījumu radioaktīvo atkritumu glabātavas apsaimniekošanai</w:t>
            </w:r>
            <w:r w:rsidR="00706CC4" w:rsidRPr="00752410">
              <w:rPr>
                <w:sz w:val="24"/>
              </w:rPr>
              <w:t xml:space="preserve"> (uzturēšana) </w:t>
            </w:r>
            <w:r w:rsidR="00706CC4">
              <w:rPr>
                <w:sz w:val="24"/>
              </w:rPr>
              <w:t>katru gadu;</w:t>
            </w:r>
            <w:r w:rsidR="00706CC4" w:rsidRPr="00752410">
              <w:rPr>
                <w:sz w:val="24"/>
              </w:rPr>
              <w:t xml:space="preserve"> </w:t>
            </w:r>
            <w:r w:rsidR="00706CC4" w:rsidRPr="004E569D">
              <w:rPr>
                <w:color w:val="000000"/>
                <w:sz w:val="24"/>
              </w:rPr>
              <w:t>starptautisk</w:t>
            </w:r>
            <w:r w:rsidR="00706CC4">
              <w:rPr>
                <w:color w:val="000000"/>
                <w:sz w:val="24"/>
              </w:rPr>
              <w:t>am</w:t>
            </w:r>
            <w:r w:rsidR="00706CC4" w:rsidRPr="004E569D">
              <w:rPr>
                <w:color w:val="000000"/>
                <w:sz w:val="24"/>
              </w:rPr>
              <w:t xml:space="preserve"> novērtējum</w:t>
            </w:r>
            <w:r w:rsidR="00706CC4">
              <w:rPr>
                <w:color w:val="000000"/>
                <w:sz w:val="24"/>
              </w:rPr>
              <w:t>am</w:t>
            </w:r>
            <w:r w:rsidR="00706CC4" w:rsidRPr="004E569D">
              <w:rPr>
                <w:color w:val="000000"/>
                <w:sz w:val="24"/>
              </w:rPr>
              <w:t xml:space="preserve"> par </w:t>
            </w:r>
            <w:r w:rsidR="00706CC4">
              <w:rPr>
                <w:color w:val="000000"/>
                <w:sz w:val="24"/>
              </w:rPr>
              <w:t xml:space="preserve">kodoldrošības </w:t>
            </w:r>
            <w:r w:rsidR="00706CC4" w:rsidRPr="004E569D">
              <w:rPr>
                <w:color w:val="000000"/>
                <w:sz w:val="24"/>
              </w:rPr>
              <w:t>sistēmu</w:t>
            </w:r>
            <w:r w:rsidR="00706CC4">
              <w:rPr>
                <w:color w:val="000000"/>
                <w:sz w:val="24"/>
              </w:rPr>
              <w:t xml:space="preserve"> 2016.gadā; kā arī r</w:t>
            </w:r>
            <w:r w:rsidR="00706CC4" w:rsidRPr="00752410">
              <w:rPr>
                <w:sz w:val="24"/>
                <w:lang w:eastAsia="lv-LV"/>
              </w:rPr>
              <w:t>adioaktīvo atkritumu glabātavas ilgtermiņa drošības novērtējuma uzsākšana</w:t>
            </w:r>
            <w:r w:rsidR="00706CC4">
              <w:rPr>
                <w:sz w:val="24"/>
                <w:lang w:eastAsia="lv-LV"/>
              </w:rPr>
              <w:t>i</w:t>
            </w:r>
            <w:r w:rsidR="00706CC4" w:rsidRPr="00752410">
              <w:rPr>
                <w:sz w:val="24"/>
                <w:lang w:eastAsia="lv-LV"/>
              </w:rPr>
              <w:t xml:space="preserve"> </w:t>
            </w:r>
            <w:r w:rsidR="00706CC4">
              <w:rPr>
                <w:sz w:val="24"/>
                <w:lang w:eastAsia="lv-LV"/>
              </w:rPr>
              <w:t xml:space="preserve">un </w:t>
            </w:r>
            <w:r w:rsidR="00706CC4" w:rsidRPr="00752410">
              <w:rPr>
                <w:sz w:val="24"/>
                <w:lang w:eastAsia="lv-LV"/>
              </w:rPr>
              <w:t xml:space="preserve">radioaktīvo atkritumu pārvaldības sistēmas </w:t>
            </w:r>
            <w:r w:rsidR="00706CC4">
              <w:rPr>
                <w:sz w:val="24"/>
                <w:lang w:eastAsia="lv-LV"/>
              </w:rPr>
              <w:t>s</w:t>
            </w:r>
            <w:r w:rsidR="00706CC4" w:rsidRPr="00752410">
              <w:rPr>
                <w:sz w:val="24"/>
                <w:lang w:eastAsia="lv-LV"/>
              </w:rPr>
              <w:t>tarptautisk</w:t>
            </w:r>
            <w:r w:rsidR="00706CC4">
              <w:rPr>
                <w:sz w:val="24"/>
                <w:lang w:eastAsia="lv-LV"/>
              </w:rPr>
              <w:t>ajam</w:t>
            </w:r>
            <w:r w:rsidR="00706CC4" w:rsidRPr="00752410">
              <w:rPr>
                <w:sz w:val="24"/>
                <w:lang w:eastAsia="lv-LV"/>
              </w:rPr>
              <w:t xml:space="preserve"> novērtējum</w:t>
            </w:r>
            <w:r w:rsidR="00706CC4">
              <w:rPr>
                <w:sz w:val="24"/>
                <w:lang w:eastAsia="lv-LV"/>
              </w:rPr>
              <w:t>am 2018.gadā.</w:t>
            </w:r>
            <w:r w:rsidR="00B7029D">
              <w:rPr>
                <w:sz w:val="24"/>
                <w:lang w:eastAsia="lv-LV"/>
              </w:rPr>
              <w:t xml:space="preserve"> VARAM pieprasītie līdzekļi </w:t>
            </w:r>
            <w:r w:rsidR="00D80C98">
              <w:rPr>
                <w:sz w:val="24"/>
                <w:lang w:eastAsia="lv-LV"/>
              </w:rPr>
              <w:t xml:space="preserve">radioaktīvo atkritumu apsaimniekošanai </w:t>
            </w:r>
            <w:r w:rsidR="00B7029D">
              <w:rPr>
                <w:sz w:val="24"/>
                <w:lang w:eastAsia="lv-LV"/>
              </w:rPr>
              <w:t xml:space="preserve">jauno politikas iniciatīvu ietvaros Ministru kabinetā nav atbalstīti. </w:t>
            </w:r>
          </w:p>
        </w:tc>
      </w:tr>
    </w:tbl>
    <w:p w:rsidR="00A202F6" w:rsidRPr="00187944" w:rsidRDefault="00A202F6" w:rsidP="00A202F6">
      <w:pPr>
        <w:spacing w:line="360" w:lineRule="auto"/>
        <w:ind w:firstLine="200"/>
        <w:rPr>
          <w:rFonts w:ascii="Verdana" w:hAnsi="Verdana"/>
          <w:vanish/>
          <w:sz w:val="24"/>
          <w:lang w:eastAsia="lv-LV"/>
        </w:rPr>
      </w:pPr>
    </w:p>
    <w:p w:rsidR="00A202F6" w:rsidRPr="00187944" w:rsidRDefault="00A202F6" w:rsidP="00A202F6">
      <w:pPr>
        <w:rPr>
          <w:b/>
          <w:bCs/>
          <w:sz w:val="24"/>
          <w:lang w:eastAsia="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634"/>
        <w:gridCol w:w="6012"/>
      </w:tblGrid>
      <w:tr w:rsidR="00F00AE2" w:rsidRPr="00187944" w:rsidTr="003B3EC9">
        <w:tc>
          <w:tcPr>
            <w:tcW w:w="9072" w:type="dxa"/>
            <w:gridSpan w:val="3"/>
          </w:tcPr>
          <w:p w:rsidR="00F00AE2" w:rsidRPr="00187944" w:rsidRDefault="00F00AE2" w:rsidP="00214271">
            <w:pPr>
              <w:pStyle w:val="naiskr"/>
              <w:tabs>
                <w:tab w:val="left" w:pos="2628"/>
              </w:tabs>
              <w:spacing w:before="120" w:after="120"/>
              <w:jc w:val="center"/>
              <w:rPr>
                <w:b/>
              </w:rPr>
            </w:pPr>
            <w:r w:rsidRPr="00187944">
              <w:rPr>
                <w:b/>
              </w:rPr>
              <w:t>IV. Ti</w:t>
            </w:r>
            <w:smartTag w:uri="urn:schemas-microsoft-com:office:smarttags" w:element="PersonName">
              <w:r w:rsidRPr="00187944">
                <w:rPr>
                  <w:b/>
                </w:rPr>
                <w:t>es</w:t>
              </w:r>
            </w:smartTag>
            <w:r w:rsidRPr="00187944">
              <w:rPr>
                <w:b/>
              </w:rPr>
              <w:t xml:space="preserve">ību akta projekta ietekme uz spēkā </w:t>
            </w:r>
            <w:smartTag w:uri="urn:schemas-microsoft-com:office:smarttags" w:element="PersonName">
              <w:r w:rsidRPr="00187944">
                <w:rPr>
                  <w:b/>
                </w:rPr>
                <w:t>es</w:t>
              </w:r>
            </w:smartTag>
            <w:r w:rsidRPr="00187944">
              <w:rPr>
                <w:b/>
              </w:rPr>
              <w:t>ošo ti</w:t>
            </w:r>
            <w:smartTag w:uri="urn:schemas-microsoft-com:office:smarttags" w:element="PersonName">
              <w:r w:rsidRPr="00187944">
                <w:rPr>
                  <w:b/>
                </w:rPr>
                <w:t>es</w:t>
              </w:r>
            </w:smartTag>
            <w:r w:rsidRPr="00187944">
              <w:rPr>
                <w:b/>
              </w:rPr>
              <w:t>ību normu sistēmu</w:t>
            </w:r>
          </w:p>
        </w:tc>
      </w:tr>
      <w:tr w:rsidR="00F00AE2" w:rsidRPr="00187944" w:rsidTr="0081728F">
        <w:tc>
          <w:tcPr>
            <w:tcW w:w="426" w:type="dxa"/>
          </w:tcPr>
          <w:p w:rsidR="00F00AE2" w:rsidRPr="00187944" w:rsidRDefault="00F00AE2" w:rsidP="00B83ED8">
            <w:pPr>
              <w:pStyle w:val="naiskr"/>
              <w:tabs>
                <w:tab w:val="left" w:pos="2628"/>
              </w:tabs>
              <w:spacing w:before="0" w:after="0"/>
              <w:jc w:val="center"/>
            </w:pPr>
            <w:r w:rsidRPr="00187944">
              <w:t>1.</w:t>
            </w:r>
          </w:p>
          <w:p w:rsidR="00F00AE2" w:rsidRPr="00187944" w:rsidRDefault="00F00AE2" w:rsidP="00B83ED8">
            <w:pPr>
              <w:pStyle w:val="naiskr"/>
              <w:tabs>
                <w:tab w:val="left" w:pos="2628"/>
              </w:tabs>
              <w:spacing w:before="0" w:after="0"/>
              <w:jc w:val="center"/>
            </w:pPr>
          </w:p>
        </w:tc>
        <w:tc>
          <w:tcPr>
            <w:tcW w:w="2634" w:type="dxa"/>
          </w:tcPr>
          <w:p w:rsidR="00F00AE2" w:rsidRPr="00187944" w:rsidRDefault="00F00AE2" w:rsidP="00B83ED8">
            <w:pPr>
              <w:pStyle w:val="naiskr"/>
              <w:tabs>
                <w:tab w:val="left" w:pos="2628"/>
              </w:tabs>
              <w:spacing w:before="0" w:after="0"/>
              <w:jc w:val="both"/>
            </w:pPr>
            <w:r w:rsidRPr="00187944">
              <w:t>Nepieciešamie saistītie ti</w:t>
            </w:r>
            <w:smartTag w:uri="urn:schemas-microsoft-com:office:smarttags" w:element="PersonName">
              <w:r w:rsidRPr="00187944">
                <w:t>es</w:t>
              </w:r>
            </w:smartTag>
            <w:r w:rsidRPr="00187944">
              <w:t>ību aktu projekti</w:t>
            </w:r>
          </w:p>
        </w:tc>
        <w:tc>
          <w:tcPr>
            <w:tcW w:w="6012" w:type="dxa"/>
          </w:tcPr>
          <w:p w:rsidR="00F00AE2" w:rsidRPr="000B3611" w:rsidRDefault="000B3611" w:rsidP="00B4182A">
            <w:pPr>
              <w:pStyle w:val="tv2131"/>
              <w:spacing w:before="0" w:after="120" w:line="240" w:lineRule="auto"/>
              <w:ind w:firstLine="0"/>
              <w:rPr>
                <w:rFonts w:ascii="Times New Roman" w:hAnsi="Times New Roman"/>
                <w:sz w:val="24"/>
                <w:szCs w:val="24"/>
              </w:rPr>
            </w:pPr>
            <w:r w:rsidRPr="000B3611">
              <w:rPr>
                <w:rFonts w:ascii="Times New Roman" w:hAnsi="Times New Roman"/>
                <w:sz w:val="24"/>
              </w:rPr>
              <w:t>Projekts šo jomu neskar.</w:t>
            </w:r>
          </w:p>
        </w:tc>
      </w:tr>
      <w:tr w:rsidR="00F00AE2" w:rsidRPr="009A5B96" w:rsidTr="0081728F">
        <w:tc>
          <w:tcPr>
            <w:tcW w:w="426" w:type="dxa"/>
          </w:tcPr>
          <w:p w:rsidR="00F00AE2" w:rsidRPr="00187944" w:rsidRDefault="00F00AE2" w:rsidP="00B83ED8">
            <w:pPr>
              <w:pStyle w:val="naiskr"/>
              <w:tabs>
                <w:tab w:val="left" w:pos="2628"/>
              </w:tabs>
              <w:spacing w:before="0" w:after="0"/>
              <w:jc w:val="center"/>
            </w:pPr>
            <w:r w:rsidRPr="00187944">
              <w:t>2.</w:t>
            </w:r>
          </w:p>
        </w:tc>
        <w:tc>
          <w:tcPr>
            <w:tcW w:w="2634" w:type="dxa"/>
          </w:tcPr>
          <w:p w:rsidR="00F00AE2" w:rsidRPr="00187944" w:rsidRDefault="00F00AE2" w:rsidP="00784C19">
            <w:pPr>
              <w:pStyle w:val="naiskr"/>
              <w:tabs>
                <w:tab w:val="left" w:pos="2628"/>
              </w:tabs>
              <w:spacing w:before="0" w:after="0"/>
            </w:pPr>
            <w:r w:rsidRPr="00187944">
              <w:t>Cita informācija</w:t>
            </w:r>
          </w:p>
        </w:tc>
        <w:tc>
          <w:tcPr>
            <w:tcW w:w="6012" w:type="dxa"/>
          </w:tcPr>
          <w:p w:rsidR="00F00AE2" w:rsidRPr="009A5B96" w:rsidRDefault="00214271" w:rsidP="000B3611">
            <w:pPr>
              <w:pStyle w:val="naiskr"/>
              <w:tabs>
                <w:tab w:val="left" w:pos="2628"/>
              </w:tabs>
              <w:spacing w:before="0" w:after="0"/>
              <w:jc w:val="both"/>
            </w:pPr>
            <w:r w:rsidRPr="009A5B96">
              <w:t xml:space="preserve">Paralēli </w:t>
            </w:r>
            <w:r w:rsidR="000B3611" w:rsidRPr="009A5B96">
              <w:t>noteikumu projekta</w:t>
            </w:r>
            <w:r w:rsidRPr="009A5B96">
              <w:t xml:space="preserve"> grozījumiem</w:t>
            </w:r>
            <w:r w:rsidR="000B3611" w:rsidRPr="009A5B96">
              <w:t xml:space="preserve">, lai pārņemtu </w:t>
            </w:r>
            <w:r w:rsidRPr="009A5B96">
              <w:t xml:space="preserve"> </w:t>
            </w:r>
            <w:r w:rsidR="000B3611" w:rsidRPr="009A5B96">
              <w:t>Direktīvas 2011/70/Euratom prasības, ir</w:t>
            </w:r>
            <w:r w:rsidR="00A43407" w:rsidRPr="009A5B96">
              <w:t xml:space="preserve"> izstrādāti </w:t>
            </w:r>
            <w:r w:rsidR="009A5B96" w:rsidRPr="009A5B96">
              <w:t xml:space="preserve">grozījumi likumā „Par radiācijas drošību un kodoldrošību”” (izsludināts Valsts sekretāru 2013.gada 7.februāra sanāksmē, protokols Nr.5 11.§, </w:t>
            </w:r>
            <w:r w:rsidR="009A5B96" w:rsidRPr="008017A7">
              <w:t>VSS-105)</w:t>
            </w:r>
            <w:r w:rsidR="008017A7" w:rsidRPr="008017A7">
              <w:t>. Atbildīgā -</w:t>
            </w:r>
            <w:r w:rsidR="008017A7">
              <w:t xml:space="preserve"> </w:t>
            </w:r>
            <w:r w:rsidR="002A1111" w:rsidRPr="008017A7">
              <w:t>Vides aizsardzības un reģionālās attīstības ministrija.</w:t>
            </w:r>
          </w:p>
        </w:tc>
      </w:tr>
    </w:tbl>
    <w:p w:rsidR="00F00AE2" w:rsidRPr="00187944" w:rsidRDefault="00F00AE2" w:rsidP="00F00AE2">
      <w:pPr>
        <w:pStyle w:val="naiskr"/>
        <w:tabs>
          <w:tab w:val="left" w:pos="2628"/>
        </w:tabs>
        <w:spacing w:before="0" w:after="0"/>
        <w:rPr>
          <w:i/>
        </w:rPr>
      </w:pPr>
    </w:p>
    <w:tbl>
      <w:tblPr>
        <w:tblW w:w="9160"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2424"/>
        <w:gridCol w:w="6280"/>
      </w:tblGrid>
      <w:tr w:rsidR="00BC0C16" w:rsidRPr="00187944" w:rsidTr="00BC0C16">
        <w:trPr>
          <w:jc w:val="center"/>
        </w:trPr>
        <w:tc>
          <w:tcPr>
            <w:tcW w:w="9160" w:type="dxa"/>
            <w:gridSpan w:val="3"/>
          </w:tcPr>
          <w:p w:rsidR="00BC0C16" w:rsidRPr="00187944" w:rsidRDefault="00BC0C16" w:rsidP="00DA5963">
            <w:pPr>
              <w:pStyle w:val="naisnod"/>
            </w:pPr>
            <w:r w:rsidRPr="00187944">
              <w:t>V. Tiesību akta projekta atbilstība Latvijas Republikas starptautiskajām saistībām</w:t>
            </w:r>
          </w:p>
        </w:tc>
      </w:tr>
      <w:tr w:rsidR="00BC0C16" w:rsidRPr="00187944" w:rsidTr="00944336">
        <w:trPr>
          <w:jc w:val="center"/>
        </w:trPr>
        <w:tc>
          <w:tcPr>
            <w:tcW w:w="456" w:type="dxa"/>
          </w:tcPr>
          <w:p w:rsidR="00BC0C16" w:rsidRPr="00187944" w:rsidRDefault="00BC0C16" w:rsidP="00DA5963">
            <w:pPr>
              <w:rPr>
                <w:sz w:val="24"/>
              </w:rPr>
            </w:pPr>
            <w:r w:rsidRPr="00187944">
              <w:rPr>
                <w:sz w:val="24"/>
              </w:rPr>
              <w:t> 1.</w:t>
            </w:r>
          </w:p>
        </w:tc>
        <w:tc>
          <w:tcPr>
            <w:tcW w:w="2424" w:type="dxa"/>
          </w:tcPr>
          <w:p w:rsidR="00BC0C16" w:rsidRPr="00187944" w:rsidRDefault="00BC0C16" w:rsidP="00944336">
            <w:pPr>
              <w:spacing w:after="120"/>
              <w:jc w:val="both"/>
              <w:rPr>
                <w:sz w:val="24"/>
              </w:rPr>
            </w:pPr>
            <w:r w:rsidRPr="00187944">
              <w:rPr>
                <w:sz w:val="24"/>
              </w:rPr>
              <w:t>Saistības pret Eiropas Savienību</w:t>
            </w:r>
          </w:p>
        </w:tc>
        <w:tc>
          <w:tcPr>
            <w:tcW w:w="6280" w:type="dxa"/>
          </w:tcPr>
          <w:p w:rsidR="00E94803" w:rsidRDefault="00322A2F" w:rsidP="00944336">
            <w:pPr>
              <w:pStyle w:val="naisf"/>
              <w:spacing w:before="0" w:after="120"/>
              <w:ind w:firstLine="0"/>
            </w:pPr>
            <w:r>
              <w:t xml:space="preserve">Noteikumu </w:t>
            </w:r>
            <w:r w:rsidR="00BC0C16" w:rsidRPr="00187944">
              <w:t xml:space="preserve">projektā iekļautas tiesību normas, kas izriet </w:t>
            </w:r>
            <w:r w:rsidR="000B3611">
              <w:t>no</w:t>
            </w:r>
            <w:r w:rsidR="00E94803">
              <w:t>:</w:t>
            </w:r>
          </w:p>
          <w:p w:rsidR="00597ADE" w:rsidRDefault="00E94803" w:rsidP="00944336">
            <w:pPr>
              <w:pStyle w:val="naisf"/>
              <w:spacing w:before="0" w:after="120"/>
              <w:ind w:firstLine="0"/>
            </w:pPr>
            <w:r>
              <w:t>1)</w:t>
            </w:r>
            <w:r w:rsidR="00BC0C16" w:rsidRPr="00187944">
              <w:rPr>
                <w:bCs/>
              </w:rPr>
              <w:t xml:space="preserve"> </w:t>
            </w:r>
            <w:r w:rsidR="00BC0C16" w:rsidRPr="00187944">
              <w:t xml:space="preserve">Padomes 2011.gada 19.jūlija </w:t>
            </w:r>
            <w:r w:rsidR="00BC0C16" w:rsidRPr="0047635D">
              <w:t>direktīvas 2011/70/E</w:t>
            </w:r>
            <w:r w:rsidR="00676183" w:rsidRPr="0047635D">
              <w:t>uratom</w:t>
            </w:r>
            <w:r w:rsidR="00BC0C16" w:rsidRPr="0047635D">
              <w:t>,</w:t>
            </w:r>
            <w:r w:rsidR="00BC0C16" w:rsidRPr="00187944">
              <w:t xml:space="preserve"> ar ko izveido Kopienas sistēmu lietotās kodoldegvielas un radioaktīvo atkritumu atbildīgai un drošai apsaimniekošanai</w:t>
            </w:r>
          </w:p>
          <w:p w:rsidR="00E94803" w:rsidRPr="00187944" w:rsidRDefault="00E94803" w:rsidP="00944336">
            <w:pPr>
              <w:pStyle w:val="naisf"/>
              <w:spacing w:before="0" w:after="120"/>
              <w:ind w:firstLine="0"/>
              <w:rPr>
                <w:bCs/>
              </w:rPr>
            </w:pPr>
            <w:r>
              <w:rPr>
                <w:bCs/>
              </w:rPr>
              <w:t xml:space="preserve">2) </w:t>
            </w:r>
            <w:r w:rsidRPr="00804651">
              <w:rPr>
                <w:szCs w:val="28"/>
              </w:rPr>
              <w:t>Padomes 2003.gada 22.decembra Direktīvas 2003/122/EAEK par slēgtu augstas radioaktivitātes starojuma avotu un bezīpašnieka jonizējošā starojuma avotu kontroli</w:t>
            </w:r>
          </w:p>
        </w:tc>
      </w:tr>
      <w:tr w:rsidR="00BC0C16" w:rsidRPr="00187944" w:rsidTr="00944336">
        <w:trPr>
          <w:jc w:val="center"/>
        </w:trPr>
        <w:tc>
          <w:tcPr>
            <w:tcW w:w="456" w:type="dxa"/>
          </w:tcPr>
          <w:p w:rsidR="00BC0C16" w:rsidRPr="00187944" w:rsidRDefault="00BC0C16" w:rsidP="00DA5963">
            <w:pPr>
              <w:pStyle w:val="naiskr"/>
            </w:pPr>
            <w:r w:rsidRPr="00187944">
              <w:t> 2.</w:t>
            </w:r>
          </w:p>
        </w:tc>
        <w:tc>
          <w:tcPr>
            <w:tcW w:w="2424" w:type="dxa"/>
          </w:tcPr>
          <w:p w:rsidR="00BC0C16" w:rsidRPr="00187944" w:rsidRDefault="00BC0C16" w:rsidP="00944336">
            <w:pPr>
              <w:pStyle w:val="naiskr"/>
              <w:spacing w:before="0" w:after="120"/>
              <w:jc w:val="both"/>
            </w:pPr>
            <w:r w:rsidRPr="00187944">
              <w:t> Citas starptautiskās saistības</w:t>
            </w:r>
          </w:p>
        </w:tc>
        <w:tc>
          <w:tcPr>
            <w:tcW w:w="6280" w:type="dxa"/>
          </w:tcPr>
          <w:p w:rsidR="00BC0C16" w:rsidRPr="00187944" w:rsidRDefault="00597ADE" w:rsidP="00944336">
            <w:pPr>
              <w:spacing w:after="120"/>
              <w:jc w:val="both"/>
              <w:rPr>
                <w:sz w:val="24"/>
              </w:rPr>
            </w:pPr>
            <w:r w:rsidRPr="00187944">
              <w:rPr>
                <w:sz w:val="24"/>
              </w:rPr>
              <w:t>Kopējā lietotās kodoldegvielas un radioaktīvo atkritumu drošas pārvaldības konvencija.</w:t>
            </w:r>
          </w:p>
        </w:tc>
      </w:tr>
      <w:tr w:rsidR="00BC0C16" w:rsidRPr="00187944" w:rsidTr="00944336">
        <w:trPr>
          <w:jc w:val="center"/>
        </w:trPr>
        <w:tc>
          <w:tcPr>
            <w:tcW w:w="456" w:type="dxa"/>
          </w:tcPr>
          <w:p w:rsidR="00BC0C16" w:rsidRPr="00187944" w:rsidRDefault="00BC0C16" w:rsidP="00DA5963">
            <w:pPr>
              <w:pStyle w:val="naiskr"/>
            </w:pPr>
            <w:r w:rsidRPr="00187944">
              <w:t> 3.</w:t>
            </w:r>
          </w:p>
        </w:tc>
        <w:tc>
          <w:tcPr>
            <w:tcW w:w="2424" w:type="dxa"/>
          </w:tcPr>
          <w:p w:rsidR="00BC0C16" w:rsidRPr="00187944" w:rsidRDefault="00BC0C16" w:rsidP="00944336">
            <w:pPr>
              <w:pStyle w:val="naiskr"/>
              <w:spacing w:before="0" w:after="120"/>
            </w:pPr>
            <w:r w:rsidRPr="00187944">
              <w:t> Cita informācija</w:t>
            </w:r>
          </w:p>
        </w:tc>
        <w:tc>
          <w:tcPr>
            <w:tcW w:w="6280" w:type="dxa"/>
          </w:tcPr>
          <w:p w:rsidR="00BC0C16" w:rsidRPr="00187944" w:rsidRDefault="00BC0C16" w:rsidP="00944336">
            <w:pPr>
              <w:pStyle w:val="naiskr"/>
              <w:spacing w:before="0" w:after="120"/>
            </w:pPr>
            <w:r w:rsidRPr="00187944">
              <w:t>Nav</w:t>
            </w:r>
          </w:p>
        </w:tc>
      </w:tr>
    </w:tbl>
    <w:p w:rsidR="00BC0C16" w:rsidRPr="00187944" w:rsidRDefault="00BC0C16" w:rsidP="00BC0C16">
      <w:pPr>
        <w:pStyle w:val="naisf"/>
      </w:pPr>
      <w:r w:rsidRPr="00187944">
        <w:t> </w:t>
      </w:r>
    </w:p>
    <w:tbl>
      <w:tblPr>
        <w:tblW w:w="9121"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5"/>
        <w:gridCol w:w="2679"/>
        <w:gridCol w:w="2110"/>
        <w:gridCol w:w="2027"/>
      </w:tblGrid>
      <w:tr w:rsidR="00BC0C16" w:rsidRPr="00187944" w:rsidTr="003C6F53">
        <w:trPr>
          <w:trHeight w:val="523"/>
          <w:jc w:val="center"/>
        </w:trPr>
        <w:tc>
          <w:tcPr>
            <w:tcW w:w="9121" w:type="dxa"/>
            <w:gridSpan w:val="4"/>
          </w:tcPr>
          <w:p w:rsidR="00BC0C16" w:rsidRPr="00187944" w:rsidRDefault="00BC0C16" w:rsidP="00DA5963">
            <w:pPr>
              <w:pStyle w:val="naisnod"/>
              <w:spacing w:before="0" w:after="120"/>
            </w:pPr>
            <w:r w:rsidRPr="00187944">
              <w:t> 1.tabula</w:t>
            </w:r>
          </w:p>
          <w:p w:rsidR="00BC0C16" w:rsidRPr="00187944" w:rsidRDefault="00BC0C16" w:rsidP="00DA5963">
            <w:pPr>
              <w:pStyle w:val="naisnod"/>
              <w:spacing w:before="0" w:after="120"/>
            </w:pPr>
            <w:r w:rsidRPr="00187944">
              <w:t>Tiesību akta projekta atbilstība ES tiesību aktiem</w:t>
            </w:r>
          </w:p>
        </w:tc>
      </w:tr>
      <w:tr w:rsidR="00BC0C16" w:rsidRPr="00187944" w:rsidTr="003C6F53">
        <w:trPr>
          <w:trHeight w:val="274"/>
          <w:jc w:val="center"/>
        </w:trPr>
        <w:tc>
          <w:tcPr>
            <w:tcW w:w="2305" w:type="dxa"/>
          </w:tcPr>
          <w:p w:rsidR="00BC0C16" w:rsidRPr="00187944" w:rsidRDefault="00BC0C16" w:rsidP="00DA5963">
            <w:pPr>
              <w:pStyle w:val="naisc"/>
              <w:spacing w:before="0" w:after="120"/>
              <w:jc w:val="both"/>
            </w:pPr>
            <w:r w:rsidRPr="00187944">
              <w:t>Attiecīgā ES tiesību akta datums, numurs un nosaukums</w:t>
            </w:r>
          </w:p>
        </w:tc>
        <w:tc>
          <w:tcPr>
            <w:tcW w:w="6816" w:type="dxa"/>
            <w:gridSpan w:val="3"/>
          </w:tcPr>
          <w:p w:rsidR="00BC0C16" w:rsidRDefault="00E94803" w:rsidP="00F71AD5">
            <w:pPr>
              <w:pStyle w:val="naiskr"/>
              <w:tabs>
                <w:tab w:val="left" w:pos="2628"/>
              </w:tabs>
              <w:spacing w:before="0" w:after="120"/>
              <w:jc w:val="both"/>
            </w:pPr>
            <w:r>
              <w:t xml:space="preserve">1) </w:t>
            </w:r>
            <w:r w:rsidR="00597ADE" w:rsidRPr="00187944">
              <w:t>Padomes 2011.gada 19.jūlija direktīvas 2011/70/Euratom, ar ko izveido Kopienas sistēmu lietotās kodoldegvielas un radioaktīvo atkritumu atbildīgai un drošai apsaimniekošanai</w:t>
            </w:r>
            <w:r w:rsidR="00597ADE" w:rsidRPr="00187944">
              <w:rPr>
                <w:bCs/>
              </w:rPr>
              <w:t xml:space="preserve"> </w:t>
            </w:r>
            <w:r w:rsidR="00F71AD5" w:rsidRPr="009A5B96">
              <w:rPr>
                <w:bCs/>
              </w:rPr>
              <w:t xml:space="preserve">(turpmāk - </w:t>
            </w:r>
            <w:r w:rsidR="00BF28F3">
              <w:t>D</w:t>
            </w:r>
            <w:r w:rsidR="00F71AD5" w:rsidRPr="009A5B96">
              <w:t>irektīva 2011/70/Euratom)</w:t>
            </w:r>
          </w:p>
          <w:p w:rsidR="00E94803" w:rsidRPr="00187944" w:rsidRDefault="00E94803" w:rsidP="00E94803">
            <w:pPr>
              <w:pStyle w:val="naiskr"/>
              <w:tabs>
                <w:tab w:val="left" w:pos="2628"/>
              </w:tabs>
              <w:spacing w:before="0" w:after="120"/>
              <w:jc w:val="both"/>
              <w:rPr>
                <w:bCs/>
              </w:rPr>
            </w:pPr>
            <w:r>
              <w:t xml:space="preserve">2) </w:t>
            </w:r>
            <w:r w:rsidRPr="00804651">
              <w:rPr>
                <w:szCs w:val="28"/>
              </w:rPr>
              <w:t>Padomes 2003.gada 22.decembra Direktīva 2003/122/EAEK par slēgtu augstas radioaktivitātes starojuma avotu un bezīpašnieka jonizējošā starojuma avotu kontroli</w:t>
            </w:r>
            <w:r>
              <w:rPr>
                <w:szCs w:val="28"/>
              </w:rPr>
              <w:t xml:space="preserve"> (turpmāk - </w:t>
            </w:r>
            <w:r w:rsidRPr="00804651">
              <w:rPr>
                <w:szCs w:val="28"/>
              </w:rPr>
              <w:t>Direktīva 2003/122/EAEK</w:t>
            </w:r>
            <w:r>
              <w:rPr>
                <w:szCs w:val="28"/>
              </w:rPr>
              <w:t>)</w:t>
            </w:r>
          </w:p>
        </w:tc>
      </w:tr>
      <w:tr w:rsidR="00BC0C16" w:rsidRPr="00187944" w:rsidTr="003C6F53">
        <w:trPr>
          <w:trHeight w:val="165"/>
          <w:jc w:val="center"/>
        </w:trPr>
        <w:tc>
          <w:tcPr>
            <w:tcW w:w="2305" w:type="dxa"/>
          </w:tcPr>
          <w:p w:rsidR="00BC0C16" w:rsidRPr="00187944" w:rsidRDefault="00BC0C16" w:rsidP="00DA5963">
            <w:pPr>
              <w:pStyle w:val="naisc"/>
              <w:spacing w:before="0" w:after="120"/>
            </w:pPr>
            <w:r w:rsidRPr="00187944">
              <w:t> A</w:t>
            </w:r>
          </w:p>
        </w:tc>
        <w:tc>
          <w:tcPr>
            <w:tcW w:w="2679" w:type="dxa"/>
          </w:tcPr>
          <w:p w:rsidR="00BC0C16" w:rsidRPr="00187944" w:rsidRDefault="00BC0C16" w:rsidP="00DA5963">
            <w:pPr>
              <w:pStyle w:val="naisc"/>
              <w:spacing w:before="0" w:after="120"/>
            </w:pPr>
            <w:r w:rsidRPr="00187944">
              <w:t> B</w:t>
            </w:r>
          </w:p>
        </w:tc>
        <w:tc>
          <w:tcPr>
            <w:tcW w:w="2110" w:type="dxa"/>
          </w:tcPr>
          <w:p w:rsidR="00BC0C16" w:rsidRPr="00187944" w:rsidRDefault="00BC0C16" w:rsidP="00DA5963">
            <w:pPr>
              <w:pStyle w:val="naisc"/>
              <w:spacing w:before="0" w:after="120"/>
            </w:pPr>
            <w:r w:rsidRPr="00187944">
              <w:t> C</w:t>
            </w:r>
          </w:p>
        </w:tc>
        <w:tc>
          <w:tcPr>
            <w:tcW w:w="2027" w:type="dxa"/>
          </w:tcPr>
          <w:p w:rsidR="00BC0C16" w:rsidRPr="00187944" w:rsidRDefault="00BC0C16" w:rsidP="00DA5963">
            <w:pPr>
              <w:pStyle w:val="naisc"/>
              <w:spacing w:before="0" w:after="120"/>
            </w:pPr>
            <w:r w:rsidRPr="00187944">
              <w:t> D</w:t>
            </w:r>
          </w:p>
        </w:tc>
      </w:tr>
      <w:tr w:rsidR="00BE1633" w:rsidRPr="00187944" w:rsidTr="003C6F53">
        <w:trPr>
          <w:trHeight w:val="165"/>
          <w:jc w:val="center"/>
        </w:trPr>
        <w:tc>
          <w:tcPr>
            <w:tcW w:w="2305" w:type="dxa"/>
          </w:tcPr>
          <w:p w:rsidR="00BE1633" w:rsidRPr="00187944" w:rsidRDefault="00BE1633" w:rsidP="00704382">
            <w:pPr>
              <w:pStyle w:val="naisc"/>
              <w:spacing w:before="0" w:after="120"/>
            </w:pPr>
            <w:r w:rsidRPr="00E40C09">
              <w:t xml:space="preserve">Direktīvas 2011/70/Euratom </w:t>
            </w:r>
            <w:r>
              <w:t>2.pant</w:t>
            </w:r>
            <w:r w:rsidR="00704382">
              <w:t>a 1.punkta a)punkts</w:t>
            </w:r>
          </w:p>
        </w:tc>
        <w:tc>
          <w:tcPr>
            <w:tcW w:w="2679" w:type="dxa"/>
          </w:tcPr>
          <w:p w:rsidR="00BE1633" w:rsidRPr="00187944" w:rsidRDefault="00704382" w:rsidP="00DA5963">
            <w:pPr>
              <w:pStyle w:val="naisc"/>
              <w:spacing w:before="0" w:after="120"/>
            </w:pPr>
            <w:r>
              <w:t xml:space="preserve">Prasība nav jāpārņem, ievērojot direktīvas </w:t>
            </w:r>
            <w:r w:rsidRPr="00E40C09">
              <w:t xml:space="preserve">2011/70/Euratom </w:t>
            </w:r>
            <w:r>
              <w:t>15.panta 2.punktu</w:t>
            </w:r>
          </w:p>
        </w:tc>
        <w:tc>
          <w:tcPr>
            <w:tcW w:w="2110" w:type="dxa"/>
          </w:tcPr>
          <w:p w:rsidR="00BE1633" w:rsidRPr="00187944" w:rsidRDefault="00704382" w:rsidP="00DA5963">
            <w:pPr>
              <w:pStyle w:val="naisc"/>
              <w:spacing w:before="0" w:after="120"/>
            </w:pPr>
            <w:r>
              <w:t xml:space="preserve">Prasība nav jāpārņem, ievērojot direktīvas </w:t>
            </w:r>
            <w:r w:rsidRPr="00E40C09">
              <w:t xml:space="preserve">2011/70/Euratom </w:t>
            </w:r>
            <w:r>
              <w:t>15.panta 2.punktu</w:t>
            </w:r>
          </w:p>
        </w:tc>
        <w:tc>
          <w:tcPr>
            <w:tcW w:w="2027" w:type="dxa"/>
          </w:tcPr>
          <w:p w:rsidR="00BE1633" w:rsidRPr="00187944" w:rsidRDefault="00704382" w:rsidP="00944336">
            <w:pPr>
              <w:pStyle w:val="naisc"/>
              <w:spacing w:before="0" w:after="0"/>
            </w:pPr>
            <w:r>
              <w:t xml:space="preserve">Prasība nav jāpārņem, ievērojot direktīvas </w:t>
            </w:r>
            <w:r w:rsidRPr="00E40C09">
              <w:t xml:space="preserve">2011/70/Euratom </w:t>
            </w:r>
            <w:r>
              <w:t>15.panta 2.punktu</w:t>
            </w:r>
          </w:p>
        </w:tc>
      </w:tr>
      <w:tr w:rsidR="00704382" w:rsidRPr="00187944" w:rsidTr="003C6F53">
        <w:trPr>
          <w:trHeight w:val="165"/>
          <w:jc w:val="center"/>
        </w:trPr>
        <w:tc>
          <w:tcPr>
            <w:tcW w:w="2305" w:type="dxa"/>
          </w:tcPr>
          <w:p w:rsidR="00704382" w:rsidRPr="00E40C09" w:rsidRDefault="00704382" w:rsidP="00704382">
            <w:pPr>
              <w:pStyle w:val="naisc"/>
              <w:spacing w:before="0" w:after="120"/>
            </w:pPr>
            <w:r w:rsidRPr="00E40C09">
              <w:t xml:space="preserve">Direktīvas 2011/70/Euratom </w:t>
            </w:r>
            <w:r>
              <w:t>2.panta 1.punkta b)punkts</w:t>
            </w:r>
          </w:p>
        </w:tc>
        <w:tc>
          <w:tcPr>
            <w:tcW w:w="2679" w:type="dxa"/>
          </w:tcPr>
          <w:p w:rsidR="00704382" w:rsidRPr="00187944" w:rsidRDefault="00704382" w:rsidP="00DA5963">
            <w:pPr>
              <w:pStyle w:val="naisc"/>
              <w:spacing w:before="0" w:after="120"/>
            </w:pPr>
            <w:r>
              <w:t>Likums, MK noteikumi Nr.129</w:t>
            </w:r>
          </w:p>
        </w:tc>
        <w:tc>
          <w:tcPr>
            <w:tcW w:w="2110" w:type="dxa"/>
          </w:tcPr>
          <w:p w:rsidR="00704382" w:rsidRPr="00E40C09" w:rsidRDefault="00704382" w:rsidP="00A64977">
            <w:pPr>
              <w:jc w:val="center"/>
              <w:rPr>
                <w:sz w:val="24"/>
              </w:rPr>
            </w:pPr>
            <w:r>
              <w:rPr>
                <w:sz w:val="24"/>
              </w:rPr>
              <w:t>Ieviests pilnībā</w:t>
            </w:r>
          </w:p>
        </w:tc>
        <w:tc>
          <w:tcPr>
            <w:tcW w:w="2027" w:type="dxa"/>
          </w:tcPr>
          <w:p w:rsidR="00704382" w:rsidRPr="00310973" w:rsidRDefault="00704382" w:rsidP="00A64977">
            <w:pPr>
              <w:jc w:val="center"/>
              <w:rPr>
                <w:sz w:val="24"/>
              </w:rPr>
            </w:pPr>
            <w:r w:rsidRPr="00310973">
              <w:rPr>
                <w:sz w:val="24"/>
              </w:rPr>
              <w:t>Neparedz stingrākas prasības</w:t>
            </w:r>
          </w:p>
        </w:tc>
      </w:tr>
      <w:tr w:rsidR="006B0164" w:rsidRPr="00187944" w:rsidTr="003C6F53">
        <w:trPr>
          <w:trHeight w:val="165"/>
          <w:jc w:val="center"/>
        </w:trPr>
        <w:tc>
          <w:tcPr>
            <w:tcW w:w="2305" w:type="dxa"/>
          </w:tcPr>
          <w:p w:rsidR="006B0164" w:rsidRPr="00E40C09" w:rsidRDefault="006B0164" w:rsidP="00704382">
            <w:pPr>
              <w:pStyle w:val="naisc"/>
              <w:spacing w:before="0" w:after="120"/>
            </w:pPr>
            <w:r w:rsidRPr="00E40C09">
              <w:t xml:space="preserve">Direktīvas 2011/70/Euratom </w:t>
            </w:r>
            <w:r>
              <w:t>2.panta 2.punkta a)punkts</w:t>
            </w:r>
          </w:p>
        </w:tc>
        <w:tc>
          <w:tcPr>
            <w:tcW w:w="2679" w:type="dxa"/>
          </w:tcPr>
          <w:p w:rsidR="006B0164" w:rsidRPr="006B0164" w:rsidRDefault="006B0164" w:rsidP="006B0164">
            <w:pPr>
              <w:pStyle w:val="naisc"/>
              <w:spacing w:before="0" w:after="120"/>
            </w:pPr>
            <w:r w:rsidRPr="006B0164">
              <w:t>Projekta 3.punkts (MK noteikumu Nr.129 2.</w:t>
            </w:r>
            <w:r w:rsidRPr="006B0164">
              <w:rPr>
                <w:vertAlign w:val="superscript"/>
              </w:rPr>
              <w:t>1</w:t>
            </w:r>
            <w:r w:rsidRPr="006B0164">
              <w:t>punkts)</w:t>
            </w:r>
          </w:p>
        </w:tc>
        <w:tc>
          <w:tcPr>
            <w:tcW w:w="2110" w:type="dxa"/>
          </w:tcPr>
          <w:p w:rsidR="006B0164" w:rsidRPr="00E40C09" w:rsidRDefault="006B0164" w:rsidP="00052D09">
            <w:pPr>
              <w:jc w:val="center"/>
              <w:rPr>
                <w:sz w:val="24"/>
              </w:rPr>
            </w:pPr>
            <w:r>
              <w:rPr>
                <w:sz w:val="24"/>
              </w:rPr>
              <w:t>Ieviests pilnībā</w:t>
            </w:r>
          </w:p>
        </w:tc>
        <w:tc>
          <w:tcPr>
            <w:tcW w:w="2027" w:type="dxa"/>
          </w:tcPr>
          <w:p w:rsidR="006B0164" w:rsidRPr="00310973" w:rsidRDefault="006B0164" w:rsidP="00052D09">
            <w:pPr>
              <w:jc w:val="center"/>
              <w:rPr>
                <w:sz w:val="24"/>
              </w:rPr>
            </w:pPr>
            <w:r w:rsidRPr="00310973">
              <w:rPr>
                <w:sz w:val="24"/>
              </w:rPr>
              <w:t>Neparedz stingrākas prasības</w:t>
            </w:r>
          </w:p>
        </w:tc>
      </w:tr>
      <w:tr w:rsidR="006B0164" w:rsidRPr="00187944" w:rsidTr="003C6F53">
        <w:trPr>
          <w:trHeight w:val="165"/>
          <w:jc w:val="center"/>
        </w:trPr>
        <w:tc>
          <w:tcPr>
            <w:tcW w:w="2305" w:type="dxa"/>
          </w:tcPr>
          <w:p w:rsidR="006B0164" w:rsidRPr="00E40C09" w:rsidRDefault="006B0164" w:rsidP="00704382">
            <w:pPr>
              <w:pStyle w:val="naisc"/>
              <w:spacing w:before="0" w:after="120"/>
            </w:pPr>
            <w:r w:rsidRPr="00E40C09">
              <w:t xml:space="preserve">Direktīvas 2011/70/Euratom </w:t>
            </w:r>
            <w:r>
              <w:t>2.panta 2.punkta b)punkts</w:t>
            </w:r>
          </w:p>
        </w:tc>
        <w:tc>
          <w:tcPr>
            <w:tcW w:w="2679" w:type="dxa"/>
          </w:tcPr>
          <w:p w:rsidR="006B0164" w:rsidRPr="006B0164" w:rsidRDefault="006B0164" w:rsidP="006B0164">
            <w:pPr>
              <w:pStyle w:val="naisc"/>
              <w:spacing w:before="0" w:after="120"/>
            </w:pPr>
            <w:r w:rsidRPr="006B0164">
              <w:t xml:space="preserve">MK noteikumi Nr.129 </w:t>
            </w:r>
          </w:p>
        </w:tc>
        <w:tc>
          <w:tcPr>
            <w:tcW w:w="2110" w:type="dxa"/>
          </w:tcPr>
          <w:p w:rsidR="006B0164" w:rsidRPr="006B0164" w:rsidRDefault="006B0164" w:rsidP="00DA5963">
            <w:pPr>
              <w:pStyle w:val="naisc"/>
              <w:spacing w:before="0" w:after="120"/>
            </w:pPr>
            <w:r w:rsidRPr="006B0164">
              <w:t>Ieviests pilnībā</w:t>
            </w:r>
          </w:p>
        </w:tc>
        <w:tc>
          <w:tcPr>
            <w:tcW w:w="2027" w:type="dxa"/>
          </w:tcPr>
          <w:p w:rsidR="006B0164" w:rsidRPr="008C323F" w:rsidRDefault="006B0164" w:rsidP="00944336">
            <w:pPr>
              <w:pStyle w:val="naisc"/>
              <w:spacing w:before="0" w:after="0"/>
              <w:jc w:val="both"/>
            </w:pPr>
            <w:r w:rsidRPr="008C323F">
              <w:t>MK noteikumi Nr.129 ietver regulējumu gan darbībām ar radioaktīvajiem atkritumiem, gan rīcībai ar neizmantojamiem materiāliem un to izklied</w:t>
            </w:r>
            <w:r w:rsidR="008C323F" w:rsidRPr="008C323F">
              <w:t>e</w:t>
            </w:r>
            <w:r w:rsidRPr="008C323F">
              <w:t xml:space="preserve">i vidē (MK noteikumu Nr.129 </w:t>
            </w:r>
            <w:r w:rsidR="00F927DC">
              <w:t>V.</w:t>
            </w:r>
            <w:r w:rsidR="00944336">
              <w:t xml:space="preserve"> </w:t>
            </w:r>
            <w:r w:rsidR="008C323F" w:rsidRPr="008C323F">
              <w:t>nodaļa)</w:t>
            </w:r>
          </w:p>
        </w:tc>
      </w:tr>
      <w:tr w:rsidR="008C323F" w:rsidRPr="00187944" w:rsidTr="003C6F53">
        <w:trPr>
          <w:trHeight w:val="165"/>
          <w:jc w:val="center"/>
        </w:trPr>
        <w:tc>
          <w:tcPr>
            <w:tcW w:w="2305" w:type="dxa"/>
          </w:tcPr>
          <w:p w:rsidR="008C323F" w:rsidRPr="00E40C09" w:rsidRDefault="008C323F" w:rsidP="00704382">
            <w:pPr>
              <w:pStyle w:val="naisc"/>
              <w:spacing w:before="0" w:after="120"/>
            </w:pPr>
            <w:r w:rsidRPr="00E40C09">
              <w:t xml:space="preserve">Direktīvas 2011/70/Euratom </w:t>
            </w:r>
            <w:r>
              <w:t>2.panta 3.punkta a)punkts</w:t>
            </w:r>
          </w:p>
        </w:tc>
        <w:tc>
          <w:tcPr>
            <w:tcW w:w="2679" w:type="dxa"/>
          </w:tcPr>
          <w:p w:rsidR="008C323F" w:rsidRPr="00187944" w:rsidRDefault="008C323F" w:rsidP="00AA79C5">
            <w:pPr>
              <w:pStyle w:val="naisc"/>
              <w:spacing w:before="0" w:after="120"/>
            </w:pPr>
            <w:r>
              <w:t>Likumprojekt</w:t>
            </w:r>
            <w:r w:rsidR="007D30DA">
              <w:t>a</w:t>
            </w:r>
            <w:r>
              <w:rPr>
                <w:rStyle w:val="FootnoteReference"/>
              </w:rPr>
              <w:footnoteReference w:id="1"/>
            </w:r>
            <w:r>
              <w:t xml:space="preserve"> </w:t>
            </w:r>
            <w:r w:rsidR="007D30DA">
              <w:t>19.pants</w:t>
            </w:r>
          </w:p>
        </w:tc>
        <w:tc>
          <w:tcPr>
            <w:tcW w:w="2110" w:type="dxa"/>
          </w:tcPr>
          <w:p w:rsidR="008C323F" w:rsidRPr="00E40C09" w:rsidRDefault="008C323F" w:rsidP="00052D09">
            <w:pPr>
              <w:jc w:val="center"/>
              <w:rPr>
                <w:sz w:val="24"/>
              </w:rPr>
            </w:pPr>
            <w:r>
              <w:rPr>
                <w:sz w:val="24"/>
              </w:rPr>
              <w:t>Ieviests pilnībā</w:t>
            </w:r>
          </w:p>
        </w:tc>
        <w:tc>
          <w:tcPr>
            <w:tcW w:w="2027" w:type="dxa"/>
          </w:tcPr>
          <w:p w:rsidR="008C323F" w:rsidRPr="00310973" w:rsidRDefault="008C323F" w:rsidP="00052D09">
            <w:pPr>
              <w:jc w:val="center"/>
              <w:rPr>
                <w:sz w:val="24"/>
              </w:rPr>
            </w:pPr>
            <w:r w:rsidRPr="00310973">
              <w:rPr>
                <w:sz w:val="24"/>
              </w:rPr>
              <w:t>Neparedz stingrākas prasības</w:t>
            </w:r>
          </w:p>
        </w:tc>
      </w:tr>
      <w:tr w:rsidR="008C323F" w:rsidRPr="00187944" w:rsidTr="003C6F53">
        <w:trPr>
          <w:trHeight w:val="165"/>
          <w:jc w:val="center"/>
        </w:trPr>
        <w:tc>
          <w:tcPr>
            <w:tcW w:w="2305" w:type="dxa"/>
          </w:tcPr>
          <w:p w:rsidR="008C323F" w:rsidRPr="00E40C09" w:rsidRDefault="008C323F" w:rsidP="00704382">
            <w:pPr>
              <w:pStyle w:val="naisc"/>
              <w:spacing w:before="0" w:after="120"/>
            </w:pPr>
            <w:r w:rsidRPr="00E40C09">
              <w:t xml:space="preserve">Direktīvas 2011/70/Euratom </w:t>
            </w:r>
            <w:r>
              <w:t>2.panta 3.punkta b)punkts</w:t>
            </w:r>
          </w:p>
        </w:tc>
        <w:tc>
          <w:tcPr>
            <w:tcW w:w="2679" w:type="dxa"/>
          </w:tcPr>
          <w:p w:rsidR="008C323F" w:rsidRPr="007C30D3" w:rsidRDefault="008C323F" w:rsidP="007C30D3">
            <w:pPr>
              <w:pStyle w:val="naisc"/>
              <w:spacing w:before="0" w:after="120"/>
              <w:jc w:val="both"/>
            </w:pPr>
            <w:r w:rsidRPr="007C30D3">
              <w:t xml:space="preserve">Nav nepieciešams </w:t>
            </w:r>
            <w:r>
              <w:t>ieviest</w:t>
            </w:r>
            <w:r w:rsidRPr="007C30D3">
              <w:t xml:space="preserve">, jo atbilstoši Direktīvas 2011/70/Euratom 15.panta 2.punkta prasībām Latvijas tiesību aktos </w:t>
            </w:r>
            <w:r w:rsidRPr="007C30D3">
              <w:rPr>
                <w:u w:val="single"/>
              </w:rPr>
              <w:t>nav jāpārņem Direktīvas 2011/70/Euratom noteikumi par lietoto kodoldegvielu</w:t>
            </w:r>
            <w:r w:rsidRPr="007C30D3">
              <w:t>, kamēr nav pieņemts lēmums izvērst jebkādu darbību saistībā ar kodoldegvielu.</w:t>
            </w:r>
          </w:p>
        </w:tc>
        <w:tc>
          <w:tcPr>
            <w:tcW w:w="2110" w:type="dxa"/>
          </w:tcPr>
          <w:p w:rsidR="008C323F" w:rsidRPr="00187944" w:rsidRDefault="008C323F" w:rsidP="003C6F53">
            <w:pPr>
              <w:pStyle w:val="naisc"/>
              <w:spacing w:before="0" w:after="120"/>
              <w:jc w:val="both"/>
            </w:pPr>
            <w:r>
              <w:t>Nav nepieciešams ieviest, jo atbilstoši D</w:t>
            </w:r>
            <w:r w:rsidRPr="00AA7E61">
              <w:t xml:space="preserve">irektīvas 2011/70/Euratom 15.panta 2.punkta prasībām Latvijas tiesību aktos </w:t>
            </w:r>
            <w:r>
              <w:rPr>
                <w:u w:val="single"/>
              </w:rPr>
              <w:t>nav jāpārņem D</w:t>
            </w:r>
            <w:r w:rsidRPr="00AA7E61">
              <w:rPr>
                <w:u w:val="single"/>
              </w:rPr>
              <w:t>irektīvas 2011/70/Euratom noteikumi par lietoto kodoldegvielu</w:t>
            </w:r>
            <w:r w:rsidRPr="00AA7E61">
              <w:t>, kamēr nav pieņemts lēmums izvērst jebkādu darbību saistībā ar kodoldegvielu.</w:t>
            </w:r>
          </w:p>
        </w:tc>
        <w:tc>
          <w:tcPr>
            <w:tcW w:w="2027" w:type="dxa"/>
          </w:tcPr>
          <w:p w:rsidR="008C323F" w:rsidRPr="00187944" w:rsidRDefault="008C323F" w:rsidP="00944336">
            <w:pPr>
              <w:pStyle w:val="naisc"/>
              <w:spacing w:before="0" w:after="0"/>
              <w:jc w:val="both"/>
            </w:pPr>
            <w:r>
              <w:t>Nav nepieciešams ieviest, jo atbilstoši D</w:t>
            </w:r>
            <w:r w:rsidRPr="00AA7E61">
              <w:t xml:space="preserve">irektīvas 2011/70/Euratom 15.panta 2.punkta prasībām Latvijas tiesību aktos </w:t>
            </w:r>
            <w:r>
              <w:rPr>
                <w:u w:val="single"/>
              </w:rPr>
              <w:t>nav jāpārņem D</w:t>
            </w:r>
            <w:r w:rsidRPr="00AA7E61">
              <w:rPr>
                <w:u w:val="single"/>
              </w:rPr>
              <w:t>irektīvas 2011/70/Euratom noteikumi par lietoto kodoldegvielu</w:t>
            </w:r>
            <w:r w:rsidRPr="00AA7E61">
              <w:t>, kamēr nav pieņemts lēmums izvērst jebkādu darbību saistībā ar kodoldegvielu.</w:t>
            </w:r>
          </w:p>
        </w:tc>
      </w:tr>
      <w:tr w:rsidR="008C323F" w:rsidRPr="00187944" w:rsidTr="003C6F53">
        <w:trPr>
          <w:trHeight w:val="165"/>
          <w:jc w:val="center"/>
        </w:trPr>
        <w:tc>
          <w:tcPr>
            <w:tcW w:w="2305" w:type="dxa"/>
          </w:tcPr>
          <w:p w:rsidR="008C323F" w:rsidRPr="00E40C09" w:rsidRDefault="008C323F" w:rsidP="00704382">
            <w:pPr>
              <w:pStyle w:val="naisc"/>
              <w:spacing w:before="0" w:after="120"/>
            </w:pPr>
            <w:r w:rsidRPr="00E40C09">
              <w:t xml:space="preserve">Direktīvas 2011/70/Euratom </w:t>
            </w:r>
            <w:r>
              <w:t>2.panta 3.punkta c)punkts</w:t>
            </w:r>
          </w:p>
        </w:tc>
        <w:tc>
          <w:tcPr>
            <w:tcW w:w="2679" w:type="dxa"/>
          </w:tcPr>
          <w:p w:rsidR="008C323F" w:rsidRPr="007C30D3" w:rsidRDefault="008C323F" w:rsidP="007C30D3">
            <w:pPr>
              <w:pStyle w:val="naisc"/>
              <w:spacing w:before="0" w:after="120"/>
              <w:jc w:val="both"/>
            </w:pPr>
            <w:r w:rsidRPr="007C30D3">
              <w:t>Norma nav jā</w:t>
            </w:r>
            <w:r>
              <w:t>ievieš</w:t>
            </w:r>
            <w:r w:rsidRPr="007C30D3">
              <w:t xml:space="preserve">m, jo attiecas uz </w:t>
            </w:r>
            <w:r w:rsidRPr="007C30D3">
              <w:rPr>
                <w:color w:val="000000"/>
              </w:rPr>
              <w:t>Krško kodolspēkstacijas atkritumiem un lietoto kodoldegvielu</w:t>
            </w:r>
            <w:r>
              <w:rPr>
                <w:color w:val="000000"/>
              </w:rPr>
              <w:t xml:space="preserve"> (Slovēnija un Horvātija)</w:t>
            </w:r>
          </w:p>
        </w:tc>
        <w:tc>
          <w:tcPr>
            <w:tcW w:w="2110" w:type="dxa"/>
          </w:tcPr>
          <w:p w:rsidR="008C323F" w:rsidRPr="00187944" w:rsidRDefault="008C323F" w:rsidP="007C30D3">
            <w:pPr>
              <w:pStyle w:val="naisc"/>
              <w:spacing w:before="0" w:after="120"/>
              <w:jc w:val="both"/>
            </w:pPr>
            <w:r w:rsidRPr="007C30D3">
              <w:t>Norma nav jā</w:t>
            </w:r>
            <w:r>
              <w:t>ievieš</w:t>
            </w:r>
            <w:r w:rsidRPr="007C30D3">
              <w:t xml:space="preserve">, jo attiecas uz </w:t>
            </w:r>
            <w:r w:rsidRPr="007C30D3">
              <w:rPr>
                <w:color w:val="000000"/>
              </w:rPr>
              <w:t>Krško kodolspēkstacijas atkritumiem un lietoto kodoldegvielu</w:t>
            </w:r>
            <w:r>
              <w:rPr>
                <w:color w:val="000000"/>
              </w:rPr>
              <w:t xml:space="preserve"> (Slovēnija un Horvātija)</w:t>
            </w:r>
          </w:p>
        </w:tc>
        <w:tc>
          <w:tcPr>
            <w:tcW w:w="2027" w:type="dxa"/>
          </w:tcPr>
          <w:p w:rsidR="008C323F" w:rsidRPr="00187944" w:rsidRDefault="008C323F" w:rsidP="007C30D3">
            <w:pPr>
              <w:pStyle w:val="naisc"/>
              <w:spacing w:before="0" w:after="120"/>
              <w:jc w:val="both"/>
            </w:pPr>
            <w:r w:rsidRPr="007C30D3">
              <w:t>Norma nav jā</w:t>
            </w:r>
            <w:r>
              <w:t>ievieš</w:t>
            </w:r>
            <w:r w:rsidRPr="007C30D3">
              <w:t xml:space="preserve">, jo attiecas uz </w:t>
            </w:r>
            <w:r w:rsidRPr="007C30D3">
              <w:rPr>
                <w:color w:val="000000"/>
              </w:rPr>
              <w:t>Krško kodolspēkstacijas atkritumiem un lietoto kodoldegvielu</w:t>
            </w:r>
            <w:r>
              <w:rPr>
                <w:color w:val="000000"/>
              </w:rPr>
              <w:t xml:space="preserve"> (Slovēnija un Horvātija)</w:t>
            </w:r>
          </w:p>
        </w:tc>
      </w:tr>
      <w:tr w:rsidR="008C323F" w:rsidRPr="00187944" w:rsidTr="003C6F53">
        <w:trPr>
          <w:trHeight w:val="165"/>
          <w:jc w:val="center"/>
        </w:trPr>
        <w:tc>
          <w:tcPr>
            <w:tcW w:w="2305" w:type="dxa"/>
          </w:tcPr>
          <w:p w:rsidR="008C323F" w:rsidRPr="00E40C09" w:rsidRDefault="008C323F" w:rsidP="007C30D3">
            <w:pPr>
              <w:pStyle w:val="naisc"/>
              <w:spacing w:before="0" w:after="120"/>
            </w:pPr>
            <w:r w:rsidRPr="00E40C09">
              <w:t xml:space="preserve">Direktīvas 2011/70/Euratom </w:t>
            </w:r>
            <w:r>
              <w:t>2.panta 4.punkta a)punkts un b)punkts</w:t>
            </w:r>
          </w:p>
        </w:tc>
        <w:tc>
          <w:tcPr>
            <w:tcW w:w="2679" w:type="dxa"/>
          </w:tcPr>
          <w:p w:rsidR="008C323F" w:rsidRPr="00187944" w:rsidRDefault="008C323F" w:rsidP="007C30D3">
            <w:pPr>
              <w:pStyle w:val="naisc"/>
              <w:spacing w:before="0" w:after="120"/>
            </w:pPr>
            <w:r>
              <w:t>Norma nav jāievieš</w:t>
            </w:r>
          </w:p>
        </w:tc>
        <w:tc>
          <w:tcPr>
            <w:tcW w:w="2110" w:type="dxa"/>
          </w:tcPr>
          <w:p w:rsidR="008C323F" w:rsidRPr="00187944" w:rsidRDefault="008C323F" w:rsidP="007C30D3">
            <w:pPr>
              <w:pStyle w:val="naisc"/>
              <w:spacing w:before="0" w:after="120"/>
            </w:pPr>
            <w:r>
              <w:t>Norma nav jāievieš</w:t>
            </w:r>
          </w:p>
        </w:tc>
        <w:tc>
          <w:tcPr>
            <w:tcW w:w="2027" w:type="dxa"/>
          </w:tcPr>
          <w:p w:rsidR="008C323F" w:rsidRPr="00187944" w:rsidRDefault="008C323F" w:rsidP="007C30D3">
            <w:pPr>
              <w:pStyle w:val="naisc"/>
              <w:spacing w:before="0" w:after="120"/>
            </w:pPr>
            <w:r>
              <w:t>Norma nav jāievieš</w:t>
            </w:r>
          </w:p>
        </w:tc>
      </w:tr>
      <w:tr w:rsidR="008C323F" w:rsidRPr="00E40C09" w:rsidTr="003C6F53">
        <w:trPr>
          <w:trHeight w:val="165"/>
          <w:jc w:val="center"/>
        </w:trPr>
        <w:tc>
          <w:tcPr>
            <w:tcW w:w="2305" w:type="dxa"/>
          </w:tcPr>
          <w:p w:rsidR="008C323F" w:rsidRPr="00E40C09" w:rsidRDefault="008C323F" w:rsidP="00DA5963">
            <w:pPr>
              <w:spacing w:after="120"/>
              <w:jc w:val="center"/>
              <w:rPr>
                <w:sz w:val="24"/>
              </w:rPr>
            </w:pPr>
            <w:r w:rsidRPr="00E40C09">
              <w:rPr>
                <w:sz w:val="24"/>
              </w:rPr>
              <w:t xml:space="preserve">Direktīvas 2011/70/Euratom </w:t>
            </w:r>
            <w:r>
              <w:rPr>
                <w:sz w:val="24"/>
              </w:rPr>
              <w:t>3.panta 1.punkts</w:t>
            </w:r>
          </w:p>
        </w:tc>
        <w:tc>
          <w:tcPr>
            <w:tcW w:w="2679" w:type="dxa"/>
          </w:tcPr>
          <w:p w:rsidR="008C323F" w:rsidRPr="00E40C09" w:rsidRDefault="008C323F" w:rsidP="00E40C09">
            <w:pPr>
              <w:jc w:val="center"/>
              <w:rPr>
                <w:sz w:val="24"/>
              </w:rPr>
            </w:pPr>
            <w:r>
              <w:rPr>
                <w:sz w:val="24"/>
              </w:rPr>
              <w:t>MK noteikumi Nr.129</w:t>
            </w:r>
          </w:p>
        </w:tc>
        <w:tc>
          <w:tcPr>
            <w:tcW w:w="2110" w:type="dxa"/>
          </w:tcPr>
          <w:p w:rsidR="008C323F" w:rsidRPr="00E40C09" w:rsidRDefault="008C323F" w:rsidP="00DA5963">
            <w:pPr>
              <w:jc w:val="center"/>
              <w:rPr>
                <w:sz w:val="24"/>
              </w:rPr>
            </w:pPr>
            <w:r>
              <w:rPr>
                <w:sz w:val="24"/>
              </w:rPr>
              <w:t>Ieviests pilnībā</w:t>
            </w:r>
          </w:p>
        </w:tc>
        <w:tc>
          <w:tcPr>
            <w:tcW w:w="2027" w:type="dxa"/>
          </w:tcPr>
          <w:p w:rsidR="008C323F" w:rsidRPr="00310973" w:rsidRDefault="008C323F" w:rsidP="00310973">
            <w:pPr>
              <w:jc w:val="center"/>
              <w:rPr>
                <w:sz w:val="24"/>
              </w:rPr>
            </w:pPr>
            <w:r w:rsidRPr="00310973">
              <w:rPr>
                <w:sz w:val="24"/>
              </w:rPr>
              <w:t>Neparedz stingrākas prasības</w:t>
            </w:r>
          </w:p>
        </w:tc>
      </w:tr>
      <w:tr w:rsidR="008C323F" w:rsidRPr="00187944" w:rsidTr="003C6F53">
        <w:trPr>
          <w:trHeight w:val="165"/>
          <w:jc w:val="center"/>
        </w:trPr>
        <w:tc>
          <w:tcPr>
            <w:tcW w:w="2305" w:type="dxa"/>
          </w:tcPr>
          <w:p w:rsidR="008C323F" w:rsidRDefault="008C323F" w:rsidP="00E40C09">
            <w:pPr>
              <w:jc w:val="center"/>
            </w:pPr>
            <w:r w:rsidRPr="00102CE2">
              <w:rPr>
                <w:sz w:val="24"/>
              </w:rPr>
              <w:t>Direktīvas 2011/70/Euratom</w:t>
            </w:r>
            <w:r>
              <w:rPr>
                <w:sz w:val="24"/>
              </w:rPr>
              <w:t xml:space="preserve"> 3.panta 2.punkts</w:t>
            </w:r>
          </w:p>
        </w:tc>
        <w:tc>
          <w:tcPr>
            <w:tcW w:w="2679" w:type="dxa"/>
          </w:tcPr>
          <w:p w:rsidR="008C323F" w:rsidRPr="00187944" w:rsidRDefault="008C323F" w:rsidP="00DA5963">
            <w:pPr>
              <w:jc w:val="center"/>
              <w:rPr>
                <w:sz w:val="24"/>
              </w:rPr>
            </w:pPr>
            <w:r>
              <w:rPr>
                <w:sz w:val="24"/>
              </w:rPr>
              <w:t>Likums</w:t>
            </w:r>
          </w:p>
        </w:tc>
        <w:tc>
          <w:tcPr>
            <w:tcW w:w="2110" w:type="dxa"/>
          </w:tcPr>
          <w:p w:rsidR="008C323F" w:rsidRDefault="008C323F" w:rsidP="0000546D">
            <w:pPr>
              <w:jc w:val="center"/>
            </w:pPr>
            <w:r w:rsidRPr="00BF5A40">
              <w:rPr>
                <w:sz w:val="24"/>
              </w:rPr>
              <w:t>Ieviests pilnībā</w:t>
            </w:r>
          </w:p>
        </w:tc>
        <w:tc>
          <w:tcPr>
            <w:tcW w:w="2027" w:type="dxa"/>
          </w:tcPr>
          <w:p w:rsidR="008C323F" w:rsidRPr="00310973" w:rsidRDefault="008C323F" w:rsidP="00310973">
            <w:pPr>
              <w:jc w:val="center"/>
              <w:rPr>
                <w:sz w:val="24"/>
              </w:rPr>
            </w:pPr>
            <w:r w:rsidRPr="00310973">
              <w:rPr>
                <w:sz w:val="24"/>
              </w:rPr>
              <w:t>Neparedz stingrākas prasības</w:t>
            </w:r>
          </w:p>
        </w:tc>
      </w:tr>
      <w:tr w:rsidR="008C323F" w:rsidRPr="00187944" w:rsidTr="003C6F53">
        <w:trPr>
          <w:trHeight w:val="165"/>
          <w:jc w:val="center"/>
        </w:trPr>
        <w:tc>
          <w:tcPr>
            <w:tcW w:w="2305" w:type="dxa"/>
          </w:tcPr>
          <w:p w:rsidR="008C323F" w:rsidRDefault="008C323F" w:rsidP="00E40C09">
            <w:pPr>
              <w:jc w:val="center"/>
            </w:pPr>
            <w:r w:rsidRPr="00102CE2">
              <w:rPr>
                <w:sz w:val="24"/>
              </w:rPr>
              <w:t>Direktīvas 2011/70/Euratom</w:t>
            </w:r>
            <w:r>
              <w:rPr>
                <w:sz w:val="24"/>
              </w:rPr>
              <w:t xml:space="preserve"> 3.panta 3.punkts</w:t>
            </w:r>
          </w:p>
        </w:tc>
        <w:tc>
          <w:tcPr>
            <w:tcW w:w="2679" w:type="dxa"/>
          </w:tcPr>
          <w:p w:rsidR="008C323F" w:rsidRPr="00187944" w:rsidRDefault="008C323F" w:rsidP="00DA5963">
            <w:pPr>
              <w:jc w:val="center"/>
              <w:rPr>
                <w:sz w:val="24"/>
              </w:rPr>
            </w:pPr>
            <w:r>
              <w:rPr>
                <w:sz w:val="24"/>
              </w:rPr>
              <w:t>Likumprojekta</w:t>
            </w:r>
            <w:r>
              <w:rPr>
                <w:rStyle w:val="FootnoteReference"/>
                <w:sz w:val="24"/>
              </w:rPr>
              <w:footnoteReference w:id="2"/>
            </w:r>
            <w:r>
              <w:rPr>
                <w:sz w:val="24"/>
              </w:rPr>
              <w:t xml:space="preserve"> 1.pants (likuma 1.panta 1</w:t>
            </w:r>
            <w:r>
              <w:rPr>
                <w:sz w:val="24"/>
                <w:vertAlign w:val="superscript"/>
              </w:rPr>
              <w:t>1</w:t>
            </w:r>
            <w:r>
              <w:rPr>
                <w:sz w:val="24"/>
              </w:rPr>
              <w:t>.punkts)</w:t>
            </w:r>
          </w:p>
        </w:tc>
        <w:tc>
          <w:tcPr>
            <w:tcW w:w="2110" w:type="dxa"/>
          </w:tcPr>
          <w:p w:rsidR="008C323F" w:rsidRDefault="008C323F" w:rsidP="0000546D">
            <w:pPr>
              <w:jc w:val="center"/>
            </w:pPr>
            <w:r w:rsidRPr="00C42AF4">
              <w:rPr>
                <w:sz w:val="24"/>
              </w:rPr>
              <w:t>Ieviests pilnībā</w:t>
            </w:r>
          </w:p>
        </w:tc>
        <w:tc>
          <w:tcPr>
            <w:tcW w:w="2027" w:type="dxa"/>
          </w:tcPr>
          <w:p w:rsidR="008C323F" w:rsidRPr="00310973" w:rsidRDefault="008C323F" w:rsidP="00310973">
            <w:pPr>
              <w:jc w:val="center"/>
              <w:rPr>
                <w:sz w:val="24"/>
              </w:rPr>
            </w:pPr>
            <w:r w:rsidRPr="00310973">
              <w:rPr>
                <w:sz w:val="24"/>
              </w:rPr>
              <w:t>Neparedz stingrākas prasības</w:t>
            </w:r>
          </w:p>
        </w:tc>
      </w:tr>
      <w:tr w:rsidR="008C323F" w:rsidRPr="00187944" w:rsidTr="003C6F53">
        <w:trPr>
          <w:trHeight w:val="165"/>
          <w:jc w:val="center"/>
        </w:trPr>
        <w:tc>
          <w:tcPr>
            <w:tcW w:w="2305" w:type="dxa"/>
          </w:tcPr>
          <w:p w:rsidR="008C323F" w:rsidRDefault="008C323F" w:rsidP="00E40C09">
            <w:pPr>
              <w:jc w:val="center"/>
            </w:pPr>
            <w:r w:rsidRPr="00102CE2">
              <w:rPr>
                <w:sz w:val="24"/>
              </w:rPr>
              <w:t>Direktīvas 2011/70/Euratom</w:t>
            </w:r>
            <w:r>
              <w:rPr>
                <w:sz w:val="24"/>
              </w:rPr>
              <w:t xml:space="preserve"> 3.panta 4.punkts</w:t>
            </w:r>
          </w:p>
        </w:tc>
        <w:tc>
          <w:tcPr>
            <w:tcW w:w="2679" w:type="dxa"/>
          </w:tcPr>
          <w:p w:rsidR="008C323F" w:rsidRPr="00187944" w:rsidRDefault="008C323F" w:rsidP="00E40C09">
            <w:pPr>
              <w:jc w:val="center"/>
              <w:rPr>
                <w:sz w:val="24"/>
              </w:rPr>
            </w:pPr>
            <w:r>
              <w:rPr>
                <w:sz w:val="24"/>
              </w:rPr>
              <w:t>Likumprojekta 1.pants (likuma 1.panta 9</w:t>
            </w:r>
            <w:r>
              <w:rPr>
                <w:sz w:val="24"/>
                <w:vertAlign w:val="superscript"/>
              </w:rPr>
              <w:t>1</w:t>
            </w:r>
            <w:r>
              <w:rPr>
                <w:sz w:val="24"/>
              </w:rPr>
              <w:t>.punkts)</w:t>
            </w:r>
          </w:p>
        </w:tc>
        <w:tc>
          <w:tcPr>
            <w:tcW w:w="2110" w:type="dxa"/>
          </w:tcPr>
          <w:p w:rsidR="008C323F" w:rsidRDefault="008C323F" w:rsidP="0000546D">
            <w:pPr>
              <w:jc w:val="center"/>
            </w:pPr>
            <w:r w:rsidRPr="00BF5A40">
              <w:rPr>
                <w:sz w:val="24"/>
              </w:rPr>
              <w:t>Ieviests pilnībā</w:t>
            </w:r>
          </w:p>
        </w:tc>
        <w:tc>
          <w:tcPr>
            <w:tcW w:w="2027" w:type="dxa"/>
          </w:tcPr>
          <w:p w:rsidR="008C323F" w:rsidRPr="00310973" w:rsidRDefault="008C323F" w:rsidP="00310973">
            <w:pPr>
              <w:jc w:val="center"/>
              <w:rPr>
                <w:sz w:val="24"/>
              </w:rPr>
            </w:pPr>
            <w:r w:rsidRPr="00310973">
              <w:rPr>
                <w:sz w:val="24"/>
              </w:rPr>
              <w:t>Neparedz stingrākas prasības</w:t>
            </w:r>
          </w:p>
        </w:tc>
      </w:tr>
      <w:tr w:rsidR="008C323F" w:rsidRPr="00187944" w:rsidTr="003C6F53">
        <w:trPr>
          <w:trHeight w:val="165"/>
          <w:jc w:val="center"/>
        </w:trPr>
        <w:tc>
          <w:tcPr>
            <w:tcW w:w="2305" w:type="dxa"/>
          </w:tcPr>
          <w:p w:rsidR="008C323F" w:rsidRDefault="008C323F" w:rsidP="00E40C09">
            <w:pPr>
              <w:jc w:val="center"/>
            </w:pPr>
            <w:r w:rsidRPr="004B360F">
              <w:rPr>
                <w:sz w:val="24"/>
              </w:rPr>
              <w:t>Direktīvas 2011/70/Euratom</w:t>
            </w:r>
            <w:r>
              <w:rPr>
                <w:sz w:val="24"/>
              </w:rPr>
              <w:t xml:space="preserve"> </w:t>
            </w:r>
            <w:r w:rsidRPr="00C22DED">
              <w:rPr>
                <w:sz w:val="24"/>
              </w:rPr>
              <w:t>3.panta 5.punkts</w:t>
            </w:r>
          </w:p>
        </w:tc>
        <w:tc>
          <w:tcPr>
            <w:tcW w:w="2679" w:type="dxa"/>
          </w:tcPr>
          <w:p w:rsidR="008C323F" w:rsidRDefault="008C323F" w:rsidP="00C22DED">
            <w:pPr>
              <w:jc w:val="center"/>
              <w:rPr>
                <w:sz w:val="24"/>
              </w:rPr>
            </w:pPr>
            <w:r>
              <w:rPr>
                <w:sz w:val="24"/>
              </w:rPr>
              <w:t>Likumprojekta 8.pants (likuma 11.panta pirmā un 4.daļa)</w:t>
            </w:r>
          </w:p>
          <w:p w:rsidR="008C323F" w:rsidRDefault="008C323F" w:rsidP="00E40C09">
            <w:pPr>
              <w:jc w:val="center"/>
              <w:rPr>
                <w:sz w:val="24"/>
              </w:rPr>
            </w:pPr>
          </w:p>
        </w:tc>
        <w:tc>
          <w:tcPr>
            <w:tcW w:w="2110" w:type="dxa"/>
          </w:tcPr>
          <w:p w:rsidR="008C323F" w:rsidRDefault="008C323F" w:rsidP="005E6AA6">
            <w:pPr>
              <w:jc w:val="center"/>
              <w:rPr>
                <w:sz w:val="24"/>
              </w:rPr>
            </w:pPr>
            <w:r>
              <w:rPr>
                <w:sz w:val="24"/>
              </w:rPr>
              <w:t>Daļēji ieviests</w:t>
            </w:r>
          </w:p>
          <w:p w:rsidR="008C323F" w:rsidRDefault="008C323F" w:rsidP="005E6AA6">
            <w:pPr>
              <w:jc w:val="both"/>
              <w:rPr>
                <w:sz w:val="24"/>
              </w:rPr>
            </w:pPr>
            <w:r>
              <w:rPr>
                <w:sz w:val="24"/>
              </w:rPr>
              <w:t>Likums un MK noteikumi Nr.723 nosaka licencēšanas sistēmu. Ievērojot, ka plānots mainīt licencēšanas sistēmu, tad jaunajai sistēmai pilnībā licencēšanas sistēmas normas tiks pārņemta pēc jaunu MK noteikumu izstrādes.</w:t>
            </w:r>
          </w:p>
          <w:p w:rsidR="008C323F" w:rsidRDefault="008C323F" w:rsidP="005E6AA6">
            <w:pPr>
              <w:jc w:val="both"/>
            </w:pPr>
            <w:r>
              <w:rPr>
                <w:sz w:val="24"/>
              </w:rPr>
              <w:t>Attiecībā uz pašreizējo licencēšanas sistēmu norma ir ieviesta pilnībā.</w:t>
            </w:r>
          </w:p>
        </w:tc>
        <w:tc>
          <w:tcPr>
            <w:tcW w:w="2027" w:type="dxa"/>
          </w:tcPr>
          <w:p w:rsidR="008C323F" w:rsidRPr="00310973" w:rsidRDefault="008C323F" w:rsidP="00310973">
            <w:pPr>
              <w:jc w:val="center"/>
              <w:rPr>
                <w:sz w:val="24"/>
              </w:rPr>
            </w:pPr>
            <w:r w:rsidRPr="00310973">
              <w:rPr>
                <w:sz w:val="24"/>
              </w:rPr>
              <w:t>Neparedz stingrākas prasības</w:t>
            </w:r>
          </w:p>
        </w:tc>
      </w:tr>
      <w:tr w:rsidR="008C323F" w:rsidRPr="00187944" w:rsidTr="003C6F53">
        <w:trPr>
          <w:trHeight w:val="165"/>
          <w:jc w:val="center"/>
        </w:trPr>
        <w:tc>
          <w:tcPr>
            <w:tcW w:w="2305" w:type="dxa"/>
          </w:tcPr>
          <w:p w:rsidR="008C323F" w:rsidRDefault="008C323F" w:rsidP="00E40C09">
            <w:pPr>
              <w:jc w:val="center"/>
            </w:pPr>
            <w:r w:rsidRPr="004B360F">
              <w:rPr>
                <w:sz w:val="24"/>
              </w:rPr>
              <w:t>Direktīvas 2011/70/Euratom</w:t>
            </w:r>
            <w:r>
              <w:rPr>
                <w:sz w:val="24"/>
              </w:rPr>
              <w:t xml:space="preserve"> 3.panta 6.punkts</w:t>
            </w:r>
          </w:p>
        </w:tc>
        <w:tc>
          <w:tcPr>
            <w:tcW w:w="2679" w:type="dxa"/>
          </w:tcPr>
          <w:p w:rsidR="008C323F" w:rsidRDefault="008C323F" w:rsidP="00E40C09">
            <w:pPr>
              <w:jc w:val="center"/>
              <w:rPr>
                <w:sz w:val="24"/>
              </w:rPr>
            </w:pPr>
            <w:r>
              <w:rPr>
                <w:sz w:val="24"/>
              </w:rPr>
              <w:t>Likumprojekta 1.pants (likuma 1.panta 6.punkts)</w:t>
            </w:r>
          </w:p>
        </w:tc>
        <w:tc>
          <w:tcPr>
            <w:tcW w:w="2110" w:type="dxa"/>
          </w:tcPr>
          <w:p w:rsidR="008C323F" w:rsidRDefault="008C323F" w:rsidP="0000546D">
            <w:pPr>
              <w:jc w:val="center"/>
            </w:pPr>
            <w:r w:rsidRPr="00BF5A40">
              <w:rPr>
                <w:sz w:val="24"/>
              </w:rPr>
              <w:t>Ieviests pilnībā</w:t>
            </w:r>
          </w:p>
        </w:tc>
        <w:tc>
          <w:tcPr>
            <w:tcW w:w="2027" w:type="dxa"/>
          </w:tcPr>
          <w:p w:rsidR="008C323F" w:rsidRPr="00310973" w:rsidRDefault="008C323F" w:rsidP="00310973">
            <w:pPr>
              <w:jc w:val="center"/>
              <w:rPr>
                <w:sz w:val="24"/>
              </w:rPr>
            </w:pPr>
            <w:r w:rsidRPr="00310973">
              <w:rPr>
                <w:sz w:val="24"/>
              </w:rPr>
              <w:t>Neparedz stingrākas prasības</w:t>
            </w:r>
          </w:p>
        </w:tc>
      </w:tr>
      <w:tr w:rsidR="008C323F" w:rsidRPr="00187944" w:rsidTr="003C6F53">
        <w:trPr>
          <w:trHeight w:val="165"/>
          <w:jc w:val="center"/>
        </w:trPr>
        <w:tc>
          <w:tcPr>
            <w:tcW w:w="2305" w:type="dxa"/>
          </w:tcPr>
          <w:p w:rsidR="008C323F" w:rsidRDefault="008C323F" w:rsidP="00E40C09">
            <w:pPr>
              <w:jc w:val="center"/>
            </w:pPr>
            <w:r w:rsidRPr="004B360F">
              <w:rPr>
                <w:sz w:val="24"/>
              </w:rPr>
              <w:t>Direktīvas 2011/70/Euratom</w:t>
            </w:r>
            <w:r>
              <w:rPr>
                <w:sz w:val="24"/>
              </w:rPr>
              <w:t xml:space="preserve"> 3.panta 7.punkts</w:t>
            </w:r>
          </w:p>
        </w:tc>
        <w:tc>
          <w:tcPr>
            <w:tcW w:w="2679" w:type="dxa"/>
          </w:tcPr>
          <w:p w:rsidR="008C323F" w:rsidRDefault="008C323F" w:rsidP="00E40C09">
            <w:pPr>
              <w:jc w:val="center"/>
              <w:rPr>
                <w:sz w:val="24"/>
              </w:rPr>
            </w:pPr>
            <w:r>
              <w:rPr>
                <w:sz w:val="24"/>
              </w:rPr>
              <w:t>Likumprojekta 1.pants (likuma 1.panta 9.punkts)</w:t>
            </w:r>
          </w:p>
        </w:tc>
        <w:tc>
          <w:tcPr>
            <w:tcW w:w="2110" w:type="dxa"/>
          </w:tcPr>
          <w:p w:rsidR="008C323F" w:rsidRPr="00C22DED" w:rsidRDefault="008C323F" w:rsidP="0000546D">
            <w:pPr>
              <w:jc w:val="center"/>
              <w:rPr>
                <w:sz w:val="24"/>
              </w:rPr>
            </w:pPr>
            <w:r w:rsidRPr="00C22DED">
              <w:rPr>
                <w:sz w:val="24"/>
              </w:rPr>
              <w:t>Ieviests pilnībā</w:t>
            </w:r>
          </w:p>
          <w:p w:rsidR="008C323F" w:rsidRPr="00F9102F" w:rsidRDefault="008C323F" w:rsidP="00C22DED">
            <w:pPr>
              <w:jc w:val="both"/>
              <w:rPr>
                <w:sz w:val="24"/>
                <w:highlight w:val="yellow"/>
              </w:rPr>
            </w:pPr>
            <w:r w:rsidRPr="00C22DED">
              <w:rPr>
                <w:sz w:val="24"/>
              </w:rPr>
              <w:t xml:space="preserve">Direktīvas 2011/70/Euratom 3.panta 7.punkta daļa, kas nosaka, ka </w:t>
            </w:r>
            <w:r w:rsidRPr="00C22DED">
              <w:rPr>
                <w:bCs/>
                <w:sz w:val="24"/>
              </w:rPr>
              <w:t>noteiktus atkritumus par radioaktīviem atzīst dalībvalsts kompetentā iestāde atbilstoši dalībvalsts tiesiskajai sistēmai, ir ieviesti tādā veidā, ka MK noteikumi nosaka prasības darbībām ar radioaktīvajiem atkritumiem un kompetentā iestāde – VVD RDC – izsniedzot licenci konkrētajai darbībai, izvērtē operatora iesniegtos dokumentus un, plānoto darbību, konstatē vai darbību rezultātā rodas tādi materiāli, kuri var tikt atzīti par radioaktīvajiem atkritumiem</w:t>
            </w:r>
            <w:r>
              <w:rPr>
                <w:bCs/>
                <w:sz w:val="24"/>
              </w:rPr>
              <w:t xml:space="preserve"> un tie jāapsaimnieko atbilstoši MK noteikumiem Nr.129</w:t>
            </w:r>
            <w:r w:rsidRPr="00C22DED">
              <w:rPr>
                <w:bCs/>
                <w:sz w:val="24"/>
              </w:rPr>
              <w:t>.</w:t>
            </w:r>
          </w:p>
        </w:tc>
        <w:tc>
          <w:tcPr>
            <w:tcW w:w="2027" w:type="dxa"/>
          </w:tcPr>
          <w:p w:rsidR="008C323F" w:rsidRPr="00310973" w:rsidRDefault="008C323F" w:rsidP="00310973">
            <w:pPr>
              <w:jc w:val="center"/>
              <w:rPr>
                <w:sz w:val="24"/>
              </w:rPr>
            </w:pPr>
            <w:r w:rsidRPr="00310973">
              <w:rPr>
                <w:sz w:val="24"/>
              </w:rPr>
              <w:t>Neparedz stingrākas prasības</w:t>
            </w:r>
          </w:p>
        </w:tc>
      </w:tr>
      <w:tr w:rsidR="008C323F" w:rsidRPr="00187944" w:rsidTr="003C6F53">
        <w:trPr>
          <w:trHeight w:val="165"/>
          <w:jc w:val="center"/>
        </w:trPr>
        <w:tc>
          <w:tcPr>
            <w:tcW w:w="2305" w:type="dxa"/>
          </w:tcPr>
          <w:p w:rsidR="008C323F" w:rsidRDefault="008C323F" w:rsidP="00E40C09">
            <w:pPr>
              <w:jc w:val="center"/>
            </w:pPr>
            <w:r w:rsidRPr="004B360F">
              <w:rPr>
                <w:sz w:val="24"/>
              </w:rPr>
              <w:t>Direktīvas 2011/70/Euratom</w:t>
            </w:r>
            <w:r>
              <w:rPr>
                <w:sz w:val="24"/>
              </w:rPr>
              <w:t xml:space="preserve"> 3.panta 8.punkts</w:t>
            </w:r>
          </w:p>
        </w:tc>
        <w:tc>
          <w:tcPr>
            <w:tcW w:w="2679" w:type="dxa"/>
          </w:tcPr>
          <w:p w:rsidR="008C323F" w:rsidRDefault="008C323F" w:rsidP="00E40C09">
            <w:pPr>
              <w:jc w:val="center"/>
              <w:rPr>
                <w:sz w:val="24"/>
              </w:rPr>
            </w:pPr>
            <w:r>
              <w:rPr>
                <w:sz w:val="24"/>
              </w:rPr>
              <w:t>Likumprojekta 1.pants (likuma 1.panta 9</w:t>
            </w:r>
            <w:r>
              <w:rPr>
                <w:sz w:val="24"/>
                <w:vertAlign w:val="superscript"/>
              </w:rPr>
              <w:t>2</w:t>
            </w:r>
            <w:r>
              <w:rPr>
                <w:sz w:val="24"/>
              </w:rPr>
              <w:t>.punkts)</w:t>
            </w:r>
          </w:p>
        </w:tc>
        <w:tc>
          <w:tcPr>
            <w:tcW w:w="2110" w:type="dxa"/>
          </w:tcPr>
          <w:p w:rsidR="008C323F" w:rsidRDefault="008C323F" w:rsidP="0000546D">
            <w:pPr>
              <w:jc w:val="center"/>
            </w:pPr>
            <w:r w:rsidRPr="00BF5A40">
              <w:rPr>
                <w:sz w:val="24"/>
              </w:rPr>
              <w:t>Ieviests pilnībā</w:t>
            </w:r>
          </w:p>
        </w:tc>
        <w:tc>
          <w:tcPr>
            <w:tcW w:w="2027" w:type="dxa"/>
          </w:tcPr>
          <w:p w:rsidR="008C323F" w:rsidRPr="00310973" w:rsidRDefault="008C323F" w:rsidP="00310973">
            <w:pPr>
              <w:jc w:val="center"/>
              <w:rPr>
                <w:sz w:val="24"/>
              </w:rPr>
            </w:pPr>
            <w:r w:rsidRPr="00310973">
              <w:rPr>
                <w:sz w:val="24"/>
              </w:rPr>
              <w:t>Neparedz stingrākas prasības</w:t>
            </w:r>
          </w:p>
        </w:tc>
      </w:tr>
      <w:tr w:rsidR="008C323F" w:rsidRPr="00187944" w:rsidTr="003C6F53">
        <w:trPr>
          <w:trHeight w:val="165"/>
          <w:jc w:val="center"/>
        </w:trPr>
        <w:tc>
          <w:tcPr>
            <w:tcW w:w="2305" w:type="dxa"/>
          </w:tcPr>
          <w:p w:rsidR="008C323F" w:rsidRDefault="008C323F" w:rsidP="00E40C09">
            <w:pPr>
              <w:jc w:val="center"/>
            </w:pPr>
            <w:r w:rsidRPr="004B360F">
              <w:rPr>
                <w:sz w:val="24"/>
              </w:rPr>
              <w:t>Direktīvas 2011/70/Euratom</w:t>
            </w:r>
            <w:r>
              <w:rPr>
                <w:sz w:val="24"/>
              </w:rPr>
              <w:t xml:space="preserve"> 3.panta 9.punkts</w:t>
            </w:r>
          </w:p>
        </w:tc>
        <w:tc>
          <w:tcPr>
            <w:tcW w:w="2679" w:type="dxa"/>
          </w:tcPr>
          <w:p w:rsidR="008C323F" w:rsidRDefault="008C323F" w:rsidP="00E40C09">
            <w:pPr>
              <w:jc w:val="center"/>
              <w:rPr>
                <w:sz w:val="24"/>
              </w:rPr>
            </w:pPr>
            <w:r>
              <w:rPr>
                <w:sz w:val="24"/>
              </w:rPr>
              <w:t>Likumprojekta 1.pants (likuma 1.panta 9</w:t>
            </w:r>
            <w:r>
              <w:rPr>
                <w:sz w:val="24"/>
                <w:vertAlign w:val="superscript"/>
              </w:rPr>
              <w:t>3</w:t>
            </w:r>
            <w:r>
              <w:rPr>
                <w:sz w:val="24"/>
              </w:rPr>
              <w:t>.punkts)</w:t>
            </w:r>
          </w:p>
        </w:tc>
        <w:tc>
          <w:tcPr>
            <w:tcW w:w="2110" w:type="dxa"/>
          </w:tcPr>
          <w:p w:rsidR="008C323F" w:rsidRDefault="008C323F" w:rsidP="0000546D">
            <w:pPr>
              <w:jc w:val="center"/>
            </w:pPr>
            <w:r w:rsidRPr="00BF5A40">
              <w:rPr>
                <w:sz w:val="24"/>
              </w:rPr>
              <w:t>Ieviests pilnībā</w:t>
            </w:r>
          </w:p>
        </w:tc>
        <w:tc>
          <w:tcPr>
            <w:tcW w:w="2027" w:type="dxa"/>
          </w:tcPr>
          <w:p w:rsidR="008C323F" w:rsidRPr="00310973" w:rsidRDefault="008C323F" w:rsidP="00310973">
            <w:pPr>
              <w:jc w:val="center"/>
              <w:rPr>
                <w:sz w:val="24"/>
              </w:rPr>
            </w:pPr>
            <w:r w:rsidRPr="00310973">
              <w:rPr>
                <w:sz w:val="24"/>
              </w:rPr>
              <w:t>Neparedz stingrākas prasības</w:t>
            </w:r>
          </w:p>
        </w:tc>
      </w:tr>
      <w:tr w:rsidR="008C323F" w:rsidRPr="00187944" w:rsidTr="003C6F53">
        <w:trPr>
          <w:trHeight w:val="165"/>
          <w:jc w:val="center"/>
        </w:trPr>
        <w:tc>
          <w:tcPr>
            <w:tcW w:w="2305" w:type="dxa"/>
          </w:tcPr>
          <w:p w:rsidR="008C323F" w:rsidRDefault="008C323F" w:rsidP="00E40C09">
            <w:pPr>
              <w:jc w:val="center"/>
            </w:pPr>
            <w:r w:rsidRPr="004B360F">
              <w:rPr>
                <w:sz w:val="24"/>
              </w:rPr>
              <w:t>Direktīvas 2011/70/Euratom</w:t>
            </w:r>
            <w:r>
              <w:rPr>
                <w:sz w:val="24"/>
              </w:rPr>
              <w:t xml:space="preserve"> 3.panta 10.punkts</w:t>
            </w:r>
          </w:p>
        </w:tc>
        <w:tc>
          <w:tcPr>
            <w:tcW w:w="2679" w:type="dxa"/>
          </w:tcPr>
          <w:p w:rsidR="008C323F" w:rsidRDefault="008C323F" w:rsidP="00E40C09">
            <w:pPr>
              <w:jc w:val="center"/>
              <w:rPr>
                <w:sz w:val="24"/>
              </w:rPr>
            </w:pPr>
            <w:r>
              <w:rPr>
                <w:sz w:val="24"/>
              </w:rPr>
              <w:t>Likumprojekta 1.pants (likuma 1.panta 6</w:t>
            </w:r>
            <w:r w:rsidRPr="0000546D">
              <w:rPr>
                <w:sz w:val="24"/>
                <w:vertAlign w:val="superscript"/>
              </w:rPr>
              <w:t>1</w:t>
            </w:r>
            <w:r>
              <w:rPr>
                <w:sz w:val="24"/>
              </w:rPr>
              <w:t>.punkts)</w:t>
            </w:r>
          </w:p>
        </w:tc>
        <w:tc>
          <w:tcPr>
            <w:tcW w:w="2110" w:type="dxa"/>
          </w:tcPr>
          <w:p w:rsidR="008C323F" w:rsidRDefault="008C323F" w:rsidP="0000546D">
            <w:pPr>
              <w:jc w:val="center"/>
            </w:pPr>
            <w:r w:rsidRPr="00BF5A40">
              <w:rPr>
                <w:sz w:val="24"/>
              </w:rPr>
              <w:t>Ieviests pilnībā</w:t>
            </w:r>
          </w:p>
        </w:tc>
        <w:tc>
          <w:tcPr>
            <w:tcW w:w="2027" w:type="dxa"/>
          </w:tcPr>
          <w:p w:rsidR="008C323F" w:rsidRPr="00310973" w:rsidRDefault="008C323F" w:rsidP="00310973">
            <w:pPr>
              <w:jc w:val="center"/>
              <w:rPr>
                <w:sz w:val="24"/>
              </w:rPr>
            </w:pPr>
            <w:r w:rsidRPr="00310973">
              <w:rPr>
                <w:sz w:val="24"/>
              </w:rPr>
              <w:t>Neparedz stingrākas prasības</w:t>
            </w:r>
          </w:p>
        </w:tc>
      </w:tr>
      <w:tr w:rsidR="008C323F" w:rsidRPr="00187944" w:rsidTr="003C6F53">
        <w:trPr>
          <w:trHeight w:val="165"/>
          <w:jc w:val="center"/>
        </w:trPr>
        <w:tc>
          <w:tcPr>
            <w:tcW w:w="2305" w:type="dxa"/>
          </w:tcPr>
          <w:p w:rsidR="008C323F" w:rsidRDefault="008C323F" w:rsidP="00E40C09">
            <w:pPr>
              <w:jc w:val="center"/>
            </w:pPr>
            <w:r w:rsidRPr="004B360F">
              <w:rPr>
                <w:sz w:val="24"/>
              </w:rPr>
              <w:t>Direktīvas 2011/70/Euratom</w:t>
            </w:r>
            <w:r>
              <w:rPr>
                <w:sz w:val="24"/>
              </w:rPr>
              <w:t xml:space="preserve"> 3.panta 14.punkts</w:t>
            </w:r>
          </w:p>
        </w:tc>
        <w:tc>
          <w:tcPr>
            <w:tcW w:w="2679" w:type="dxa"/>
          </w:tcPr>
          <w:p w:rsidR="008C323F" w:rsidRDefault="008C323F" w:rsidP="00E40C09">
            <w:pPr>
              <w:jc w:val="center"/>
              <w:rPr>
                <w:sz w:val="24"/>
              </w:rPr>
            </w:pPr>
            <w:r>
              <w:rPr>
                <w:sz w:val="24"/>
              </w:rPr>
              <w:t>MK noteikumi Nr.129</w:t>
            </w:r>
          </w:p>
        </w:tc>
        <w:tc>
          <w:tcPr>
            <w:tcW w:w="2110" w:type="dxa"/>
          </w:tcPr>
          <w:p w:rsidR="008C323F" w:rsidRDefault="008C323F" w:rsidP="0000546D">
            <w:pPr>
              <w:jc w:val="center"/>
            </w:pPr>
            <w:r w:rsidRPr="00BF5A40">
              <w:rPr>
                <w:sz w:val="24"/>
              </w:rPr>
              <w:t>Ieviests pilnībā</w:t>
            </w:r>
          </w:p>
        </w:tc>
        <w:tc>
          <w:tcPr>
            <w:tcW w:w="2027" w:type="dxa"/>
          </w:tcPr>
          <w:p w:rsidR="008C323F" w:rsidRPr="00310973" w:rsidRDefault="008C323F" w:rsidP="00310973">
            <w:pPr>
              <w:jc w:val="center"/>
              <w:rPr>
                <w:sz w:val="24"/>
              </w:rPr>
            </w:pPr>
            <w:r w:rsidRPr="00310973">
              <w:rPr>
                <w:sz w:val="24"/>
              </w:rPr>
              <w:t>Neparedz stingrākas prasības</w:t>
            </w:r>
          </w:p>
        </w:tc>
      </w:tr>
      <w:tr w:rsidR="008C323F" w:rsidRPr="00187944" w:rsidTr="003C6F53">
        <w:trPr>
          <w:trHeight w:val="165"/>
          <w:jc w:val="center"/>
        </w:trPr>
        <w:tc>
          <w:tcPr>
            <w:tcW w:w="2305" w:type="dxa"/>
          </w:tcPr>
          <w:p w:rsidR="008C323F" w:rsidRPr="004B360F" w:rsidRDefault="008C323F" w:rsidP="00E40C09">
            <w:pPr>
              <w:jc w:val="center"/>
              <w:rPr>
                <w:sz w:val="24"/>
              </w:rPr>
            </w:pPr>
            <w:r w:rsidRPr="004B360F">
              <w:rPr>
                <w:sz w:val="24"/>
              </w:rPr>
              <w:t>Direktīvas 2011/70/Euratom</w:t>
            </w:r>
            <w:r>
              <w:rPr>
                <w:sz w:val="24"/>
              </w:rPr>
              <w:t xml:space="preserve"> 4.panta 2.punkts</w:t>
            </w:r>
          </w:p>
        </w:tc>
        <w:tc>
          <w:tcPr>
            <w:tcW w:w="2679" w:type="dxa"/>
          </w:tcPr>
          <w:p w:rsidR="008C323F" w:rsidRDefault="008C323F" w:rsidP="007C30D3">
            <w:pPr>
              <w:jc w:val="center"/>
              <w:rPr>
                <w:sz w:val="24"/>
              </w:rPr>
            </w:pPr>
            <w:r>
              <w:rPr>
                <w:sz w:val="24"/>
              </w:rPr>
              <w:t>Nav jāievieš, tie ir vispārīgie principi</w:t>
            </w:r>
          </w:p>
        </w:tc>
        <w:tc>
          <w:tcPr>
            <w:tcW w:w="2110" w:type="dxa"/>
          </w:tcPr>
          <w:p w:rsidR="008C323F" w:rsidRPr="00BF5A40" w:rsidRDefault="008C323F" w:rsidP="0000546D">
            <w:pPr>
              <w:jc w:val="center"/>
              <w:rPr>
                <w:sz w:val="24"/>
              </w:rPr>
            </w:pPr>
            <w:r>
              <w:rPr>
                <w:sz w:val="24"/>
              </w:rPr>
              <w:t>Nav jāievieš, tie ir vispārīgie principi</w:t>
            </w:r>
          </w:p>
        </w:tc>
        <w:tc>
          <w:tcPr>
            <w:tcW w:w="2027" w:type="dxa"/>
          </w:tcPr>
          <w:p w:rsidR="008C323F" w:rsidRPr="00310973" w:rsidRDefault="008C323F" w:rsidP="00310973">
            <w:pPr>
              <w:jc w:val="center"/>
              <w:rPr>
                <w:sz w:val="24"/>
              </w:rPr>
            </w:pPr>
            <w:r>
              <w:rPr>
                <w:sz w:val="24"/>
              </w:rPr>
              <w:t>Nav jāievieš, tie ir vispārīgie principi</w:t>
            </w:r>
          </w:p>
        </w:tc>
      </w:tr>
      <w:tr w:rsidR="008C323F" w:rsidRPr="00187944" w:rsidTr="003C6F53">
        <w:trPr>
          <w:trHeight w:val="165"/>
          <w:jc w:val="center"/>
        </w:trPr>
        <w:tc>
          <w:tcPr>
            <w:tcW w:w="2305" w:type="dxa"/>
          </w:tcPr>
          <w:p w:rsidR="008C323F" w:rsidRDefault="008C323F" w:rsidP="00BE1633">
            <w:pPr>
              <w:jc w:val="center"/>
            </w:pPr>
            <w:r w:rsidRPr="004B360F">
              <w:rPr>
                <w:sz w:val="24"/>
              </w:rPr>
              <w:t>Direktīvas 2011/70/Euratom</w:t>
            </w:r>
            <w:r>
              <w:rPr>
                <w:sz w:val="24"/>
              </w:rPr>
              <w:t xml:space="preserve"> 4.panta 3.punkta a) un e) punkts</w:t>
            </w:r>
          </w:p>
        </w:tc>
        <w:tc>
          <w:tcPr>
            <w:tcW w:w="2679" w:type="dxa"/>
          </w:tcPr>
          <w:p w:rsidR="008C323F" w:rsidRPr="00310973" w:rsidRDefault="008C323F" w:rsidP="00E40C09">
            <w:pPr>
              <w:jc w:val="center"/>
              <w:rPr>
                <w:sz w:val="24"/>
              </w:rPr>
            </w:pPr>
            <w:r>
              <w:rPr>
                <w:sz w:val="24"/>
              </w:rPr>
              <w:t>Likumprojekta 19.pants (likuma 27.panta 2.</w:t>
            </w:r>
            <w:r>
              <w:rPr>
                <w:sz w:val="24"/>
                <w:vertAlign w:val="superscript"/>
              </w:rPr>
              <w:t>1</w:t>
            </w:r>
            <w:r>
              <w:rPr>
                <w:sz w:val="24"/>
              </w:rPr>
              <w:t>daļa)</w:t>
            </w:r>
          </w:p>
        </w:tc>
        <w:tc>
          <w:tcPr>
            <w:tcW w:w="2110" w:type="dxa"/>
          </w:tcPr>
          <w:p w:rsidR="008C323F" w:rsidRDefault="008C323F" w:rsidP="00DA5963">
            <w:pPr>
              <w:jc w:val="center"/>
              <w:rPr>
                <w:sz w:val="24"/>
              </w:rPr>
            </w:pPr>
            <w:r w:rsidRPr="00BF5A40">
              <w:rPr>
                <w:sz w:val="24"/>
              </w:rPr>
              <w:t>Ieviests pilnībā</w:t>
            </w:r>
          </w:p>
          <w:p w:rsidR="008C323F" w:rsidRPr="00187944" w:rsidRDefault="008C323F" w:rsidP="00310973">
            <w:pPr>
              <w:jc w:val="both"/>
              <w:rPr>
                <w:sz w:val="24"/>
              </w:rPr>
            </w:pPr>
            <w:r>
              <w:rPr>
                <w:sz w:val="24"/>
              </w:rPr>
              <w:t>Direktīvas 2011/70/Euratom 4.panta 3.punkta prasības ir vispārējie principi.</w:t>
            </w:r>
          </w:p>
        </w:tc>
        <w:tc>
          <w:tcPr>
            <w:tcW w:w="2027" w:type="dxa"/>
          </w:tcPr>
          <w:p w:rsidR="008C323F" w:rsidRPr="00310973" w:rsidRDefault="008C323F" w:rsidP="00310973">
            <w:pPr>
              <w:jc w:val="center"/>
              <w:rPr>
                <w:sz w:val="24"/>
              </w:rPr>
            </w:pPr>
            <w:r w:rsidRPr="00310973">
              <w:rPr>
                <w:sz w:val="24"/>
              </w:rPr>
              <w:t>Neparedz stingrākas prasības</w:t>
            </w:r>
          </w:p>
        </w:tc>
      </w:tr>
      <w:tr w:rsidR="008C323F" w:rsidRPr="00187944" w:rsidTr="003C6F53">
        <w:trPr>
          <w:trHeight w:val="165"/>
          <w:jc w:val="center"/>
        </w:trPr>
        <w:tc>
          <w:tcPr>
            <w:tcW w:w="2305" w:type="dxa"/>
          </w:tcPr>
          <w:p w:rsidR="008C323F" w:rsidRPr="004B360F" w:rsidRDefault="008C323F" w:rsidP="007C30D3">
            <w:pPr>
              <w:jc w:val="center"/>
              <w:rPr>
                <w:sz w:val="24"/>
              </w:rPr>
            </w:pPr>
            <w:r w:rsidRPr="004B360F">
              <w:rPr>
                <w:sz w:val="24"/>
              </w:rPr>
              <w:t>Direktīvas 2011/70/Euratom</w:t>
            </w:r>
            <w:r>
              <w:rPr>
                <w:sz w:val="24"/>
              </w:rPr>
              <w:t xml:space="preserve"> 4.panta 3.punkta b), c), d) un f) punkts</w:t>
            </w:r>
          </w:p>
        </w:tc>
        <w:tc>
          <w:tcPr>
            <w:tcW w:w="2679" w:type="dxa"/>
          </w:tcPr>
          <w:p w:rsidR="008C323F" w:rsidRDefault="008C323F" w:rsidP="00E40C09">
            <w:pPr>
              <w:jc w:val="center"/>
              <w:rPr>
                <w:sz w:val="24"/>
              </w:rPr>
            </w:pPr>
            <w:r>
              <w:rPr>
                <w:sz w:val="24"/>
              </w:rPr>
              <w:t>Nav jāievieš, jo satur vispārīgus principus, kuri detālāk ir ieviesti likumā un no tā izrietošajos MK noteikumos</w:t>
            </w:r>
          </w:p>
        </w:tc>
        <w:tc>
          <w:tcPr>
            <w:tcW w:w="2110" w:type="dxa"/>
          </w:tcPr>
          <w:p w:rsidR="008C323F" w:rsidRPr="00BF5A40" w:rsidRDefault="008C323F" w:rsidP="00DA5963">
            <w:pPr>
              <w:jc w:val="center"/>
              <w:rPr>
                <w:sz w:val="24"/>
              </w:rPr>
            </w:pPr>
            <w:r>
              <w:rPr>
                <w:sz w:val="24"/>
              </w:rPr>
              <w:t>Nav jāievieš, jo satur vispārīgus principus, kuri detālāk ir ieviesti likumā un no tā izrietošajos MK noteikumos</w:t>
            </w:r>
          </w:p>
        </w:tc>
        <w:tc>
          <w:tcPr>
            <w:tcW w:w="2027" w:type="dxa"/>
          </w:tcPr>
          <w:p w:rsidR="008C323F" w:rsidRPr="00310973" w:rsidRDefault="008C323F" w:rsidP="00310973">
            <w:pPr>
              <w:jc w:val="center"/>
              <w:rPr>
                <w:sz w:val="24"/>
              </w:rPr>
            </w:pPr>
            <w:r>
              <w:rPr>
                <w:sz w:val="24"/>
              </w:rPr>
              <w:t>Nav jāievieš, jo satur vispārīgus principus, kuri detālāk ir ieviesti likumā un no tā izrietošajos MK noteikumos</w:t>
            </w:r>
          </w:p>
        </w:tc>
      </w:tr>
      <w:tr w:rsidR="008C323F" w:rsidRPr="00187944" w:rsidTr="003C6F53">
        <w:trPr>
          <w:trHeight w:val="165"/>
          <w:jc w:val="center"/>
        </w:trPr>
        <w:tc>
          <w:tcPr>
            <w:tcW w:w="2305" w:type="dxa"/>
          </w:tcPr>
          <w:p w:rsidR="008C323F" w:rsidRDefault="008C323F" w:rsidP="00E40C09">
            <w:pPr>
              <w:jc w:val="center"/>
            </w:pPr>
            <w:r w:rsidRPr="00102CE2">
              <w:rPr>
                <w:sz w:val="24"/>
              </w:rPr>
              <w:t>Direktīvas 2011/70/Euratom</w:t>
            </w:r>
            <w:r>
              <w:rPr>
                <w:sz w:val="24"/>
              </w:rPr>
              <w:t xml:space="preserve"> 4.panta 4.punkts</w:t>
            </w:r>
          </w:p>
        </w:tc>
        <w:tc>
          <w:tcPr>
            <w:tcW w:w="2679" w:type="dxa"/>
          </w:tcPr>
          <w:p w:rsidR="008C323F" w:rsidRPr="00187944" w:rsidRDefault="008C323F" w:rsidP="00310973">
            <w:pPr>
              <w:jc w:val="center"/>
              <w:rPr>
                <w:sz w:val="24"/>
              </w:rPr>
            </w:pPr>
            <w:r>
              <w:rPr>
                <w:sz w:val="24"/>
              </w:rPr>
              <w:t>Likumprojekta 19.pants (</w:t>
            </w:r>
            <w:r w:rsidRPr="00AA79C5">
              <w:rPr>
                <w:sz w:val="24"/>
              </w:rPr>
              <w:t>likuma 27.panta 1.</w:t>
            </w:r>
            <w:r w:rsidRPr="00AA79C5">
              <w:rPr>
                <w:sz w:val="24"/>
                <w:vertAlign w:val="superscript"/>
              </w:rPr>
              <w:t>1</w:t>
            </w:r>
            <w:r w:rsidRPr="00AA79C5">
              <w:rPr>
                <w:sz w:val="24"/>
              </w:rPr>
              <w:t>-1.</w:t>
            </w:r>
            <w:r w:rsidRPr="00AA79C5">
              <w:rPr>
                <w:sz w:val="24"/>
                <w:vertAlign w:val="superscript"/>
              </w:rPr>
              <w:t>4</w:t>
            </w:r>
            <w:r w:rsidRPr="00AA79C5">
              <w:rPr>
                <w:sz w:val="24"/>
              </w:rPr>
              <w:t>daļa)</w:t>
            </w:r>
          </w:p>
        </w:tc>
        <w:tc>
          <w:tcPr>
            <w:tcW w:w="2110" w:type="dxa"/>
          </w:tcPr>
          <w:p w:rsidR="008C323F" w:rsidRDefault="008C323F" w:rsidP="00310973">
            <w:pPr>
              <w:jc w:val="center"/>
              <w:rPr>
                <w:sz w:val="24"/>
              </w:rPr>
            </w:pPr>
            <w:r w:rsidRPr="00BF5A40">
              <w:rPr>
                <w:sz w:val="24"/>
              </w:rPr>
              <w:t>Ieviests pilnībā</w:t>
            </w:r>
          </w:p>
          <w:p w:rsidR="008C323F" w:rsidRPr="00187944" w:rsidRDefault="008C323F" w:rsidP="00DA5963">
            <w:pPr>
              <w:jc w:val="center"/>
              <w:rPr>
                <w:sz w:val="24"/>
              </w:rPr>
            </w:pPr>
          </w:p>
        </w:tc>
        <w:tc>
          <w:tcPr>
            <w:tcW w:w="2027" w:type="dxa"/>
          </w:tcPr>
          <w:p w:rsidR="008C323F" w:rsidRPr="00310973" w:rsidRDefault="008C323F" w:rsidP="00310973">
            <w:pPr>
              <w:jc w:val="center"/>
              <w:rPr>
                <w:sz w:val="24"/>
              </w:rPr>
            </w:pPr>
            <w:r w:rsidRPr="00310973">
              <w:rPr>
                <w:sz w:val="24"/>
              </w:rPr>
              <w:t>Neparedz stingrākas prasības</w:t>
            </w:r>
          </w:p>
        </w:tc>
      </w:tr>
      <w:tr w:rsidR="008C323F" w:rsidRPr="00187944" w:rsidTr="003C6F53">
        <w:trPr>
          <w:trHeight w:val="165"/>
          <w:jc w:val="center"/>
        </w:trPr>
        <w:tc>
          <w:tcPr>
            <w:tcW w:w="2305" w:type="dxa"/>
          </w:tcPr>
          <w:p w:rsidR="008C323F" w:rsidRPr="00102CE2" w:rsidRDefault="008C323F" w:rsidP="00E40C09">
            <w:pPr>
              <w:jc w:val="center"/>
              <w:rPr>
                <w:sz w:val="24"/>
              </w:rPr>
            </w:pPr>
            <w:r w:rsidRPr="00102CE2">
              <w:rPr>
                <w:sz w:val="24"/>
              </w:rPr>
              <w:t>Direktīvas 2011/70/Euratom</w:t>
            </w:r>
            <w:r>
              <w:rPr>
                <w:sz w:val="24"/>
              </w:rPr>
              <w:t xml:space="preserve"> 5.panta 1.punkta a)punkts</w:t>
            </w:r>
          </w:p>
        </w:tc>
        <w:tc>
          <w:tcPr>
            <w:tcW w:w="2679" w:type="dxa"/>
          </w:tcPr>
          <w:p w:rsidR="008C323F" w:rsidRPr="00DF02AD" w:rsidRDefault="008C323F" w:rsidP="00DE3650">
            <w:pPr>
              <w:pStyle w:val="basetext"/>
              <w:widowControl/>
              <w:tabs>
                <w:tab w:val="clear" w:pos="357"/>
                <w:tab w:val="left" w:pos="720"/>
              </w:tabs>
              <w:spacing w:before="0" w:after="120"/>
              <w:ind w:right="72"/>
              <w:jc w:val="center"/>
              <w:rPr>
                <w:szCs w:val="24"/>
                <w:lang w:val="lv-LV"/>
              </w:rPr>
            </w:pPr>
            <w:r w:rsidRPr="00DE3650">
              <w:rPr>
                <w:lang w:val="lv-LV"/>
              </w:rPr>
              <w:t>Direktīvas prasīb</w:t>
            </w:r>
            <w:r w:rsidR="00DE3650" w:rsidRPr="00DE3650">
              <w:rPr>
                <w:lang w:val="lv-LV"/>
              </w:rPr>
              <w:t>u īsteno</w:t>
            </w:r>
            <w:r w:rsidR="00DE3650">
              <w:rPr>
                <w:lang w:val="lv-LV"/>
              </w:rPr>
              <w:t xml:space="preserve">šana </w:t>
            </w:r>
            <w:r w:rsidRPr="00DE3650">
              <w:rPr>
                <w:lang w:val="lv-LV"/>
              </w:rPr>
              <w:t xml:space="preserve">par nacionālajām programmām ir jānodrošina līdz </w:t>
            </w:r>
            <w:r>
              <w:rPr>
                <w:szCs w:val="24"/>
                <w:lang w:val="lv-LV"/>
              </w:rPr>
              <w:t>2015.gada 23.augustam</w:t>
            </w:r>
          </w:p>
        </w:tc>
        <w:tc>
          <w:tcPr>
            <w:tcW w:w="2110" w:type="dxa"/>
          </w:tcPr>
          <w:p w:rsidR="008C323F" w:rsidRPr="00DF02AD" w:rsidRDefault="008C323F" w:rsidP="00DF02AD">
            <w:pPr>
              <w:jc w:val="center"/>
              <w:rPr>
                <w:sz w:val="24"/>
              </w:rPr>
            </w:pPr>
            <w:r w:rsidRPr="00DF02AD">
              <w:rPr>
                <w:sz w:val="24"/>
              </w:rPr>
              <w:t>Direktīvas prasības par nacionālajām programmām ir jā</w:t>
            </w:r>
            <w:r>
              <w:rPr>
                <w:sz w:val="24"/>
              </w:rPr>
              <w:t>nodrošina</w:t>
            </w:r>
            <w:r w:rsidRPr="00DF02AD">
              <w:rPr>
                <w:sz w:val="24"/>
              </w:rPr>
              <w:t xml:space="preserve"> līdz 2015.gada 23.augustam</w:t>
            </w:r>
          </w:p>
        </w:tc>
        <w:tc>
          <w:tcPr>
            <w:tcW w:w="2027" w:type="dxa"/>
          </w:tcPr>
          <w:p w:rsidR="008C323F" w:rsidRPr="00DF02AD" w:rsidRDefault="008C323F" w:rsidP="00DF02AD">
            <w:pPr>
              <w:jc w:val="center"/>
              <w:rPr>
                <w:sz w:val="24"/>
              </w:rPr>
            </w:pPr>
            <w:r w:rsidRPr="00DF02AD">
              <w:rPr>
                <w:sz w:val="24"/>
              </w:rPr>
              <w:t xml:space="preserve">Direktīvas prasības par nacionālajām programmām ir </w:t>
            </w:r>
            <w:r>
              <w:rPr>
                <w:sz w:val="24"/>
              </w:rPr>
              <w:t>jānodrošina l</w:t>
            </w:r>
            <w:r w:rsidRPr="00DF02AD">
              <w:rPr>
                <w:sz w:val="24"/>
              </w:rPr>
              <w:t>īdz 2015.gada 23.augustam</w:t>
            </w:r>
          </w:p>
        </w:tc>
      </w:tr>
      <w:tr w:rsidR="008C323F" w:rsidRPr="00187944" w:rsidTr="003C6F53">
        <w:trPr>
          <w:trHeight w:val="165"/>
          <w:jc w:val="center"/>
        </w:trPr>
        <w:tc>
          <w:tcPr>
            <w:tcW w:w="2305" w:type="dxa"/>
          </w:tcPr>
          <w:p w:rsidR="008C323F" w:rsidRPr="00102CE2" w:rsidRDefault="008C323F" w:rsidP="00DF02AD">
            <w:pPr>
              <w:jc w:val="center"/>
              <w:rPr>
                <w:sz w:val="24"/>
              </w:rPr>
            </w:pPr>
            <w:r w:rsidRPr="00102CE2">
              <w:rPr>
                <w:sz w:val="24"/>
              </w:rPr>
              <w:t>Direktīvas 2011/70/Euratom</w:t>
            </w:r>
            <w:r>
              <w:rPr>
                <w:sz w:val="24"/>
              </w:rPr>
              <w:t xml:space="preserve"> 5.panta 1.punkta b)punkts</w:t>
            </w:r>
          </w:p>
        </w:tc>
        <w:tc>
          <w:tcPr>
            <w:tcW w:w="2679" w:type="dxa"/>
          </w:tcPr>
          <w:p w:rsidR="008C323F" w:rsidRDefault="008C323F" w:rsidP="00310973">
            <w:pPr>
              <w:jc w:val="center"/>
              <w:rPr>
                <w:sz w:val="24"/>
              </w:rPr>
            </w:pPr>
            <w:r>
              <w:rPr>
                <w:sz w:val="24"/>
              </w:rPr>
              <w:t>Likums un no tā izrietošie MK noteikumi</w:t>
            </w:r>
          </w:p>
        </w:tc>
        <w:tc>
          <w:tcPr>
            <w:tcW w:w="2110" w:type="dxa"/>
          </w:tcPr>
          <w:p w:rsidR="008C323F" w:rsidRPr="00BF5A40" w:rsidRDefault="008C323F" w:rsidP="00DF02AD">
            <w:pPr>
              <w:jc w:val="center"/>
              <w:rPr>
                <w:sz w:val="24"/>
              </w:rPr>
            </w:pPr>
            <w:r>
              <w:rPr>
                <w:sz w:val="24"/>
              </w:rPr>
              <w:t>Ieviests pilnībā</w:t>
            </w:r>
          </w:p>
        </w:tc>
        <w:tc>
          <w:tcPr>
            <w:tcW w:w="2027" w:type="dxa"/>
          </w:tcPr>
          <w:p w:rsidR="008C323F" w:rsidRPr="00DF02AD" w:rsidRDefault="008C323F" w:rsidP="00310973">
            <w:pPr>
              <w:jc w:val="center"/>
              <w:rPr>
                <w:sz w:val="24"/>
              </w:rPr>
            </w:pPr>
            <w:r w:rsidRPr="00DF02AD">
              <w:rPr>
                <w:sz w:val="24"/>
              </w:rPr>
              <w:t>Neparedz stingrākas prasības</w:t>
            </w:r>
          </w:p>
          <w:p w:rsidR="008C323F" w:rsidRPr="00DF02AD" w:rsidRDefault="008C323F" w:rsidP="00DF02AD">
            <w:pPr>
              <w:rPr>
                <w:sz w:val="24"/>
              </w:rPr>
            </w:pPr>
            <w:r w:rsidRPr="00DF02AD">
              <w:rPr>
                <w:sz w:val="24"/>
              </w:rPr>
              <w:t xml:space="preserve">Direktīvas norma paredz, ka </w:t>
            </w:r>
            <w:r w:rsidRPr="00DF02AD">
              <w:rPr>
                <w:sz w:val="24"/>
                <w:lang w:eastAsia="lv-LV"/>
              </w:rPr>
              <w:t>valsts nosaka pasākumus lietotās kodoldegvielas un radioaktīvo atkritumu drošai apsaimniekošanai. Dalībvalstu kompetencē ir noteikt to, kā minētie pasākumi ir jāpieņem un ar kādu instrumentu tie jāpiemēro.</w:t>
            </w:r>
          </w:p>
        </w:tc>
      </w:tr>
      <w:tr w:rsidR="008C323F" w:rsidRPr="00187944" w:rsidTr="00017AD9">
        <w:trPr>
          <w:trHeight w:val="2400"/>
          <w:jc w:val="center"/>
        </w:trPr>
        <w:tc>
          <w:tcPr>
            <w:tcW w:w="2305" w:type="dxa"/>
          </w:tcPr>
          <w:p w:rsidR="008C323F" w:rsidRPr="00102CE2" w:rsidRDefault="008C323F" w:rsidP="00017AD9">
            <w:pPr>
              <w:jc w:val="center"/>
              <w:rPr>
                <w:sz w:val="24"/>
              </w:rPr>
            </w:pPr>
            <w:r w:rsidRPr="00102CE2">
              <w:rPr>
                <w:sz w:val="24"/>
              </w:rPr>
              <w:t>Direktīvas 2011/70/Euratom</w:t>
            </w:r>
            <w:r>
              <w:rPr>
                <w:sz w:val="24"/>
              </w:rPr>
              <w:t xml:space="preserve"> 5.panta 1.punkta c)punkts</w:t>
            </w:r>
          </w:p>
        </w:tc>
        <w:tc>
          <w:tcPr>
            <w:tcW w:w="2679" w:type="dxa"/>
          </w:tcPr>
          <w:p w:rsidR="008C323F" w:rsidRDefault="008C323F" w:rsidP="00017AD9">
            <w:pPr>
              <w:jc w:val="center"/>
              <w:rPr>
                <w:sz w:val="24"/>
              </w:rPr>
            </w:pPr>
            <w:r>
              <w:rPr>
                <w:sz w:val="24"/>
              </w:rPr>
              <w:t>Likums, likumprojekta 2.pants (3.panta 1.daļas 5.punkts) un 8.pants (likuma 11.pants), MK noteikumi Nr.723</w:t>
            </w:r>
          </w:p>
        </w:tc>
        <w:tc>
          <w:tcPr>
            <w:tcW w:w="2110" w:type="dxa"/>
          </w:tcPr>
          <w:p w:rsidR="008C323F" w:rsidRDefault="008C323F" w:rsidP="005E6AA6">
            <w:pPr>
              <w:jc w:val="center"/>
              <w:rPr>
                <w:sz w:val="24"/>
              </w:rPr>
            </w:pPr>
            <w:r>
              <w:rPr>
                <w:sz w:val="24"/>
              </w:rPr>
              <w:t>Daļēji ieviests</w:t>
            </w:r>
          </w:p>
          <w:p w:rsidR="008C323F" w:rsidRDefault="008C323F" w:rsidP="005E6AA6">
            <w:pPr>
              <w:jc w:val="both"/>
              <w:rPr>
                <w:sz w:val="24"/>
              </w:rPr>
            </w:pPr>
            <w:r>
              <w:rPr>
                <w:sz w:val="24"/>
              </w:rPr>
              <w:t>Ievērojot, ka plānots mainīt licencēšanas sistēmu, tad jaunajai sistēmai pilnībā norma tiks pārņemta pēc jaunu MK noteikumu izstrādes.</w:t>
            </w:r>
          </w:p>
          <w:p w:rsidR="008C323F" w:rsidRPr="00187944" w:rsidRDefault="008C323F" w:rsidP="005E6AA6">
            <w:pPr>
              <w:jc w:val="both"/>
              <w:rPr>
                <w:sz w:val="24"/>
              </w:rPr>
            </w:pPr>
            <w:r>
              <w:rPr>
                <w:sz w:val="24"/>
              </w:rPr>
              <w:t>Attiecībā uz pašreizējo licencēšanas sistēmu norma ir ieviesta pilnībā.</w:t>
            </w:r>
          </w:p>
        </w:tc>
        <w:tc>
          <w:tcPr>
            <w:tcW w:w="2027" w:type="dxa"/>
          </w:tcPr>
          <w:p w:rsidR="008C323F" w:rsidRPr="00310973" w:rsidRDefault="008C323F" w:rsidP="006A24FA">
            <w:pPr>
              <w:jc w:val="center"/>
              <w:rPr>
                <w:sz w:val="24"/>
              </w:rPr>
            </w:pPr>
            <w:r w:rsidRPr="00310973">
              <w:rPr>
                <w:sz w:val="24"/>
              </w:rPr>
              <w:t>Neparedz stingrākas prasības</w:t>
            </w:r>
          </w:p>
        </w:tc>
      </w:tr>
      <w:tr w:rsidR="008C323F" w:rsidRPr="00187944" w:rsidTr="003C6F53">
        <w:trPr>
          <w:trHeight w:val="165"/>
          <w:jc w:val="center"/>
        </w:trPr>
        <w:tc>
          <w:tcPr>
            <w:tcW w:w="2305" w:type="dxa"/>
          </w:tcPr>
          <w:p w:rsidR="008C323F" w:rsidRPr="00017AD9" w:rsidRDefault="008C323F" w:rsidP="00017AD9">
            <w:pPr>
              <w:jc w:val="center"/>
              <w:rPr>
                <w:sz w:val="24"/>
              </w:rPr>
            </w:pPr>
            <w:r w:rsidRPr="00017AD9">
              <w:rPr>
                <w:sz w:val="24"/>
              </w:rPr>
              <w:t>Direktīvas 2011/70/Euratom 5.panta</w:t>
            </w:r>
            <w:r>
              <w:rPr>
                <w:sz w:val="24"/>
              </w:rPr>
              <w:t xml:space="preserve"> 1.punkta </w:t>
            </w:r>
            <w:r w:rsidRPr="00017AD9">
              <w:rPr>
                <w:sz w:val="24"/>
              </w:rPr>
              <w:t>d)punkts</w:t>
            </w:r>
          </w:p>
        </w:tc>
        <w:tc>
          <w:tcPr>
            <w:tcW w:w="2679" w:type="dxa"/>
          </w:tcPr>
          <w:p w:rsidR="008C323F" w:rsidRPr="008C323F" w:rsidRDefault="008C323F" w:rsidP="00AA79C5">
            <w:pPr>
              <w:pStyle w:val="Header"/>
              <w:tabs>
                <w:tab w:val="clear" w:pos="4153"/>
                <w:tab w:val="clear" w:pos="8306"/>
              </w:tabs>
              <w:spacing w:after="120"/>
              <w:jc w:val="center"/>
              <w:rPr>
                <w:sz w:val="24"/>
              </w:rPr>
            </w:pPr>
            <w:r w:rsidRPr="008C323F">
              <w:rPr>
                <w:sz w:val="24"/>
              </w:rPr>
              <w:t xml:space="preserve">Likums, MK noteikumi Nr.723, MK noteikumi Nr.129, noteikumu </w:t>
            </w:r>
            <w:r w:rsidRPr="00AA79C5">
              <w:rPr>
                <w:sz w:val="24"/>
              </w:rPr>
              <w:t>projekta 1</w:t>
            </w:r>
            <w:r w:rsidR="00AA79C5" w:rsidRPr="00AA79C5">
              <w:rPr>
                <w:sz w:val="24"/>
              </w:rPr>
              <w:t>4</w:t>
            </w:r>
            <w:r w:rsidRPr="00AA79C5">
              <w:rPr>
                <w:sz w:val="24"/>
              </w:rPr>
              <w:t>.punkts</w:t>
            </w:r>
            <w:r w:rsidRPr="008C323F">
              <w:rPr>
                <w:sz w:val="24"/>
              </w:rPr>
              <w:t xml:space="preserve"> (noteikumu Nr.129 77.</w:t>
            </w:r>
            <w:r w:rsidRPr="008C323F">
              <w:rPr>
                <w:sz w:val="24"/>
                <w:vertAlign w:val="superscript"/>
              </w:rPr>
              <w:t>1</w:t>
            </w:r>
            <w:r w:rsidRPr="008C323F">
              <w:rPr>
                <w:sz w:val="24"/>
              </w:rPr>
              <w:t>4.apakšpunkts un 77.</w:t>
            </w:r>
            <w:r w:rsidRPr="008C323F">
              <w:rPr>
                <w:sz w:val="24"/>
                <w:vertAlign w:val="superscript"/>
              </w:rPr>
              <w:t>2</w:t>
            </w:r>
            <w:r w:rsidRPr="008C323F">
              <w:rPr>
                <w:sz w:val="24"/>
              </w:rPr>
              <w:t>punkts)</w:t>
            </w:r>
          </w:p>
        </w:tc>
        <w:tc>
          <w:tcPr>
            <w:tcW w:w="2110" w:type="dxa"/>
          </w:tcPr>
          <w:p w:rsidR="008C323F" w:rsidRDefault="008C323F" w:rsidP="005E6AA6">
            <w:pPr>
              <w:jc w:val="center"/>
              <w:rPr>
                <w:sz w:val="24"/>
              </w:rPr>
            </w:pPr>
            <w:r>
              <w:rPr>
                <w:sz w:val="24"/>
              </w:rPr>
              <w:t>Ieviests pilnībā</w:t>
            </w:r>
          </w:p>
        </w:tc>
        <w:tc>
          <w:tcPr>
            <w:tcW w:w="2027" w:type="dxa"/>
          </w:tcPr>
          <w:p w:rsidR="008C323F" w:rsidRPr="00310973" w:rsidRDefault="008C323F" w:rsidP="006A24FA">
            <w:pPr>
              <w:jc w:val="center"/>
              <w:rPr>
                <w:sz w:val="24"/>
              </w:rPr>
            </w:pPr>
            <w:r w:rsidRPr="00017AD9">
              <w:rPr>
                <w:sz w:val="24"/>
              </w:rPr>
              <w:t>Neparedz stingrākas prasības</w:t>
            </w:r>
          </w:p>
        </w:tc>
      </w:tr>
      <w:tr w:rsidR="008C323F" w:rsidRPr="00187944" w:rsidTr="003C6F53">
        <w:trPr>
          <w:trHeight w:val="165"/>
          <w:jc w:val="center"/>
        </w:trPr>
        <w:tc>
          <w:tcPr>
            <w:tcW w:w="2305" w:type="dxa"/>
          </w:tcPr>
          <w:p w:rsidR="008C323F" w:rsidRPr="00102CE2" w:rsidRDefault="008C323F" w:rsidP="00DF02AD">
            <w:pPr>
              <w:jc w:val="center"/>
              <w:rPr>
                <w:sz w:val="24"/>
              </w:rPr>
            </w:pPr>
            <w:r w:rsidRPr="00102CE2">
              <w:rPr>
                <w:sz w:val="24"/>
              </w:rPr>
              <w:t>Direktīvas 2011/70/Euratom</w:t>
            </w:r>
            <w:r>
              <w:rPr>
                <w:sz w:val="24"/>
              </w:rPr>
              <w:t xml:space="preserve"> 5.panta 1.punkta e)punkts</w:t>
            </w:r>
          </w:p>
        </w:tc>
        <w:tc>
          <w:tcPr>
            <w:tcW w:w="2679" w:type="dxa"/>
          </w:tcPr>
          <w:p w:rsidR="008C323F" w:rsidRPr="00017AD9" w:rsidRDefault="008C323F" w:rsidP="00017AD9">
            <w:pPr>
              <w:jc w:val="center"/>
              <w:rPr>
                <w:sz w:val="24"/>
              </w:rPr>
            </w:pPr>
            <w:r w:rsidRPr="00017AD9">
              <w:rPr>
                <w:sz w:val="24"/>
              </w:rPr>
              <w:t>Likums, likumprojekta 2.pants (3.panta 1.daļas 5.punkts) un 8.pants (likuma 11.pants), MK noteikumi Nr.723</w:t>
            </w:r>
          </w:p>
        </w:tc>
        <w:tc>
          <w:tcPr>
            <w:tcW w:w="2110" w:type="dxa"/>
          </w:tcPr>
          <w:p w:rsidR="008C323F" w:rsidRPr="00017AD9" w:rsidRDefault="008C323F" w:rsidP="006B4C82">
            <w:pPr>
              <w:jc w:val="center"/>
              <w:rPr>
                <w:sz w:val="24"/>
              </w:rPr>
            </w:pPr>
            <w:r w:rsidRPr="00017AD9">
              <w:rPr>
                <w:sz w:val="24"/>
              </w:rPr>
              <w:t>Daļēji ieviests</w:t>
            </w:r>
          </w:p>
          <w:p w:rsidR="008C323F" w:rsidRPr="00017AD9" w:rsidRDefault="008C323F" w:rsidP="006B4C82">
            <w:pPr>
              <w:jc w:val="both"/>
              <w:rPr>
                <w:sz w:val="24"/>
              </w:rPr>
            </w:pPr>
            <w:r w:rsidRPr="00017AD9">
              <w:rPr>
                <w:sz w:val="24"/>
              </w:rPr>
              <w:t>Ievērojot, ka plānots mainīt licencēšanas sistēmu, tad jaunajai sistēmai pilnībā norma tiks pārņemta pēc jaunu MK noteikumu izstrādes.</w:t>
            </w:r>
          </w:p>
          <w:p w:rsidR="008C323F" w:rsidRPr="00017AD9" w:rsidRDefault="008C323F" w:rsidP="006B4C82">
            <w:pPr>
              <w:jc w:val="both"/>
              <w:rPr>
                <w:sz w:val="24"/>
              </w:rPr>
            </w:pPr>
            <w:r w:rsidRPr="00017AD9">
              <w:rPr>
                <w:sz w:val="24"/>
              </w:rPr>
              <w:t>Attiecībā uz pašreizējo licencēšanas sistēmu norma ir ieviesta pilnībā.</w:t>
            </w:r>
          </w:p>
        </w:tc>
        <w:tc>
          <w:tcPr>
            <w:tcW w:w="2027" w:type="dxa"/>
          </w:tcPr>
          <w:p w:rsidR="008C323F" w:rsidRPr="00017AD9" w:rsidRDefault="008C323F" w:rsidP="006B4C82">
            <w:pPr>
              <w:jc w:val="center"/>
              <w:rPr>
                <w:sz w:val="24"/>
              </w:rPr>
            </w:pPr>
            <w:r w:rsidRPr="00017AD9">
              <w:rPr>
                <w:sz w:val="24"/>
              </w:rPr>
              <w:t>Neparedz stingrākas prasības</w:t>
            </w:r>
          </w:p>
        </w:tc>
      </w:tr>
      <w:tr w:rsidR="008C323F" w:rsidRPr="00187944" w:rsidTr="003C6F53">
        <w:trPr>
          <w:trHeight w:val="165"/>
          <w:jc w:val="center"/>
        </w:trPr>
        <w:tc>
          <w:tcPr>
            <w:tcW w:w="2305" w:type="dxa"/>
          </w:tcPr>
          <w:p w:rsidR="008C323F" w:rsidRPr="00102CE2" w:rsidRDefault="008C323F" w:rsidP="00017AD9">
            <w:pPr>
              <w:jc w:val="center"/>
              <w:rPr>
                <w:sz w:val="24"/>
              </w:rPr>
            </w:pPr>
            <w:r w:rsidRPr="00102CE2">
              <w:rPr>
                <w:sz w:val="24"/>
              </w:rPr>
              <w:t>Direktīvas 2011/70/Euratom</w:t>
            </w:r>
            <w:r>
              <w:rPr>
                <w:sz w:val="24"/>
              </w:rPr>
              <w:t xml:space="preserve"> 5.panta 1.punkta f)punkts</w:t>
            </w:r>
          </w:p>
        </w:tc>
        <w:tc>
          <w:tcPr>
            <w:tcW w:w="2679" w:type="dxa"/>
          </w:tcPr>
          <w:p w:rsidR="008C323F" w:rsidRPr="00017AD9" w:rsidRDefault="008C323F" w:rsidP="00017AD9">
            <w:pPr>
              <w:jc w:val="center"/>
              <w:rPr>
                <w:sz w:val="24"/>
              </w:rPr>
            </w:pPr>
            <w:r w:rsidRPr="00017AD9">
              <w:rPr>
                <w:sz w:val="24"/>
              </w:rPr>
              <w:t>Likums, MK noteikumi Nr.129, MK noteikumi Nr.723</w:t>
            </w:r>
          </w:p>
        </w:tc>
        <w:tc>
          <w:tcPr>
            <w:tcW w:w="2110" w:type="dxa"/>
          </w:tcPr>
          <w:p w:rsidR="008C323F" w:rsidRPr="00017AD9" w:rsidRDefault="008C323F" w:rsidP="006B4C82">
            <w:pPr>
              <w:jc w:val="center"/>
              <w:rPr>
                <w:sz w:val="24"/>
              </w:rPr>
            </w:pPr>
            <w:r>
              <w:rPr>
                <w:sz w:val="24"/>
              </w:rPr>
              <w:t>Ieviests pilnībā</w:t>
            </w:r>
          </w:p>
        </w:tc>
        <w:tc>
          <w:tcPr>
            <w:tcW w:w="2027" w:type="dxa"/>
          </w:tcPr>
          <w:p w:rsidR="008C323F" w:rsidRPr="00017AD9" w:rsidRDefault="008C323F" w:rsidP="006B4C82">
            <w:pPr>
              <w:jc w:val="center"/>
              <w:rPr>
                <w:sz w:val="24"/>
              </w:rPr>
            </w:pPr>
            <w:r>
              <w:rPr>
                <w:sz w:val="24"/>
              </w:rPr>
              <w:t>Neparedz stingrākas prasības</w:t>
            </w:r>
          </w:p>
        </w:tc>
      </w:tr>
      <w:tr w:rsidR="008C323F" w:rsidRPr="00187944" w:rsidTr="003C6F53">
        <w:trPr>
          <w:trHeight w:val="165"/>
          <w:jc w:val="center"/>
        </w:trPr>
        <w:tc>
          <w:tcPr>
            <w:tcW w:w="2305" w:type="dxa"/>
          </w:tcPr>
          <w:p w:rsidR="008C323F" w:rsidRPr="00102CE2" w:rsidRDefault="008C323F" w:rsidP="00573036">
            <w:pPr>
              <w:jc w:val="center"/>
              <w:rPr>
                <w:sz w:val="24"/>
              </w:rPr>
            </w:pPr>
            <w:r w:rsidRPr="00102CE2">
              <w:rPr>
                <w:sz w:val="24"/>
              </w:rPr>
              <w:t>Direktīvas 2011/70/Euratom</w:t>
            </w:r>
            <w:r>
              <w:rPr>
                <w:sz w:val="24"/>
              </w:rPr>
              <w:t xml:space="preserve"> 5.panta 1.punkta g)punkts</w:t>
            </w:r>
          </w:p>
        </w:tc>
        <w:tc>
          <w:tcPr>
            <w:tcW w:w="2679" w:type="dxa"/>
          </w:tcPr>
          <w:p w:rsidR="008C323F" w:rsidRPr="00646202" w:rsidRDefault="008C323F" w:rsidP="00AA79C5">
            <w:pPr>
              <w:jc w:val="center"/>
              <w:rPr>
                <w:sz w:val="24"/>
              </w:rPr>
            </w:pPr>
            <w:r w:rsidRPr="00646202">
              <w:rPr>
                <w:sz w:val="24"/>
              </w:rPr>
              <w:t xml:space="preserve">Likums, likums „Par ietekmes uz vidi novērtējumu”, MK </w:t>
            </w:r>
            <w:r w:rsidRPr="00AA79C5">
              <w:rPr>
                <w:sz w:val="24"/>
              </w:rPr>
              <w:t>noteikumi Nr.723</w:t>
            </w:r>
            <w:r w:rsidR="00646202" w:rsidRPr="00AA79C5">
              <w:rPr>
                <w:sz w:val="24"/>
              </w:rPr>
              <w:t>, noteikumu projekta 1</w:t>
            </w:r>
            <w:r w:rsidR="00AA79C5" w:rsidRPr="00AA79C5">
              <w:rPr>
                <w:sz w:val="24"/>
              </w:rPr>
              <w:t>5</w:t>
            </w:r>
            <w:r w:rsidR="00646202" w:rsidRPr="00AA79C5">
              <w:rPr>
                <w:sz w:val="24"/>
              </w:rPr>
              <w:t>.punkts</w:t>
            </w:r>
            <w:r w:rsidR="00646202" w:rsidRPr="00646202">
              <w:rPr>
                <w:sz w:val="24"/>
              </w:rPr>
              <w:t xml:space="preserve"> (MK noteikumu Nr.723 85.</w:t>
            </w:r>
            <w:r w:rsidR="00646202" w:rsidRPr="00646202">
              <w:rPr>
                <w:sz w:val="24"/>
                <w:vertAlign w:val="superscript"/>
              </w:rPr>
              <w:t>2</w:t>
            </w:r>
            <w:r w:rsidR="00646202" w:rsidRPr="00646202">
              <w:rPr>
                <w:sz w:val="24"/>
              </w:rPr>
              <w:t>) un 1</w:t>
            </w:r>
            <w:r w:rsidR="00AA79C5">
              <w:rPr>
                <w:sz w:val="24"/>
              </w:rPr>
              <w:t>7</w:t>
            </w:r>
            <w:r w:rsidR="00646202" w:rsidRPr="00646202">
              <w:rPr>
                <w:sz w:val="24"/>
              </w:rPr>
              <w:t>.punkts</w:t>
            </w:r>
          </w:p>
        </w:tc>
        <w:tc>
          <w:tcPr>
            <w:tcW w:w="2110" w:type="dxa"/>
          </w:tcPr>
          <w:p w:rsidR="008C323F" w:rsidRPr="00646202" w:rsidRDefault="008C323F" w:rsidP="006A24FA">
            <w:pPr>
              <w:jc w:val="center"/>
              <w:rPr>
                <w:sz w:val="24"/>
              </w:rPr>
            </w:pPr>
            <w:r w:rsidRPr="00646202">
              <w:rPr>
                <w:sz w:val="24"/>
              </w:rPr>
              <w:t>Ieviests pilnībā</w:t>
            </w:r>
          </w:p>
          <w:p w:rsidR="008C323F" w:rsidRPr="00646202" w:rsidRDefault="008C323F" w:rsidP="006A24FA">
            <w:pPr>
              <w:jc w:val="center"/>
              <w:rPr>
                <w:sz w:val="24"/>
              </w:rPr>
            </w:pPr>
          </w:p>
        </w:tc>
        <w:tc>
          <w:tcPr>
            <w:tcW w:w="2027" w:type="dxa"/>
          </w:tcPr>
          <w:p w:rsidR="008C323F" w:rsidRPr="00646202" w:rsidRDefault="008C323F" w:rsidP="006A24FA">
            <w:pPr>
              <w:jc w:val="center"/>
              <w:rPr>
                <w:sz w:val="24"/>
              </w:rPr>
            </w:pPr>
            <w:r w:rsidRPr="00646202">
              <w:rPr>
                <w:sz w:val="24"/>
              </w:rPr>
              <w:t>Neparedz stingrākas prasības</w:t>
            </w:r>
          </w:p>
        </w:tc>
      </w:tr>
      <w:tr w:rsidR="008C323F" w:rsidRPr="00187944" w:rsidTr="003C6F53">
        <w:trPr>
          <w:trHeight w:val="165"/>
          <w:jc w:val="center"/>
        </w:trPr>
        <w:tc>
          <w:tcPr>
            <w:tcW w:w="2305" w:type="dxa"/>
          </w:tcPr>
          <w:p w:rsidR="008C323F" w:rsidRPr="00DE3650" w:rsidRDefault="008C323F" w:rsidP="00017AD9">
            <w:pPr>
              <w:jc w:val="center"/>
              <w:rPr>
                <w:sz w:val="24"/>
              </w:rPr>
            </w:pPr>
            <w:r w:rsidRPr="00DE3650">
              <w:rPr>
                <w:sz w:val="24"/>
              </w:rPr>
              <w:t xml:space="preserve">Direktīvas 2011/70/Euratom 5.panta 1.punkta h)punkts </w:t>
            </w:r>
          </w:p>
        </w:tc>
        <w:tc>
          <w:tcPr>
            <w:tcW w:w="2679" w:type="dxa"/>
          </w:tcPr>
          <w:p w:rsidR="008C323F" w:rsidRPr="007D30DA" w:rsidRDefault="00DE3650" w:rsidP="007D30DA">
            <w:pPr>
              <w:jc w:val="center"/>
              <w:rPr>
                <w:sz w:val="24"/>
              </w:rPr>
            </w:pPr>
            <w:r w:rsidRPr="007D30DA">
              <w:rPr>
                <w:sz w:val="24"/>
              </w:rPr>
              <w:t xml:space="preserve">Likums, likumprojekta </w:t>
            </w:r>
            <w:r w:rsidR="007D30DA" w:rsidRPr="007D30DA">
              <w:rPr>
                <w:sz w:val="24"/>
              </w:rPr>
              <w:t>19.</w:t>
            </w:r>
            <w:r w:rsidRPr="007D30DA">
              <w:rPr>
                <w:sz w:val="24"/>
              </w:rPr>
              <w:t>pants, MK</w:t>
            </w:r>
            <w:r w:rsidRPr="00DE3650">
              <w:rPr>
                <w:sz w:val="24"/>
              </w:rPr>
              <w:t xml:space="preserve"> noteikumi Nr.129</w:t>
            </w:r>
            <w:r w:rsidR="007D30DA">
              <w:rPr>
                <w:sz w:val="24"/>
              </w:rPr>
              <w:t>, noteikumu projekta 12.punkts (noteikumu Nr.129 77.</w:t>
            </w:r>
            <w:r w:rsidR="007D30DA">
              <w:rPr>
                <w:sz w:val="24"/>
                <w:vertAlign w:val="superscript"/>
              </w:rPr>
              <w:t>1</w:t>
            </w:r>
            <w:r w:rsidR="007D30DA">
              <w:rPr>
                <w:sz w:val="24"/>
              </w:rPr>
              <w:t>1.punkts)</w:t>
            </w:r>
          </w:p>
        </w:tc>
        <w:tc>
          <w:tcPr>
            <w:tcW w:w="2110" w:type="dxa"/>
          </w:tcPr>
          <w:p w:rsidR="00DE3650" w:rsidRPr="00DE3650" w:rsidRDefault="00DE3650" w:rsidP="00DE3650">
            <w:pPr>
              <w:jc w:val="center"/>
              <w:rPr>
                <w:sz w:val="24"/>
              </w:rPr>
            </w:pPr>
            <w:r w:rsidRPr="00DE3650">
              <w:rPr>
                <w:sz w:val="24"/>
              </w:rPr>
              <w:t>Ieviests pilnībā</w:t>
            </w:r>
          </w:p>
          <w:p w:rsidR="008C323F" w:rsidRPr="00DE3650" w:rsidRDefault="008C323F" w:rsidP="00A64977">
            <w:pPr>
              <w:jc w:val="center"/>
              <w:rPr>
                <w:sz w:val="24"/>
              </w:rPr>
            </w:pPr>
          </w:p>
        </w:tc>
        <w:tc>
          <w:tcPr>
            <w:tcW w:w="2027" w:type="dxa"/>
          </w:tcPr>
          <w:p w:rsidR="008C323F" w:rsidRPr="00DE3650" w:rsidRDefault="00DE3650" w:rsidP="00A64977">
            <w:pPr>
              <w:jc w:val="center"/>
              <w:rPr>
                <w:sz w:val="24"/>
              </w:rPr>
            </w:pPr>
            <w:r w:rsidRPr="00DE3650">
              <w:rPr>
                <w:sz w:val="24"/>
              </w:rPr>
              <w:t>Neparedz stingrākas prasības</w:t>
            </w:r>
          </w:p>
          <w:p w:rsidR="00DE3650" w:rsidRPr="00DE3650" w:rsidRDefault="00DE3650" w:rsidP="00DE3650">
            <w:pPr>
              <w:jc w:val="both"/>
              <w:rPr>
                <w:sz w:val="24"/>
              </w:rPr>
            </w:pPr>
            <w:r w:rsidRPr="00DE3650">
              <w:rPr>
                <w:sz w:val="24"/>
              </w:rPr>
              <w:t>Latvijā radioaktīvo atkritumu apjoms ir neliels, attiecīgi radioaktīvo atkritumu glabātavas „Radons” apsaimniekošanas izmaksas nav iespējams nosegt tikai ar operatoru maksu par atkritumu pārvaldību un apglabāšanu. Tādejādi glabātavas izmaksas tiek segtas no valsts budžeta.</w:t>
            </w:r>
          </w:p>
        </w:tc>
      </w:tr>
      <w:tr w:rsidR="008C323F" w:rsidRPr="00187944" w:rsidTr="003C6F53">
        <w:trPr>
          <w:trHeight w:val="165"/>
          <w:jc w:val="center"/>
        </w:trPr>
        <w:tc>
          <w:tcPr>
            <w:tcW w:w="2305" w:type="dxa"/>
          </w:tcPr>
          <w:p w:rsidR="008C323F" w:rsidRPr="00BE1633" w:rsidRDefault="008C323F" w:rsidP="00A64977">
            <w:pPr>
              <w:jc w:val="center"/>
              <w:rPr>
                <w:sz w:val="24"/>
              </w:rPr>
            </w:pPr>
            <w:r w:rsidRPr="00BE1633">
              <w:rPr>
                <w:sz w:val="24"/>
              </w:rPr>
              <w:t>Direktīvas 2011/70/Euratom 5.panta 2.punkts</w:t>
            </w:r>
          </w:p>
        </w:tc>
        <w:tc>
          <w:tcPr>
            <w:tcW w:w="2679" w:type="dxa"/>
          </w:tcPr>
          <w:p w:rsidR="008C323F" w:rsidRDefault="008C323F" w:rsidP="00A64977">
            <w:pPr>
              <w:jc w:val="center"/>
              <w:rPr>
                <w:sz w:val="24"/>
              </w:rPr>
            </w:pPr>
            <w:r>
              <w:rPr>
                <w:sz w:val="24"/>
              </w:rPr>
              <w:t>Prasības nav jāievieš, tās ir vispārīgas normas</w:t>
            </w:r>
          </w:p>
        </w:tc>
        <w:tc>
          <w:tcPr>
            <w:tcW w:w="2110" w:type="dxa"/>
          </w:tcPr>
          <w:p w:rsidR="008C323F" w:rsidRDefault="008C323F" w:rsidP="00A64977">
            <w:pPr>
              <w:jc w:val="center"/>
              <w:rPr>
                <w:sz w:val="24"/>
              </w:rPr>
            </w:pPr>
            <w:r>
              <w:rPr>
                <w:sz w:val="24"/>
              </w:rPr>
              <w:t>Prasības nav jāievieš, tās ir vispārīgas normas</w:t>
            </w:r>
          </w:p>
        </w:tc>
        <w:tc>
          <w:tcPr>
            <w:tcW w:w="2027" w:type="dxa"/>
          </w:tcPr>
          <w:p w:rsidR="008C323F" w:rsidRPr="00310973" w:rsidRDefault="008C323F" w:rsidP="00A64977">
            <w:pPr>
              <w:jc w:val="center"/>
              <w:rPr>
                <w:sz w:val="24"/>
              </w:rPr>
            </w:pPr>
            <w:r>
              <w:rPr>
                <w:sz w:val="24"/>
              </w:rPr>
              <w:t>Prasības nav jāievieš, tās ir vispārīgas normas</w:t>
            </w:r>
          </w:p>
        </w:tc>
      </w:tr>
      <w:tr w:rsidR="008C323F" w:rsidRPr="00187944" w:rsidTr="003C6F53">
        <w:trPr>
          <w:trHeight w:val="165"/>
          <w:jc w:val="center"/>
        </w:trPr>
        <w:tc>
          <w:tcPr>
            <w:tcW w:w="2305" w:type="dxa"/>
          </w:tcPr>
          <w:p w:rsidR="008C323F" w:rsidRPr="00102CE2" w:rsidRDefault="008C323F" w:rsidP="00573036">
            <w:pPr>
              <w:jc w:val="center"/>
              <w:rPr>
                <w:sz w:val="24"/>
              </w:rPr>
            </w:pPr>
            <w:r>
              <w:rPr>
                <w:sz w:val="24"/>
              </w:rPr>
              <w:t xml:space="preserve">Direktīvas </w:t>
            </w:r>
            <w:r w:rsidRPr="00102CE2">
              <w:rPr>
                <w:sz w:val="24"/>
              </w:rPr>
              <w:t>2011/70/Euratom</w:t>
            </w:r>
            <w:r>
              <w:rPr>
                <w:sz w:val="24"/>
              </w:rPr>
              <w:t xml:space="preserve"> 6.pants</w:t>
            </w:r>
          </w:p>
        </w:tc>
        <w:tc>
          <w:tcPr>
            <w:tcW w:w="2679" w:type="dxa"/>
          </w:tcPr>
          <w:p w:rsidR="008C323F" w:rsidRPr="004E569D" w:rsidRDefault="008C323F" w:rsidP="004E569D">
            <w:pPr>
              <w:jc w:val="center"/>
              <w:rPr>
                <w:sz w:val="24"/>
              </w:rPr>
            </w:pPr>
            <w:r w:rsidRPr="004E569D">
              <w:rPr>
                <w:sz w:val="24"/>
              </w:rPr>
              <w:t>Likums, MK noteikumi Nr.129, MK noteikumi Nr.723, MK 23.11.2004. noteikumi Nr.962 "Valsts vides dienesta nolikums"</w:t>
            </w:r>
          </w:p>
        </w:tc>
        <w:tc>
          <w:tcPr>
            <w:tcW w:w="2110" w:type="dxa"/>
          </w:tcPr>
          <w:p w:rsidR="008C323F" w:rsidRDefault="008C323F" w:rsidP="006A24FA">
            <w:pPr>
              <w:jc w:val="center"/>
              <w:rPr>
                <w:sz w:val="24"/>
              </w:rPr>
            </w:pPr>
            <w:r w:rsidRPr="00BF5A40">
              <w:rPr>
                <w:sz w:val="24"/>
              </w:rPr>
              <w:t>Ieviests pilnībā</w:t>
            </w:r>
          </w:p>
          <w:p w:rsidR="008C323F" w:rsidRPr="00187944" w:rsidRDefault="008C323F" w:rsidP="004E569D">
            <w:pPr>
              <w:jc w:val="both"/>
              <w:rPr>
                <w:sz w:val="24"/>
              </w:rPr>
            </w:pPr>
            <w:r w:rsidRPr="00FE733B">
              <w:rPr>
                <w:sz w:val="24"/>
              </w:rPr>
              <w:t xml:space="preserve">Vienlaicīgi jāņem vērā, ka nepieciešams stiprināt VVD RDC kapacitāti </w:t>
            </w:r>
          </w:p>
        </w:tc>
        <w:tc>
          <w:tcPr>
            <w:tcW w:w="2027" w:type="dxa"/>
          </w:tcPr>
          <w:p w:rsidR="008C323F" w:rsidRPr="00310973" w:rsidRDefault="008C323F" w:rsidP="006A24FA">
            <w:pPr>
              <w:jc w:val="center"/>
              <w:rPr>
                <w:sz w:val="24"/>
              </w:rPr>
            </w:pPr>
            <w:r w:rsidRPr="00310973">
              <w:rPr>
                <w:sz w:val="24"/>
              </w:rPr>
              <w:t>Neparedz stingrākas prasības</w:t>
            </w:r>
          </w:p>
        </w:tc>
      </w:tr>
      <w:tr w:rsidR="008C323F" w:rsidRPr="00187944" w:rsidTr="003C6F53">
        <w:trPr>
          <w:trHeight w:val="165"/>
          <w:jc w:val="center"/>
        </w:trPr>
        <w:tc>
          <w:tcPr>
            <w:tcW w:w="2305" w:type="dxa"/>
          </w:tcPr>
          <w:p w:rsidR="008C323F" w:rsidRPr="00102CE2" w:rsidRDefault="008C323F" w:rsidP="00A55D24">
            <w:pPr>
              <w:jc w:val="center"/>
              <w:rPr>
                <w:sz w:val="24"/>
              </w:rPr>
            </w:pPr>
            <w:r>
              <w:rPr>
                <w:sz w:val="24"/>
              </w:rPr>
              <w:t xml:space="preserve">Direktīvas </w:t>
            </w:r>
            <w:r w:rsidRPr="00102CE2">
              <w:rPr>
                <w:sz w:val="24"/>
              </w:rPr>
              <w:t>2011/70/Euratom</w:t>
            </w:r>
            <w:r>
              <w:rPr>
                <w:sz w:val="24"/>
              </w:rPr>
              <w:t xml:space="preserve"> 7.panta 1.punkts</w:t>
            </w:r>
          </w:p>
        </w:tc>
        <w:tc>
          <w:tcPr>
            <w:tcW w:w="2679" w:type="dxa"/>
          </w:tcPr>
          <w:p w:rsidR="008C323F" w:rsidRDefault="008C323F" w:rsidP="00A55D24">
            <w:pPr>
              <w:jc w:val="center"/>
              <w:rPr>
                <w:sz w:val="24"/>
              </w:rPr>
            </w:pPr>
            <w:r>
              <w:rPr>
                <w:sz w:val="24"/>
              </w:rPr>
              <w:t>Likumprojekta 1.pants (likuma 1.panta 6.punkts) un 10.pants (likuma 13.panta 1.daļa), likums</w:t>
            </w:r>
          </w:p>
        </w:tc>
        <w:tc>
          <w:tcPr>
            <w:tcW w:w="2110" w:type="dxa"/>
          </w:tcPr>
          <w:p w:rsidR="008C323F" w:rsidRDefault="008C323F" w:rsidP="005E6AA6">
            <w:pPr>
              <w:jc w:val="center"/>
              <w:rPr>
                <w:sz w:val="24"/>
              </w:rPr>
            </w:pPr>
            <w:r>
              <w:rPr>
                <w:sz w:val="24"/>
              </w:rPr>
              <w:t>Daļēji ieviests</w:t>
            </w:r>
          </w:p>
          <w:p w:rsidR="008C323F" w:rsidRDefault="008C323F" w:rsidP="005E6AA6">
            <w:pPr>
              <w:jc w:val="both"/>
              <w:rPr>
                <w:sz w:val="24"/>
              </w:rPr>
            </w:pPr>
            <w:r>
              <w:rPr>
                <w:sz w:val="24"/>
              </w:rPr>
              <w:t>Ievērojot, ka plānots mainīt licencēšanas sistēmu, tad jaunajai sistēmai pilnībā norma tiks pārņemta pēc jaunu MK noteikumu izstrādes.</w:t>
            </w:r>
          </w:p>
          <w:p w:rsidR="008C323F" w:rsidRPr="00187944" w:rsidRDefault="008C323F" w:rsidP="005E6AA6">
            <w:pPr>
              <w:jc w:val="both"/>
              <w:rPr>
                <w:sz w:val="24"/>
              </w:rPr>
            </w:pPr>
            <w:r>
              <w:rPr>
                <w:sz w:val="24"/>
              </w:rPr>
              <w:t>Attiecībā uz pašreizējo licencēšanas sistēmu norma ir ieviesta pilnībā.</w:t>
            </w:r>
          </w:p>
        </w:tc>
        <w:tc>
          <w:tcPr>
            <w:tcW w:w="2027" w:type="dxa"/>
          </w:tcPr>
          <w:p w:rsidR="008C323F" w:rsidRPr="00310973" w:rsidRDefault="008C323F" w:rsidP="006A24FA">
            <w:pPr>
              <w:jc w:val="center"/>
              <w:rPr>
                <w:sz w:val="24"/>
              </w:rPr>
            </w:pPr>
            <w:r w:rsidRPr="00310973">
              <w:rPr>
                <w:sz w:val="24"/>
              </w:rPr>
              <w:t>Neparedz stingrākas prasības</w:t>
            </w:r>
          </w:p>
        </w:tc>
      </w:tr>
      <w:tr w:rsidR="008C323F" w:rsidRPr="00187944" w:rsidTr="003C6F53">
        <w:trPr>
          <w:trHeight w:val="165"/>
          <w:jc w:val="center"/>
        </w:trPr>
        <w:tc>
          <w:tcPr>
            <w:tcW w:w="2305" w:type="dxa"/>
          </w:tcPr>
          <w:p w:rsidR="008C323F" w:rsidRDefault="008C323F" w:rsidP="00E94803">
            <w:pPr>
              <w:jc w:val="center"/>
              <w:rPr>
                <w:sz w:val="24"/>
              </w:rPr>
            </w:pPr>
            <w:r>
              <w:rPr>
                <w:sz w:val="24"/>
              </w:rPr>
              <w:t xml:space="preserve">Direktīvas </w:t>
            </w:r>
            <w:r w:rsidRPr="00102CE2">
              <w:rPr>
                <w:sz w:val="24"/>
              </w:rPr>
              <w:t>2011/70/Euratom</w:t>
            </w:r>
            <w:r>
              <w:rPr>
                <w:sz w:val="24"/>
              </w:rPr>
              <w:t xml:space="preserve"> 7.panta 2.punkts</w:t>
            </w:r>
          </w:p>
        </w:tc>
        <w:tc>
          <w:tcPr>
            <w:tcW w:w="2679" w:type="dxa"/>
          </w:tcPr>
          <w:p w:rsidR="008C323F" w:rsidRDefault="008C323F" w:rsidP="00A55D24">
            <w:pPr>
              <w:jc w:val="center"/>
              <w:rPr>
                <w:sz w:val="24"/>
              </w:rPr>
            </w:pPr>
            <w:r w:rsidRPr="00AA79C5">
              <w:rPr>
                <w:sz w:val="24"/>
              </w:rPr>
              <w:t>Likums, MK noteikumi Nr.129</w:t>
            </w:r>
            <w:r w:rsidR="00AA79C5" w:rsidRPr="00AA79C5">
              <w:rPr>
                <w:sz w:val="24"/>
              </w:rPr>
              <w:t>, noteikumu projekta 4.punkts</w:t>
            </w:r>
            <w:r>
              <w:rPr>
                <w:sz w:val="24"/>
              </w:rPr>
              <w:t xml:space="preserve"> </w:t>
            </w:r>
          </w:p>
          <w:p w:rsidR="008C323F" w:rsidRDefault="008C323F" w:rsidP="00A55D24">
            <w:pPr>
              <w:jc w:val="center"/>
              <w:rPr>
                <w:sz w:val="24"/>
              </w:rPr>
            </w:pPr>
          </w:p>
        </w:tc>
        <w:tc>
          <w:tcPr>
            <w:tcW w:w="2110" w:type="dxa"/>
          </w:tcPr>
          <w:p w:rsidR="008C323F" w:rsidRDefault="008C323F" w:rsidP="00FE42DA">
            <w:pPr>
              <w:jc w:val="center"/>
              <w:rPr>
                <w:sz w:val="24"/>
              </w:rPr>
            </w:pPr>
            <w:r w:rsidRPr="00BF5A40">
              <w:rPr>
                <w:sz w:val="24"/>
              </w:rPr>
              <w:t>Ieviests pilnībā</w:t>
            </w:r>
          </w:p>
          <w:p w:rsidR="008C323F" w:rsidRPr="00BF5A40" w:rsidRDefault="008C323F" w:rsidP="00FE42DA">
            <w:pPr>
              <w:jc w:val="center"/>
              <w:rPr>
                <w:sz w:val="24"/>
              </w:rPr>
            </w:pPr>
          </w:p>
        </w:tc>
        <w:tc>
          <w:tcPr>
            <w:tcW w:w="2027" w:type="dxa"/>
          </w:tcPr>
          <w:p w:rsidR="008C323F" w:rsidRPr="00310973" w:rsidRDefault="008C323F" w:rsidP="006A24FA">
            <w:pPr>
              <w:jc w:val="center"/>
              <w:rPr>
                <w:sz w:val="24"/>
              </w:rPr>
            </w:pPr>
            <w:r w:rsidRPr="00310973">
              <w:rPr>
                <w:sz w:val="24"/>
              </w:rPr>
              <w:t>Neparedz stingrākas prasības</w:t>
            </w:r>
          </w:p>
        </w:tc>
      </w:tr>
      <w:tr w:rsidR="00DE3650" w:rsidRPr="00187944" w:rsidTr="003C6F53">
        <w:trPr>
          <w:trHeight w:val="165"/>
          <w:jc w:val="center"/>
        </w:trPr>
        <w:tc>
          <w:tcPr>
            <w:tcW w:w="2305" w:type="dxa"/>
          </w:tcPr>
          <w:p w:rsidR="00DE3650" w:rsidRPr="00B7029D" w:rsidRDefault="00DE3650" w:rsidP="00E94803">
            <w:pPr>
              <w:jc w:val="center"/>
              <w:rPr>
                <w:sz w:val="24"/>
                <w:highlight w:val="yellow"/>
              </w:rPr>
            </w:pPr>
            <w:r w:rsidRPr="00DE3650">
              <w:rPr>
                <w:sz w:val="24"/>
              </w:rPr>
              <w:t>Direktīvas 2011/70/Euratom 7.panta 3.punkts</w:t>
            </w:r>
          </w:p>
        </w:tc>
        <w:tc>
          <w:tcPr>
            <w:tcW w:w="2679" w:type="dxa"/>
          </w:tcPr>
          <w:p w:rsidR="00DE3650" w:rsidRPr="004E569D" w:rsidRDefault="00AA79C5" w:rsidP="00AA79C5">
            <w:pPr>
              <w:jc w:val="center"/>
              <w:rPr>
                <w:sz w:val="24"/>
              </w:rPr>
            </w:pPr>
            <w:r w:rsidRPr="00AA79C5">
              <w:rPr>
                <w:sz w:val="24"/>
              </w:rPr>
              <w:t>MK noteikumi Nr.129</w:t>
            </w:r>
            <w:r>
              <w:rPr>
                <w:sz w:val="24"/>
              </w:rPr>
              <w:t xml:space="preserve">, </w:t>
            </w:r>
            <w:r w:rsidRPr="00AA79C5">
              <w:rPr>
                <w:sz w:val="24"/>
              </w:rPr>
              <w:t>noteikumu projekta 4., 15., 16., 17.punkts</w:t>
            </w:r>
          </w:p>
        </w:tc>
        <w:tc>
          <w:tcPr>
            <w:tcW w:w="2110" w:type="dxa"/>
          </w:tcPr>
          <w:p w:rsidR="00DE3650" w:rsidRDefault="00DE3650" w:rsidP="00052D09">
            <w:pPr>
              <w:jc w:val="center"/>
              <w:rPr>
                <w:sz w:val="24"/>
              </w:rPr>
            </w:pPr>
            <w:r w:rsidRPr="00BF5A40">
              <w:rPr>
                <w:sz w:val="24"/>
              </w:rPr>
              <w:t>Ieviests pilnībā</w:t>
            </w:r>
          </w:p>
          <w:p w:rsidR="00DE3650" w:rsidRPr="00BF5A40" w:rsidRDefault="00DE3650" w:rsidP="00052D09">
            <w:pPr>
              <w:jc w:val="center"/>
              <w:rPr>
                <w:sz w:val="24"/>
              </w:rPr>
            </w:pPr>
          </w:p>
        </w:tc>
        <w:tc>
          <w:tcPr>
            <w:tcW w:w="2027" w:type="dxa"/>
          </w:tcPr>
          <w:p w:rsidR="00DE3650" w:rsidRPr="00310973" w:rsidRDefault="00DE3650" w:rsidP="00052D09">
            <w:pPr>
              <w:jc w:val="center"/>
              <w:rPr>
                <w:sz w:val="24"/>
              </w:rPr>
            </w:pPr>
            <w:r w:rsidRPr="00310973">
              <w:rPr>
                <w:sz w:val="24"/>
              </w:rPr>
              <w:t>Neparedz stingrākas prasības</w:t>
            </w:r>
          </w:p>
        </w:tc>
      </w:tr>
      <w:tr w:rsidR="00DE3650" w:rsidRPr="00187944" w:rsidTr="003C6F53">
        <w:trPr>
          <w:trHeight w:val="165"/>
          <w:jc w:val="center"/>
        </w:trPr>
        <w:tc>
          <w:tcPr>
            <w:tcW w:w="2305" w:type="dxa"/>
          </w:tcPr>
          <w:p w:rsidR="00DE3650" w:rsidRPr="00AA79C5" w:rsidRDefault="00DE3650" w:rsidP="00E94803">
            <w:pPr>
              <w:jc w:val="center"/>
              <w:rPr>
                <w:sz w:val="24"/>
              </w:rPr>
            </w:pPr>
            <w:r w:rsidRPr="00AA79C5">
              <w:rPr>
                <w:sz w:val="24"/>
              </w:rPr>
              <w:t>Direktīvas 2011/70/Euratom 7.panta 4.punkts</w:t>
            </w:r>
          </w:p>
        </w:tc>
        <w:tc>
          <w:tcPr>
            <w:tcW w:w="2679" w:type="dxa"/>
          </w:tcPr>
          <w:p w:rsidR="00DE3650" w:rsidRPr="006661CA" w:rsidRDefault="00DE3650" w:rsidP="00AA79C5">
            <w:pPr>
              <w:pStyle w:val="Heading2"/>
              <w:spacing w:after="120"/>
              <w:jc w:val="center"/>
              <w:rPr>
                <w:i w:val="0"/>
              </w:rPr>
            </w:pPr>
            <w:r w:rsidRPr="006661CA">
              <w:rPr>
                <w:i w:val="0"/>
              </w:rPr>
              <w:t xml:space="preserve">Likums, MK noteikumi Nr.129, MK noteikumi Nr.723, MK 2002.gada 9.aprīļa noteikumi Nr.149 „Noteikumi par aizsardzību pret jonizējošo starojumu”, noteikumu projekta </w:t>
            </w:r>
            <w:r w:rsidR="00AA79C5" w:rsidRPr="006661CA">
              <w:rPr>
                <w:i w:val="0"/>
              </w:rPr>
              <w:t xml:space="preserve">4. un </w:t>
            </w:r>
            <w:r w:rsidRPr="006661CA">
              <w:rPr>
                <w:i w:val="0"/>
              </w:rPr>
              <w:t>1</w:t>
            </w:r>
            <w:r w:rsidR="00AA79C5" w:rsidRPr="006661CA">
              <w:rPr>
                <w:i w:val="0"/>
              </w:rPr>
              <w:t>4</w:t>
            </w:r>
            <w:r w:rsidRPr="006661CA">
              <w:rPr>
                <w:i w:val="0"/>
              </w:rPr>
              <w:t xml:space="preserve">.punkts (noteikumu Nr.129 </w:t>
            </w:r>
            <w:r w:rsidRPr="006661CA">
              <w:rPr>
                <w:i w:val="0"/>
                <w:szCs w:val="28"/>
              </w:rPr>
              <w:t>77.</w:t>
            </w:r>
            <w:r w:rsidRPr="006661CA">
              <w:rPr>
                <w:i w:val="0"/>
                <w:szCs w:val="28"/>
                <w:vertAlign w:val="superscript"/>
              </w:rPr>
              <w:t>1</w:t>
            </w:r>
            <w:r w:rsidRPr="006661CA">
              <w:rPr>
                <w:i w:val="0"/>
                <w:szCs w:val="28"/>
              </w:rPr>
              <w:t>2. un 77.</w:t>
            </w:r>
            <w:r w:rsidRPr="006661CA">
              <w:rPr>
                <w:i w:val="0"/>
                <w:szCs w:val="28"/>
                <w:vertAlign w:val="superscript"/>
              </w:rPr>
              <w:t>1</w:t>
            </w:r>
            <w:r w:rsidRPr="006661CA">
              <w:rPr>
                <w:i w:val="0"/>
                <w:szCs w:val="28"/>
              </w:rPr>
              <w:t xml:space="preserve">3.apakšpunkts) </w:t>
            </w:r>
          </w:p>
        </w:tc>
        <w:tc>
          <w:tcPr>
            <w:tcW w:w="2110" w:type="dxa"/>
          </w:tcPr>
          <w:p w:rsidR="00DE3650" w:rsidRDefault="00DE3650" w:rsidP="00052D09">
            <w:pPr>
              <w:jc w:val="center"/>
              <w:rPr>
                <w:sz w:val="24"/>
              </w:rPr>
            </w:pPr>
            <w:r w:rsidRPr="00BF5A40">
              <w:rPr>
                <w:sz w:val="24"/>
              </w:rPr>
              <w:t>Ieviests pilnībā</w:t>
            </w:r>
          </w:p>
          <w:p w:rsidR="00DE3650" w:rsidRPr="00BF5A40" w:rsidRDefault="00DE3650" w:rsidP="00052D09">
            <w:pPr>
              <w:jc w:val="center"/>
              <w:rPr>
                <w:sz w:val="24"/>
              </w:rPr>
            </w:pPr>
          </w:p>
        </w:tc>
        <w:tc>
          <w:tcPr>
            <w:tcW w:w="2027" w:type="dxa"/>
          </w:tcPr>
          <w:p w:rsidR="00DE3650" w:rsidRPr="00310973" w:rsidRDefault="00DE3650" w:rsidP="00052D09">
            <w:pPr>
              <w:jc w:val="center"/>
              <w:rPr>
                <w:sz w:val="24"/>
              </w:rPr>
            </w:pPr>
            <w:r w:rsidRPr="00310973">
              <w:rPr>
                <w:sz w:val="24"/>
              </w:rPr>
              <w:t>Neparedz stingrākas prasības</w:t>
            </w:r>
          </w:p>
        </w:tc>
      </w:tr>
      <w:tr w:rsidR="00DE3650" w:rsidRPr="00187944" w:rsidTr="003C6F53">
        <w:trPr>
          <w:trHeight w:val="165"/>
          <w:jc w:val="center"/>
        </w:trPr>
        <w:tc>
          <w:tcPr>
            <w:tcW w:w="2305" w:type="dxa"/>
          </w:tcPr>
          <w:p w:rsidR="00DE3650" w:rsidRPr="00B7029D" w:rsidRDefault="00DE3650" w:rsidP="00E94803">
            <w:pPr>
              <w:jc w:val="center"/>
              <w:rPr>
                <w:sz w:val="24"/>
                <w:highlight w:val="yellow"/>
              </w:rPr>
            </w:pPr>
            <w:r w:rsidRPr="00DE3650">
              <w:rPr>
                <w:sz w:val="24"/>
              </w:rPr>
              <w:t>Direktīvas 2011/70/Euratom 7.panta 5.punkts</w:t>
            </w:r>
          </w:p>
        </w:tc>
        <w:tc>
          <w:tcPr>
            <w:tcW w:w="2679" w:type="dxa"/>
          </w:tcPr>
          <w:p w:rsidR="00DE3650" w:rsidRPr="00DE3650" w:rsidRDefault="00DE3650" w:rsidP="00AA79C5">
            <w:pPr>
              <w:jc w:val="center"/>
              <w:rPr>
                <w:sz w:val="24"/>
              </w:rPr>
            </w:pPr>
            <w:r w:rsidRPr="00DE3650">
              <w:rPr>
                <w:sz w:val="24"/>
              </w:rPr>
              <w:t xml:space="preserve">Likums, MK noteikumi Nr.129, likumprojekta </w:t>
            </w:r>
            <w:r w:rsidR="00AA79C5" w:rsidRPr="00AA79C5">
              <w:rPr>
                <w:sz w:val="24"/>
              </w:rPr>
              <w:t>19.</w:t>
            </w:r>
            <w:r w:rsidRPr="00AA79C5">
              <w:rPr>
                <w:sz w:val="24"/>
              </w:rPr>
              <w:t>pants, noteikumu</w:t>
            </w:r>
            <w:r w:rsidRPr="00DE3650">
              <w:rPr>
                <w:sz w:val="24"/>
              </w:rPr>
              <w:t xml:space="preserve"> </w:t>
            </w:r>
            <w:r w:rsidRPr="00AA79C5">
              <w:rPr>
                <w:sz w:val="24"/>
              </w:rPr>
              <w:t>projekta 1</w:t>
            </w:r>
            <w:r w:rsidR="00AA79C5" w:rsidRPr="00AA79C5">
              <w:rPr>
                <w:sz w:val="24"/>
              </w:rPr>
              <w:t>4</w:t>
            </w:r>
            <w:r w:rsidRPr="00AA79C5">
              <w:rPr>
                <w:sz w:val="24"/>
              </w:rPr>
              <w:t>.punkts</w:t>
            </w:r>
            <w:r w:rsidRPr="00DE3650">
              <w:rPr>
                <w:sz w:val="24"/>
              </w:rPr>
              <w:t xml:space="preserve"> (noteikumu Nr.129 77.</w:t>
            </w:r>
            <w:r w:rsidRPr="00DE3650">
              <w:rPr>
                <w:sz w:val="24"/>
                <w:vertAlign w:val="superscript"/>
              </w:rPr>
              <w:t>1</w:t>
            </w:r>
            <w:r w:rsidRPr="00DE3650">
              <w:rPr>
                <w:sz w:val="24"/>
              </w:rPr>
              <w:t>1.apakšpunkts)</w:t>
            </w:r>
          </w:p>
        </w:tc>
        <w:tc>
          <w:tcPr>
            <w:tcW w:w="2110" w:type="dxa"/>
          </w:tcPr>
          <w:p w:rsidR="00DE3650" w:rsidRDefault="00DE3650" w:rsidP="00052D09">
            <w:pPr>
              <w:jc w:val="center"/>
              <w:rPr>
                <w:sz w:val="24"/>
              </w:rPr>
            </w:pPr>
            <w:r w:rsidRPr="00BF5A40">
              <w:rPr>
                <w:sz w:val="24"/>
              </w:rPr>
              <w:t>Ieviests pilnībā</w:t>
            </w:r>
          </w:p>
          <w:p w:rsidR="00DE3650" w:rsidRPr="00187944" w:rsidRDefault="00DE3650" w:rsidP="00052D09">
            <w:pPr>
              <w:jc w:val="center"/>
              <w:rPr>
                <w:sz w:val="24"/>
              </w:rPr>
            </w:pPr>
          </w:p>
        </w:tc>
        <w:tc>
          <w:tcPr>
            <w:tcW w:w="2027" w:type="dxa"/>
          </w:tcPr>
          <w:p w:rsidR="00DE3650" w:rsidRDefault="00DE3650" w:rsidP="00052D09">
            <w:pPr>
              <w:jc w:val="center"/>
              <w:rPr>
                <w:sz w:val="24"/>
              </w:rPr>
            </w:pPr>
            <w:r w:rsidRPr="00310973">
              <w:rPr>
                <w:sz w:val="24"/>
              </w:rPr>
              <w:t>Neparedz stingrākas prasības</w:t>
            </w:r>
          </w:p>
          <w:p w:rsidR="00DE3650" w:rsidRPr="00310973" w:rsidRDefault="00DE3650" w:rsidP="00DE3650">
            <w:pPr>
              <w:jc w:val="both"/>
              <w:rPr>
                <w:sz w:val="24"/>
              </w:rPr>
            </w:pPr>
            <w:r w:rsidRPr="00DE3650">
              <w:rPr>
                <w:sz w:val="24"/>
              </w:rPr>
              <w:t>Latvijā radioaktīvo atkritumu apjoms ir neliels, attiecīgi radioaktīvo atkritumu glabātavas „Radons” apsaimniekošanas izmaksas nav iespējams nosegt tikai ar operatoru maksu par atkritumu pārvaldību un apglabāšanu. Tādejādi glabātavas izmaksas tiek segtas no valsts budžeta.</w:t>
            </w:r>
          </w:p>
        </w:tc>
      </w:tr>
      <w:tr w:rsidR="00DE3650" w:rsidRPr="00187944" w:rsidTr="003C6F53">
        <w:trPr>
          <w:trHeight w:val="165"/>
          <w:jc w:val="center"/>
        </w:trPr>
        <w:tc>
          <w:tcPr>
            <w:tcW w:w="2305" w:type="dxa"/>
          </w:tcPr>
          <w:p w:rsidR="00DE3650" w:rsidRDefault="00DE3650" w:rsidP="00A55D24">
            <w:pPr>
              <w:jc w:val="center"/>
              <w:rPr>
                <w:sz w:val="24"/>
              </w:rPr>
            </w:pPr>
            <w:r>
              <w:rPr>
                <w:sz w:val="24"/>
              </w:rPr>
              <w:t xml:space="preserve">Direktīvas </w:t>
            </w:r>
            <w:r w:rsidRPr="00102CE2">
              <w:rPr>
                <w:sz w:val="24"/>
              </w:rPr>
              <w:t>2011/70/Euratom</w:t>
            </w:r>
            <w:r>
              <w:rPr>
                <w:sz w:val="24"/>
              </w:rPr>
              <w:t xml:space="preserve"> 8.pants</w:t>
            </w:r>
          </w:p>
        </w:tc>
        <w:tc>
          <w:tcPr>
            <w:tcW w:w="2679" w:type="dxa"/>
          </w:tcPr>
          <w:p w:rsidR="00DE3650" w:rsidRDefault="00DE3650" w:rsidP="00A55D24">
            <w:pPr>
              <w:jc w:val="center"/>
              <w:rPr>
                <w:sz w:val="24"/>
              </w:rPr>
            </w:pPr>
            <w:r>
              <w:rPr>
                <w:sz w:val="24"/>
              </w:rPr>
              <w:t>Likums, MK noteikumi Nr.723</w:t>
            </w:r>
          </w:p>
        </w:tc>
        <w:tc>
          <w:tcPr>
            <w:tcW w:w="2110" w:type="dxa"/>
          </w:tcPr>
          <w:p w:rsidR="00DE3650" w:rsidRDefault="00DE3650" w:rsidP="006A24FA">
            <w:pPr>
              <w:jc w:val="center"/>
              <w:rPr>
                <w:sz w:val="24"/>
              </w:rPr>
            </w:pPr>
            <w:r w:rsidRPr="00BF5A40">
              <w:rPr>
                <w:sz w:val="24"/>
              </w:rPr>
              <w:t>Ieviests pilnībā</w:t>
            </w:r>
          </w:p>
          <w:p w:rsidR="00DE3650" w:rsidRPr="00187944" w:rsidRDefault="00DE3650" w:rsidP="006A24FA">
            <w:pPr>
              <w:jc w:val="center"/>
              <w:rPr>
                <w:sz w:val="24"/>
              </w:rPr>
            </w:pPr>
          </w:p>
        </w:tc>
        <w:tc>
          <w:tcPr>
            <w:tcW w:w="2027" w:type="dxa"/>
          </w:tcPr>
          <w:p w:rsidR="00DE3650" w:rsidRPr="00310973" w:rsidRDefault="00DE3650" w:rsidP="006A24FA">
            <w:pPr>
              <w:jc w:val="center"/>
              <w:rPr>
                <w:sz w:val="24"/>
              </w:rPr>
            </w:pPr>
            <w:r w:rsidRPr="00310973">
              <w:rPr>
                <w:sz w:val="24"/>
              </w:rPr>
              <w:t>Neparedz stingrākas prasības</w:t>
            </w:r>
          </w:p>
        </w:tc>
      </w:tr>
      <w:tr w:rsidR="00DE3650" w:rsidRPr="00187944" w:rsidTr="003C6F53">
        <w:trPr>
          <w:trHeight w:val="165"/>
          <w:jc w:val="center"/>
        </w:trPr>
        <w:tc>
          <w:tcPr>
            <w:tcW w:w="2305" w:type="dxa"/>
          </w:tcPr>
          <w:p w:rsidR="00DE3650" w:rsidRDefault="00DE3650" w:rsidP="00FF6EAC">
            <w:pPr>
              <w:jc w:val="center"/>
              <w:rPr>
                <w:sz w:val="24"/>
              </w:rPr>
            </w:pPr>
            <w:r>
              <w:rPr>
                <w:sz w:val="24"/>
              </w:rPr>
              <w:t xml:space="preserve">Direktīvas </w:t>
            </w:r>
            <w:r w:rsidRPr="00102CE2">
              <w:rPr>
                <w:sz w:val="24"/>
              </w:rPr>
              <w:t>2011/70/Euratom</w:t>
            </w:r>
            <w:r>
              <w:rPr>
                <w:sz w:val="24"/>
              </w:rPr>
              <w:t xml:space="preserve"> 10.panta 1.punkts</w:t>
            </w:r>
          </w:p>
        </w:tc>
        <w:tc>
          <w:tcPr>
            <w:tcW w:w="2679" w:type="dxa"/>
          </w:tcPr>
          <w:p w:rsidR="00DE3650" w:rsidRDefault="00DE3650" w:rsidP="00A55D24">
            <w:pPr>
              <w:jc w:val="center"/>
              <w:rPr>
                <w:sz w:val="24"/>
              </w:rPr>
            </w:pPr>
            <w:r>
              <w:rPr>
                <w:sz w:val="24"/>
              </w:rPr>
              <w:t>Likums, MK noteikumi Nr.723, likumprojekta 12.pants (likuma 15.panta 2.daļa)</w:t>
            </w:r>
          </w:p>
        </w:tc>
        <w:tc>
          <w:tcPr>
            <w:tcW w:w="2110" w:type="dxa"/>
          </w:tcPr>
          <w:p w:rsidR="00DE3650" w:rsidRDefault="00DE3650" w:rsidP="006A24FA">
            <w:pPr>
              <w:jc w:val="center"/>
              <w:rPr>
                <w:sz w:val="24"/>
              </w:rPr>
            </w:pPr>
            <w:r w:rsidRPr="00BF5A40">
              <w:rPr>
                <w:sz w:val="24"/>
              </w:rPr>
              <w:t>Ieviests pilnībā</w:t>
            </w:r>
          </w:p>
          <w:p w:rsidR="00DE3650" w:rsidRPr="00187944" w:rsidRDefault="00DE3650" w:rsidP="006A24FA">
            <w:pPr>
              <w:jc w:val="center"/>
              <w:rPr>
                <w:sz w:val="24"/>
              </w:rPr>
            </w:pPr>
          </w:p>
        </w:tc>
        <w:tc>
          <w:tcPr>
            <w:tcW w:w="2027" w:type="dxa"/>
          </w:tcPr>
          <w:p w:rsidR="00DE3650" w:rsidRPr="00310973" w:rsidRDefault="00DE3650" w:rsidP="006A24FA">
            <w:pPr>
              <w:jc w:val="center"/>
              <w:rPr>
                <w:sz w:val="24"/>
              </w:rPr>
            </w:pPr>
            <w:r w:rsidRPr="00310973">
              <w:rPr>
                <w:sz w:val="24"/>
              </w:rPr>
              <w:t>Neparedz stingrākas prasības</w:t>
            </w:r>
          </w:p>
        </w:tc>
      </w:tr>
      <w:tr w:rsidR="00DE3650" w:rsidRPr="00187944" w:rsidTr="003C6F53">
        <w:trPr>
          <w:trHeight w:val="165"/>
          <w:jc w:val="center"/>
        </w:trPr>
        <w:tc>
          <w:tcPr>
            <w:tcW w:w="2305" w:type="dxa"/>
          </w:tcPr>
          <w:p w:rsidR="00DE3650" w:rsidRDefault="00DE3650" w:rsidP="00FF6EAC">
            <w:pPr>
              <w:jc w:val="center"/>
              <w:rPr>
                <w:sz w:val="24"/>
              </w:rPr>
            </w:pPr>
            <w:r>
              <w:rPr>
                <w:sz w:val="24"/>
              </w:rPr>
              <w:t xml:space="preserve">Direktīvas </w:t>
            </w:r>
            <w:r w:rsidRPr="00102CE2">
              <w:rPr>
                <w:sz w:val="24"/>
              </w:rPr>
              <w:t>2011/70/Euratom</w:t>
            </w:r>
            <w:r>
              <w:rPr>
                <w:sz w:val="24"/>
              </w:rPr>
              <w:t xml:space="preserve"> 10.panta 2.punkts</w:t>
            </w:r>
          </w:p>
        </w:tc>
        <w:tc>
          <w:tcPr>
            <w:tcW w:w="2679" w:type="dxa"/>
          </w:tcPr>
          <w:p w:rsidR="00DE3650" w:rsidRDefault="00DE3650" w:rsidP="00A55D24">
            <w:pPr>
              <w:jc w:val="center"/>
              <w:rPr>
                <w:sz w:val="24"/>
              </w:rPr>
            </w:pPr>
            <w:r>
              <w:rPr>
                <w:sz w:val="24"/>
              </w:rPr>
              <w:t>Likums, MK noteikumi Nr.723, likums „Par ietekmes uz vidi novērtējumu”</w:t>
            </w:r>
          </w:p>
        </w:tc>
        <w:tc>
          <w:tcPr>
            <w:tcW w:w="2110" w:type="dxa"/>
          </w:tcPr>
          <w:p w:rsidR="00DE3650" w:rsidRDefault="00DE3650" w:rsidP="006A24FA">
            <w:pPr>
              <w:jc w:val="center"/>
              <w:rPr>
                <w:sz w:val="24"/>
              </w:rPr>
            </w:pPr>
            <w:r w:rsidRPr="00BF5A40">
              <w:rPr>
                <w:sz w:val="24"/>
              </w:rPr>
              <w:t>Ieviests pilnībā</w:t>
            </w:r>
          </w:p>
          <w:p w:rsidR="00DE3650" w:rsidRPr="00187944" w:rsidRDefault="00DE3650" w:rsidP="006A24FA">
            <w:pPr>
              <w:jc w:val="center"/>
              <w:rPr>
                <w:sz w:val="24"/>
              </w:rPr>
            </w:pPr>
          </w:p>
        </w:tc>
        <w:tc>
          <w:tcPr>
            <w:tcW w:w="2027" w:type="dxa"/>
          </w:tcPr>
          <w:p w:rsidR="00DE3650" w:rsidRPr="00310973" w:rsidRDefault="00DE3650" w:rsidP="006A24FA">
            <w:pPr>
              <w:jc w:val="center"/>
              <w:rPr>
                <w:sz w:val="24"/>
              </w:rPr>
            </w:pPr>
            <w:r w:rsidRPr="00310973">
              <w:rPr>
                <w:sz w:val="24"/>
              </w:rPr>
              <w:t>Neparedz stingrākas prasības</w:t>
            </w:r>
          </w:p>
        </w:tc>
      </w:tr>
      <w:tr w:rsidR="00DE3650" w:rsidRPr="00187944" w:rsidTr="003C6F53">
        <w:trPr>
          <w:trHeight w:val="165"/>
          <w:jc w:val="center"/>
        </w:trPr>
        <w:tc>
          <w:tcPr>
            <w:tcW w:w="2305" w:type="dxa"/>
          </w:tcPr>
          <w:p w:rsidR="00DE3650" w:rsidRDefault="00DE3650" w:rsidP="00FF6EAC">
            <w:pPr>
              <w:jc w:val="center"/>
              <w:rPr>
                <w:sz w:val="24"/>
              </w:rPr>
            </w:pPr>
            <w:r>
              <w:rPr>
                <w:sz w:val="24"/>
              </w:rPr>
              <w:t xml:space="preserve">Direktīvas </w:t>
            </w:r>
            <w:r w:rsidRPr="00102CE2">
              <w:rPr>
                <w:sz w:val="24"/>
              </w:rPr>
              <w:t>2011/70/Euratom</w:t>
            </w:r>
            <w:r>
              <w:rPr>
                <w:sz w:val="24"/>
              </w:rPr>
              <w:t xml:space="preserve"> 11.-12.pants, 15.panta 4.punkts</w:t>
            </w:r>
          </w:p>
        </w:tc>
        <w:tc>
          <w:tcPr>
            <w:tcW w:w="2679" w:type="dxa"/>
          </w:tcPr>
          <w:p w:rsidR="00DE3650" w:rsidRPr="00BA1C0C" w:rsidRDefault="00DE3650" w:rsidP="00FF6EAC">
            <w:pPr>
              <w:jc w:val="center"/>
              <w:rPr>
                <w:sz w:val="24"/>
              </w:rPr>
            </w:pPr>
            <w:r w:rsidRPr="00BA1C0C">
              <w:rPr>
                <w:bCs/>
                <w:sz w:val="24"/>
              </w:rPr>
              <w:t xml:space="preserve">Radioaktīvo atkritumu glabāšanas koncepcija (apstiprināta ar MK </w:t>
            </w:r>
            <w:r w:rsidRPr="00BA1C0C">
              <w:rPr>
                <w:sz w:val="24"/>
              </w:rPr>
              <w:t>2003.gada 26.jūnija</w:t>
            </w:r>
            <w:r w:rsidRPr="00BA1C0C">
              <w:rPr>
                <w:bCs/>
                <w:sz w:val="24"/>
              </w:rPr>
              <w:t xml:space="preserve"> rīkojumu Nr.414)</w:t>
            </w:r>
          </w:p>
        </w:tc>
        <w:tc>
          <w:tcPr>
            <w:tcW w:w="2110" w:type="dxa"/>
          </w:tcPr>
          <w:p w:rsidR="00DE3650" w:rsidRDefault="00DE3650" w:rsidP="006A24FA">
            <w:pPr>
              <w:jc w:val="center"/>
              <w:rPr>
                <w:sz w:val="24"/>
              </w:rPr>
            </w:pPr>
            <w:r>
              <w:rPr>
                <w:sz w:val="24"/>
              </w:rPr>
              <w:t>Daļēji ieviests</w:t>
            </w:r>
          </w:p>
          <w:p w:rsidR="00DE3650" w:rsidRPr="00187944" w:rsidRDefault="00DE3650" w:rsidP="007D30DA">
            <w:pPr>
              <w:jc w:val="both"/>
              <w:rPr>
                <w:sz w:val="24"/>
              </w:rPr>
            </w:pPr>
            <w:r>
              <w:rPr>
                <w:sz w:val="24"/>
              </w:rPr>
              <w:t>Skat. anotācijas V sadaļas 1.tabulas „Cita informācija” 2) punktu</w:t>
            </w:r>
          </w:p>
        </w:tc>
        <w:tc>
          <w:tcPr>
            <w:tcW w:w="2027" w:type="dxa"/>
          </w:tcPr>
          <w:p w:rsidR="00DE3650" w:rsidRPr="00310973" w:rsidRDefault="00DE3650" w:rsidP="006A24FA">
            <w:pPr>
              <w:jc w:val="center"/>
              <w:rPr>
                <w:sz w:val="24"/>
              </w:rPr>
            </w:pPr>
            <w:r w:rsidRPr="00310973">
              <w:rPr>
                <w:sz w:val="24"/>
              </w:rPr>
              <w:t>Neparedz stingrākas prasības</w:t>
            </w:r>
          </w:p>
        </w:tc>
      </w:tr>
      <w:tr w:rsidR="00365398" w:rsidRPr="00187944" w:rsidTr="003C6F53">
        <w:trPr>
          <w:trHeight w:val="165"/>
          <w:jc w:val="center"/>
        </w:trPr>
        <w:tc>
          <w:tcPr>
            <w:tcW w:w="2305" w:type="dxa"/>
          </w:tcPr>
          <w:p w:rsidR="00365398" w:rsidRDefault="00365398" w:rsidP="00365398">
            <w:pPr>
              <w:jc w:val="center"/>
              <w:rPr>
                <w:sz w:val="24"/>
              </w:rPr>
            </w:pPr>
            <w:r>
              <w:rPr>
                <w:sz w:val="24"/>
              </w:rPr>
              <w:t xml:space="preserve">Direktīvas </w:t>
            </w:r>
            <w:r w:rsidRPr="00102CE2">
              <w:rPr>
                <w:sz w:val="24"/>
              </w:rPr>
              <w:t>2011/70/Euratom</w:t>
            </w:r>
            <w:r>
              <w:rPr>
                <w:sz w:val="24"/>
              </w:rPr>
              <w:t xml:space="preserve">  15.panta 1.punkts</w:t>
            </w:r>
          </w:p>
        </w:tc>
        <w:tc>
          <w:tcPr>
            <w:tcW w:w="2679" w:type="dxa"/>
          </w:tcPr>
          <w:p w:rsidR="00365398" w:rsidRPr="00BA1C0C" w:rsidRDefault="00365398" w:rsidP="00FF6EAC">
            <w:pPr>
              <w:jc w:val="center"/>
              <w:rPr>
                <w:bCs/>
                <w:sz w:val="24"/>
              </w:rPr>
            </w:pPr>
            <w:r>
              <w:rPr>
                <w:bCs/>
                <w:sz w:val="24"/>
              </w:rPr>
              <w:t>Noteikumu projekta 21.punkts</w:t>
            </w:r>
          </w:p>
        </w:tc>
        <w:tc>
          <w:tcPr>
            <w:tcW w:w="2110" w:type="dxa"/>
          </w:tcPr>
          <w:p w:rsidR="00365398" w:rsidRDefault="00365398" w:rsidP="00945629">
            <w:pPr>
              <w:jc w:val="center"/>
              <w:rPr>
                <w:sz w:val="24"/>
              </w:rPr>
            </w:pPr>
            <w:r w:rsidRPr="00BF5A40">
              <w:rPr>
                <w:sz w:val="24"/>
              </w:rPr>
              <w:t>Ieviests pilnībā</w:t>
            </w:r>
          </w:p>
          <w:p w:rsidR="00365398" w:rsidRPr="00187944" w:rsidRDefault="00365398" w:rsidP="00945629">
            <w:pPr>
              <w:jc w:val="center"/>
              <w:rPr>
                <w:sz w:val="24"/>
              </w:rPr>
            </w:pPr>
          </w:p>
        </w:tc>
        <w:tc>
          <w:tcPr>
            <w:tcW w:w="2027" w:type="dxa"/>
          </w:tcPr>
          <w:p w:rsidR="00365398" w:rsidRPr="00310973" w:rsidRDefault="00365398" w:rsidP="00945629">
            <w:pPr>
              <w:jc w:val="center"/>
              <w:rPr>
                <w:sz w:val="24"/>
              </w:rPr>
            </w:pPr>
            <w:r w:rsidRPr="00310973">
              <w:rPr>
                <w:sz w:val="24"/>
              </w:rPr>
              <w:t>Neparedz stingrākas prasības</w:t>
            </w:r>
          </w:p>
        </w:tc>
      </w:tr>
      <w:tr w:rsidR="00365398" w:rsidRPr="00187944" w:rsidTr="003C6F53">
        <w:trPr>
          <w:trHeight w:val="165"/>
          <w:jc w:val="center"/>
        </w:trPr>
        <w:tc>
          <w:tcPr>
            <w:tcW w:w="2305" w:type="dxa"/>
          </w:tcPr>
          <w:p w:rsidR="00365398" w:rsidRPr="00E94803" w:rsidRDefault="00365398" w:rsidP="00FF6EAC">
            <w:pPr>
              <w:jc w:val="center"/>
              <w:rPr>
                <w:sz w:val="24"/>
              </w:rPr>
            </w:pPr>
            <w:r w:rsidRPr="00E94803">
              <w:rPr>
                <w:sz w:val="24"/>
              </w:rPr>
              <w:t>Direktīva 2003/122/EAEK</w:t>
            </w:r>
            <w:r>
              <w:rPr>
                <w:sz w:val="24"/>
              </w:rPr>
              <w:t xml:space="preserve"> 3.panta 2.punkta a)punkts</w:t>
            </w:r>
          </w:p>
        </w:tc>
        <w:tc>
          <w:tcPr>
            <w:tcW w:w="2679" w:type="dxa"/>
          </w:tcPr>
          <w:p w:rsidR="00365398" w:rsidRPr="00BA1C0C" w:rsidRDefault="00365398" w:rsidP="00BA1C0C">
            <w:pPr>
              <w:jc w:val="center"/>
              <w:rPr>
                <w:bCs/>
                <w:sz w:val="24"/>
              </w:rPr>
            </w:pPr>
            <w:r w:rsidRPr="00BA1C0C">
              <w:rPr>
                <w:sz w:val="24"/>
              </w:rPr>
              <w:t>MK noteikumi Nr.129, Likums, MK noteikumi Nr.723</w:t>
            </w:r>
          </w:p>
        </w:tc>
        <w:tc>
          <w:tcPr>
            <w:tcW w:w="2110" w:type="dxa"/>
          </w:tcPr>
          <w:p w:rsidR="00365398" w:rsidRDefault="00365398" w:rsidP="00A64977">
            <w:pPr>
              <w:jc w:val="center"/>
              <w:rPr>
                <w:sz w:val="24"/>
              </w:rPr>
            </w:pPr>
            <w:r w:rsidRPr="00BF5A40">
              <w:rPr>
                <w:sz w:val="24"/>
              </w:rPr>
              <w:t>Ieviests pilnībā</w:t>
            </w:r>
          </w:p>
          <w:p w:rsidR="00365398" w:rsidRPr="00187944" w:rsidRDefault="00365398" w:rsidP="00A64977">
            <w:pPr>
              <w:jc w:val="center"/>
              <w:rPr>
                <w:sz w:val="24"/>
              </w:rPr>
            </w:pPr>
          </w:p>
        </w:tc>
        <w:tc>
          <w:tcPr>
            <w:tcW w:w="2027" w:type="dxa"/>
          </w:tcPr>
          <w:p w:rsidR="00365398" w:rsidRPr="00310973" w:rsidRDefault="00365398" w:rsidP="00A64977">
            <w:pPr>
              <w:jc w:val="center"/>
              <w:rPr>
                <w:sz w:val="24"/>
              </w:rPr>
            </w:pPr>
            <w:r w:rsidRPr="00310973">
              <w:rPr>
                <w:sz w:val="24"/>
              </w:rPr>
              <w:t>Neparedz stingrākas prasības</w:t>
            </w:r>
          </w:p>
        </w:tc>
      </w:tr>
      <w:tr w:rsidR="00365398" w:rsidRPr="00187944" w:rsidTr="003C6F53">
        <w:trPr>
          <w:trHeight w:val="165"/>
          <w:jc w:val="center"/>
        </w:trPr>
        <w:tc>
          <w:tcPr>
            <w:tcW w:w="2305" w:type="dxa"/>
          </w:tcPr>
          <w:p w:rsidR="00365398" w:rsidRPr="00E94803" w:rsidRDefault="00365398" w:rsidP="00E94803">
            <w:pPr>
              <w:jc w:val="center"/>
              <w:rPr>
                <w:sz w:val="24"/>
              </w:rPr>
            </w:pPr>
            <w:r w:rsidRPr="00E94803">
              <w:rPr>
                <w:sz w:val="24"/>
              </w:rPr>
              <w:t>Direktīva 2003/122/EAEK</w:t>
            </w:r>
            <w:r>
              <w:rPr>
                <w:sz w:val="24"/>
              </w:rPr>
              <w:t xml:space="preserve"> 3.panta 2.punkta b)punkts</w:t>
            </w:r>
          </w:p>
        </w:tc>
        <w:tc>
          <w:tcPr>
            <w:tcW w:w="2679" w:type="dxa"/>
          </w:tcPr>
          <w:p w:rsidR="00365398" w:rsidRPr="00BA1C0C" w:rsidRDefault="00365398" w:rsidP="00BA1C0C">
            <w:pPr>
              <w:jc w:val="center"/>
              <w:rPr>
                <w:bCs/>
                <w:sz w:val="24"/>
              </w:rPr>
            </w:pPr>
            <w:r w:rsidRPr="00BA1C0C">
              <w:rPr>
                <w:sz w:val="24"/>
              </w:rPr>
              <w:t>MK noteikum</w:t>
            </w:r>
            <w:r>
              <w:rPr>
                <w:sz w:val="24"/>
              </w:rPr>
              <w:t>i</w:t>
            </w:r>
            <w:r w:rsidRPr="00BA1C0C">
              <w:rPr>
                <w:sz w:val="24"/>
              </w:rPr>
              <w:t xml:space="preserve"> Nr.129, MK noteikumi Nr.723 un </w:t>
            </w:r>
            <w:r w:rsidRPr="00BA1C0C">
              <w:rPr>
                <w:rStyle w:val="Strong"/>
                <w:b w:val="0"/>
                <w:bCs w:val="0"/>
                <w:sz w:val="24"/>
              </w:rPr>
              <w:t>Dabas resursu nodokļa likums</w:t>
            </w:r>
          </w:p>
        </w:tc>
        <w:tc>
          <w:tcPr>
            <w:tcW w:w="2110" w:type="dxa"/>
          </w:tcPr>
          <w:p w:rsidR="00365398" w:rsidRDefault="00365398" w:rsidP="00A64977">
            <w:pPr>
              <w:jc w:val="center"/>
              <w:rPr>
                <w:sz w:val="24"/>
              </w:rPr>
            </w:pPr>
            <w:r w:rsidRPr="00BF5A40">
              <w:rPr>
                <w:sz w:val="24"/>
              </w:rPr>
              <w:t>Ieviests pilnībā</w:t>
            </w:r>
          </w:p>
          <w:p w:rsidR="00365398" w:rsidRPr="00187944" w:rsidRDefault="00365398" w:rsidP="00A64977">
            <w:pPr>
              <w:jc w:val="center"/>
              <w:rPr>
                <w:sz w:val="24"/>
              </w:rPr>
            </w:pPr>
          </w:p>
        </w:tc>
        <w:tc>
          <w:tcPr>
            <w:tcW w:w="2027" w:type="dxa"/>
          </w:tcPr>
          <w:p w:rsidR="00365398" w:rsidRPr="00310973" w:rsidRDefault="00365398" w:rsidP="00A64977">
            <w:pPr>
              <w:jc w:val="center"/>
              <w:rPr>
                <w:sz w:val="24"/>
              </w:rPr>
            </w:pPr>
            <w:r w:rsidRPr="00310973">
              <w:rPr>
                <w:sz w:val="24"/>
              </w:rPr>
              <w:t>Neparedz stingrākas prasības</w:t>
            </w:r>
          </w:p>
        </w:tc>
      </w:tr>
      <w:tr w:rsidR="00365398" w:rsidRPr="00187944" w:rsidTr="003C6F53">
        <w:trPr>
          <w:trHeight w:val="165"/>
          <w:jc w:val="center"/>
        </w:trPr>
        <w:tc>
          <w:tcPr>
            <w:tcW w:w="2305" w:type="dxa"/>
          </w:tcPr>
          <w:p w:rsidR="00365398" w:rsidRPr="00E94803" w:rsidRDefault="00365398" w:rsidP="00E94803">
            <w:pPr>
              <w:jc w:val="center"/>
              <w:rPr>
                <w:sz w:val="24"/>
              </w:rPr>
            </w:pPr>
            <w:r w:rsidRPr="00E94803">
              <w:rPr>
                <w:sz w:val="24"/>
              </w:rPr>
              <w:t>Direktīva 2003/122/EAEK</w:t>
            </w:r>
            <w:r>
              <w:rPr>
                <w:sz w:val="24"/>
              </w:rPr>
              <w:t xml:space="preserve"> 3.panta 2.punkta g)punkts</w:t>
            </w:r>
          </w:p>
        </w:tc>
        <w:tc>
          <w:tcPr>
            <w:tcW w:w="2679" w:type="dxa"/>
          </w:tcPr>
          <w:p w:rsidR="00365398" w:rsidRPr="008D358F" w:rsidRDefault="00365398" w:rsidP="00BA1C0C">
            <w:pPr>
              <w:jc w:val="center"/>
              <w:rPr>
                <w:bCs/>
                <w:sz w:val="24"/>
              </w:rPr>
            </w:pPr>
            <w:r w:rsidRPr="008D358F">
              <w:rPr>
                <w:sz w:val="24"/>
              </w:rPr>
              <w:t>Likums, MK noteikumi Nr.129, MK noteikumi Nr.723, MK 2002.gada 9.aprīļa noteikumi Nr.149 „Noteikumi par aizsardzību pret jonizējošo starojumu”</w:t>
            </w:r>
          </w:p>
        </w:tc>
        <w:tc>
          <w:tcPr>
            <w:tcW w:w="2110" w:type="dxa"/>
          </w:tcPr>
          <w:p w:rsidR="00365398" w:rsidRDefault="00365398" w:rsidP="00A64977">
            <w:pPr>
              <w:jc w:val="center"/>
              <w:rPr>
                <w:sz w:val="24"/>
              </w:rPr>
            </w:pPr>
            <w:r w:rsidRPr="00BF5A40">
              <w:rPr>
                <w:sz w:val="24"/>
              </w:rPr>
              <w:t>Ieviests pilnībā</w:t>
            </w:r>
          </w:p>
          <w:p w:rsidR="00365398" w:rsidRPr="00187944" w:rsidRDefault="00365398" w:rsidP="00A64977">
            <w:pPr>
              <w:jc w:val="center"/>
              <w:rPr>
                <w:sz w:val="24"/>
              </w:rPr>
            </w:pPr>
          </w:p>
        </w:tc>
        <w:tc>
          <w:tcPr>
            <w:tcW w:w="2027" w:type="dxa"/>
          </w:tcPr>
          <w:p w:rsidR="00365398" w:rsidRPr="00310973" w:rsidRDefault="00365398" w:rsidP="00A64977">
            <w:pPr>
              <w:jc w:val="center"/>
              <w:rPr>
                <w:sz w:val="24"/>
              </w:rPr>
            </w:pPr>
            <w:r w:rsidRPr="00310973">
              <w:rPr>
                <w:sz w:val="24"/>
              </w:rPr>
              <w:t>Neparedz stingrākas prasības</w:t>
            </w:r>
          </w:p>
        </w:tc>
      </w:tr>
      <w:tr w:rsidR="00365398" w:rsidRPr="00187944" w:rsidTr="003C6F53">
        <w:trPr>
          <w:trHeight w:val="165"/>
          <w:jc w:val="center"/>
        </w:trPr>
        <w:tc>
          <w:tcPr>
            <w:tcW w:w="2305" w:type="dxa"/>
          </w:tcPr>
          <w:p w:rsidR="00365398" w:rsidRPr="00E94803" w:rsidRDefault="00365398" w:rsidP="00E94803">
            <w:pPr>
              <w:jc w:val="center"/>
              <w:rPr>
                <w:sz w:val="24"/>
              </w:rPr>
            </w:pPr>
            <w:r w:rsidRPr="00E94803">
              <w:rPr>
                <w:sz w:val="24"/>
              </w:rPr>
              <w:t>Direktīva 2003/122/EAEK</w:t>
            </w:r>
            <w:r>
              <w:rPr>
                <w:sz w:val="24"/>
              </w:rPr>
              <w:t xml:space="preserve"> 6.panta e)punkts</w:t>
            </w:r>
          </w:p>
        </w:tc>
        <w:tc>
          <w:tcPr>
            <w:tcW w:w="2679" w:type="dxa"/>
          </w:tcPr>
          <w:p w:rsidR="00365398" w:rsidRPr="00E94803" w:rsidRDefault="00365398" w:rsidP="007E3D2F">
            <w:pPr>
              <w:jc w:val="center"/>
              <w:rPr>
                <w:sz w:val="24"/>
                <w:highlight w:val="yellow"/>
              </w:rPr>
            </w:pPr>
            <w:r w:rsidRPr="008D358F">
              <w:rPr>
                <w:sz w:val="24"/>
              </w:rPr>
              <w:t>Likums, MK noteikumi Nr.129, MK 2002.gada 9.aprīļa noteikumi Nr.149 „Noteikumi par aizsardzību pret jonizējošo starojumu”</w:t>
            </w:r>
          </w:p>
        </w:tc>
        <w:tc>
          <w:tcPr>
            <w:tcW w:w="2110" w:type="dxa"/>
          </w:tcPr>
          <w:p w:rsidR="00365398" w:rsidRDefault="00365398" w:rsidP="00C5489A">
            <w:pPr>
              <w:jc w:val="center"/>
              <w:rPr>
                <w:sz w:val="24"/>
              </w:rPr>
            </w:pPr>
            <w:r w:rsidRPr="00BF5A40">
              <w:rPr>
                <w:sz w:val="24"/>
              </w:rPr>
              <w:t>Ieviests pilnībā</w:t>
            </w:r>
          </w:p>
          <w:p w:rsidR="00365398" w:rsidRPr="00187944" w:rsidRDefault="00365398" w:rsidP="00C5489A">
            <w:pPr>
              <w:jc w:val="center"/>
              <w:rPr>
                <w:sz w:val="24"/>
              </w:rPr>
            </w:pPr>
          </w:p>
        </w:tc>
        <w:tc>
          <w:tcPr>
            <w:tcW w:w="2027" w:type="dxa"/>
          </w:tcPr>
          <w:p w:rsidR="00365398" w:rsidRPr="00310973" w:rsidRDefault="00365398" w:rsidP="00C5489A">
            <w:pPr>
              <w:jc w:val="center"/>
              <w:rPr>
                <w:sz w:val="24"/>
              </w:rPr>
            </w:pPr>
            <w:r w:rsidRPr="00310973">
              <w:rPr>
                <w:sz w:val="24"/>
              </w:rPr>
              <w:t>Neparedz stingrākas prasības</w:t>
            </w:r>
          </w:p>
        </w:tc>
      </w:tr>
      <w:tr w:rsidR="00365398" w:rsidRPr="00187944" w:rsidTr="00945629">
        <w:trPr>
          <w:trHeight w:val="165"/>
          <w:jc w:val="center"/>
        </w:trPr>
        <w:tc>
          <w:tcPr>
            <w:tcW w:w="2305" w:type="dxa"/>
          </w:tcPr>
          <w:p w:rsidR="00365398" w:rsidRDefault="00365398" w:rsidP="00365398">
            <w:pPr>
              <w:jc w:val="center"/>
              <w:rPr>
                <w:sz w:val="24"/>
              </w:rPr>
            </w:pPr>
            <w:r>
              <w:rPr>
                <w:sz w:val="24"/>
              </w:rPr>
              <w:t xml:space="preserve">Direktīvas </w:t>
            </w:r>
            <w:r w:rsidRPr="00102CE2">
              <w:rPr>
                <w:sz w:val="24"/>
              </w:rPr>
              <w:t>20</w:t>
            </w:r>
            <w:r>
              <w:rPr>
                <w:sz w:val="24"/>
              </w:rPr>
              <w:t>03</w:t>
            </w:r>
            <w:r w:rsidRPr="00102CE2">
              <w:rPr>
                <w:sz w:val="24"/>
              </w:rPr>
              <w:t>/</w:t>
            </w:r>
            <w:r>
              <w:rPr>
                <w:sz w:val="24"/>
              </w:rPr>
              <w:t>122</w:t>
            </w:r>
            <w:r w:rsidRPr="00102CE2">
              <w:rPr>
                <w:sz w:val="24"/>
              </w:rPr>
              <w:t>/</w:t>
            </w:r>
            <w:r>
              <w:rPr>
                <w:sz w:val="24"/>
              </w:rPr>
              <w:t xml:space="preserve">EAEK  11.panta 1.punkts (par atsauci uz direktīvu) </w:t>
            </w:r>
          </w:p>
        </w:tc>
        <w:tc>
          <w:tcPr>
            <w:tcW w:w="2679" w:type="dxa"/>
          </w:tcPr>
          <w:p w:rsidR="00365398" w:rsidRPr="00BA1C0C" w:rsidRDefault="00365398" w:rsidP="00945629">
            <w:pPr>
              <w:jc w:val="center"/>
              <w:rPr>
                <w:bCs/>
                <w:sz w:val="24"/>
              </w:rPr>
            </w:pPr>
            <w:r>
              <w:rPr>
                <w:bCs/>
                <w:sz w:val="24"/>
              </w:rPr>
              <w:t>Noteikumu projekta 21.punkts</w:t>
            </w:r>
          </w:p>
        </w:tc>
        <w:tc>
          <w:tcPr>
            <w:tcW w:w="2110" w:type="dxa"/>
          </w:tcPr>
          <w:p w:rsidR="00365398" w:rsidRDefault="00365398" w:rsidP="00945629">
            <w:pPr>
              <w:jc w:val="center"/>
              <w:rPr>
                <w:sz w:val="24"/>
              </w:rPr>
            </w:pPr>
            <w:r w:rsidRPr="00BF5A40">
              <w:rPr>
                <w:sz w:val="24"/>
              </w:rPr>
              <w:t>Ieviests pilnībā</w:t>
            </w:r>
          </w:p>
          <w:p w:rsidR="00365398" w:rsidRPr="00187944" w:rsidRDefault="00365398" w:rsidP="00945629">
            <w:pPr>
              <w:jc w:val="center"/>
              <w:rPr>
                <w:sz w:val="24"/>
              </w:rPr>
            </w:pPr>
          </w:p>
        </w:tc>
        <w:tc>
          <w:tcPr>
            <w:tcW w:w="2027" w:type="dxa"/>
          </w:tcPr>
          <w:p w:rsidR="00365398" w:rsidRPr="00310973" w:rsidRDefault="00365398" w:rsidP="00945629">
            <w:pPr>
              <w:jc w:val="center"/>
              <w:rPr>
                <w:sz w:val="24"/>
              </w:rPr>
            </w:pPr>
            <w:r w:rsidRPr="00310973">
              <w:rPr>
                <w:sz w:val="24"/>
              </w:rPr>
              <w:t>Neparedz stingrākas prasības</w:t>
            </w:r>
          </w:p>
        </w:tc>
      </w:tr>
      <w:tr w:rsidR="00365398" w:rsidRPr="00187944" w:rsidTr="003C6F53">
        <w:trPr>
          <w:trHeight w:val="281"/>
          <w:jc w:val="center"/>
        </w:trPr>
        <w:tc>
          <w:tcPr>
            <w:tcW w:w="2305" w:type="dxa"/>
          </w:tcPr>
          <w:p w:rsidR="00365398" w:rsidRPr="00187944" w:rsidRDefault="00365398" w:rsidP="00DA5963">
            <w:pPr>
              <w:pStyle w:val="naiskr"/>
              <w:spacing w:before="0" w:after="120"/>
              <w:jc w:val="both"/>
            </w:pPr>
            <w:r w:rsidRPr="00187944">
              <w:t>Kā ir izmantota ES tiesību aktā paredzētā rīcības brīvība dalībvalstij pārņemt vai ieviest noteiktas ES tiesību akta normas.</w:t>
            </w:r>
          </w:p>
          <w:p w:rsidR="00365398" w:rsidRPr="00187944" w:rsidRDefault="00365398" w:rsidP="00DA5963">
            <w:pPr>
              <w:pStyle w:val="naiskr"/>
              <w:spacing w:before="0" w:after="120"/>
            </w:pPr>
            <w:r w:rsidRPr="00187944">
              <w:t>Kādēļ?</w:t>
            </w:r>
          </w:p>
        </w:tc>
        <w:tc>
          <w:tcPr>
            <w:tcW w:w="6816" w:type="dxa"/>
            <w:gridSpan w:val="3"/>
          </w:tcPr>
          <w:p w:rsidR="00365398" w:rsidRPr="00187944" w:rsidRDefault="00365398" w:rsidP="00C42AF4">
            <w:pPr>
              <w:pStyle w:val="naiskr"/>
              <w:spacing w:before="0" w:after="120"/>
              <w:jc w:val="both"/>
            </w:pPr>
            <w:r w:rsidRPr="00187944">
              <w:t>Nav attiecināms</w:t>
            </w:r>
          </w:p>
        </w:tc>
      </w:tr>
      <w:tr w:rsidR="00365398" w:rsidRPr="00187944" w:rsidTr="003C6F53">
        <w:trPr>
          <w:trHeight w:val="913"/>
          <w:jc w:val="center"/>
        </w:trPr>
        <w:tc>
          <w:tcPr>
            <w:tcW w:w="2305" w:type="dxa"/>
          </w:tcPr>
          <w:p w:rsidR="00365398" w:rsidRPr="00187944" w:rsidRDefault="00365398" w:rsidP="00DA5963">
            <w:pPr>
              <w:spacing w:after="120"/>
              <w:jc w:val="both"/>
              <w:rPr>
                <w:sz w:val="24"/>
              </w:rPr>
            </w:pPr>
            <w:r w:rsidRPr="00187944">
              <w:rPr>
                <w:sz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816" w:type="dxa"/>
            <w:gridSpan w:val="3"/>
          </w:tcPr>
          <w:p w:rsidR="00365398" w:rsidRPr="00187944" w:rsidRDefault="00365398" w:rsidP="00DA5963">
            <w:pPr>
              <w:pStyle w:val="basetext"/>
              <w:widowControl/>
              <w:tabs>
                <w:tab w:val="clear" w:pos="357"/>
                <w:tab w:val="left" w:pos="720"/>
              </w:tabs>
              <w:spacing w:before="0" w:after="120"/>
              <w:ind w:right="72"/>
              <w:rPr>
                <w:szCs w:val="24"/>
                <w:lang w:val="lv-LV"/>
              </w:rPr>
            </w:pPr>
            <w:r w:rsidRPr="00187944">
              <w:rPr>
                <w:szCs w:val="24"/>
                <w:lang w:val="lv-LV"/>
              </w:rPr>
              <w:t>Nav attiecināms</w:t>
            </w:r>
          </w:p>
        </w:tc>
      </w:tr>
      <w:tr w:rsidR="00365398" w:rsidRPr="00187944" w:rsidTr="003C6F53">
        <w:trPr>
          <w:trHeight w:val="579"/>
          <w:jc w:val="center"/>
        </w:trPr>
        <w:tc>
          <w:tcPr>
            <w:tcW w:w="2305" w:type="dxa"/>
          </w:tcPr>
          <w:p w:rsidR="00365398" w:rsidRPr="00187944" w:rsidRDefault="00365398" w:rsidP="00DA5963">
            <w:pPr>
              <w:pStyle w:val="naiskr"/>
              <w:spacing w:before="0" w:after="120"/>
            </w:pPr>
            <w:r w:rsidRPr="00187944">
              <w:t> Cita informācija</w:t>
            </w:r>
          </w:p>
        </w:tc>
        <w:tc>
          <w:tcPr>
            <w:tcW w:w="6816" w:type="dxa"/>
            <w:gridSpan w:val="3"/>
          </w:tcPr>
          <w:p w:rsidR="00365398" w:rsidRPr="00AA7E61" w:rsidRDefault="00365398" w:rsidP="00944336">
            <w:pPr>
              <w:pStyle w:val="basetext"/>
              <w:widowControl/>
              <w:tabs>
                <w:tab w:val="clear" w:pos="357"/>
                <w:tab w:val="left" w:pos="720"/>
              </w:tabs>
              <w:spacing w:before="0" w:after="120"/>
              <w:ind w:right="72"/>
              <w:rPr>
                <w:szCs w:val="24"/>
                <w:lang w:val="lv-LV"/>
              </w:rPr>
            </w:pPr>
            <w:r w:rsidRPr="00AA7E61">
              <w:rPr>
                <w:b/>
                <w:szCs w:val="24"/>
                <w:lang w:val="lv-LV"/>
              </w:rPr>
              <w:t>1)</w:t>
            </w:r>
            <w:r w:rsidRPr="00AA7E61">
              <w:rPr>
                <w:szCs w:val="24"/>
                <w:lang w:val="lv-LV"/>
              </w:rPr>
              <w:t xml:space="preserve"> Direktīvas 2011/70/Euratom 5.pants satur vispārīgus nosacījumus valsts sistēmai radioaktīvo atkritumu pārvaldībai:</w:t>
            </w:r>
          </w:p>
          <w:p w:rsidR="00365398" w:rsidRPr="00AA7E61" w:rsidRDefault="00365398" w:rsidP="00944336">
            <w:pPr>
              <w:pStyle w:val="basetext"/>
              <w:widowControl/>
              <w:tabs>
                <w:tab w:val="clear" w:pos="357"/>
                <w:tab w:val="left" w:pos="720"/>
              </w:tabs>
              <w:spacing w:before="0" w:after="120"/>
              <w:ind w:right="72"/>
              <w:rPr>
                <w:szCs w:val="24"/>
                <w:lang w:val="lv-LV"/>
              </w:rPr>
            </w:pPr>
            <w:r w:rsidRPr="00AA7E61">
              <w:rPr>
                <w:szCs w:val="24"/>
                <w:lang w:val="lv-LV"/>
              </w:rPr>
              <w:t>a) valsts programma tiks izstrādāta līdz 2015.gada 23.augustam,</w:t>
            </w:r>
            <w:r>
              <w:rPr>
                <w:szCs w:val="24"/>
                <w:lang w:val="lv-LV"/>
              </w:rPr>
              <w:t xml:space="preserve"> </w:t>
            </w:r>
            <w:r w:rsidRPr="00AA7E61">
              <w:rPr>
                <w:szCs w:val="24"/>
                <w:lang w:val="lv-LV"/>
              </w:rPr>
              <w:t>ievērojot Direktīvas 2011/70/Euratom 15.panta 3.punktu;</w:t>
            </w:r>
          </w:p>
          <w:p w:rsidR="00365398" w:rsidRPr="00AA7E61" w:rsidRDefault="00365398" w:rsidP="00944336">
            <w:pPr>
              <w:pStyle w:val="basetext"/>
              <w:widowControl/>
              <w:tabs>
                <w:tab w:val="clear" w:pos="357"/>
                <w:tab w:val="left" w:pos="720"/>
              </w:tabs>
              <w:spacing w:before="0" w:after="120"/>
              <w:ind w:right="72"/>
              <w:rPr>
                <w:szCs w:val="24"/>
                <w:lang w:val="lv-LV"/>
              </w:rPr>
            </w:pPr>
            <w:r w:rsidRPr="00AA7E61">
              <w:rPr>
                <w:szCs w:val="24"/>
                <w:lang w:val="lv-LV"/>
              </w:rPr>
              <w:t>b) drošas radioaktīvo atkritumu apsaimniekošanas nosacījumus un kontroli ietver tiesību aktu prasības radiācijas drošības jomā (likums, MK noteikumi Nr.129, MK noteikumi Nr.723;</w:t>
            </w:r>
          </w:p>
          <w:p w:rsidR="00365398" w:rsidRPr="00AA7E61" w:rsidRDefault="00365398" w:rsidP="00944336">
            <w:pPr>
              <w:pStyle w:val="basetext"/>
              <w:widowControl/>
              <w:tabs>
                <w:tab w:val="clear" w:pos="357"/>
                <w:tab w:val="left" w:pos="720"/>
              </w:tabs>
              <w:spacing w:before="0" w:after="120"/>
              <w:ind w:right="72"/>
              <w:rPr>
                <w:szCs w:val="24"/>
                <w:lang w:val="lv-LV"/>
              </w:rPr>
            </w:pPr>
            <w:r w:rsidRPr="00AA7E61">
              <w:rPr>
                <w:szCs w:val="24"/>
                <w:lang w:val="lv-LV"/>
              </w:rPr>
              <w:t>c) par radioaktīvo atkritumu apsaimniekošanu ir atbildīgs operators, kura darbības rezultātā atkritumi rodas;</w:t>
            </w:r>
          </w:p>
          <w:p w:rsidR="00365398" w:rsidRPr="00AA7E61" w:rsidRDefault="00365398" w:rsidP="00944336">
            <w:pPr>
              <w:pStyle w:val="naiskr"/>
              <w:spacing w:before="0" w:after="120"/>
              <w:ind w:left="34"/>
              <w:jc w:val="both"/>
              <w:rPr>
                <w:bCs/>
              </w:rPr>
            </w:pPr>
            <w:r w:rsidRPr="00AA7E61">
              <w:t xml:space="preserve">d) lai arī operators ir atbildīgs par radioaktīvo atkritumu pārvaldības izmaksu segšanu, nepieciešams ņemt vērā, ka Latvijā radioaktīvo atkritumu apjoms ir neliels. Radioaktīvo atkritumu glabātavas „Radons”, kuru apsaimnieko VSIA LVĢMC, izmaksas nav iespējams nosegt tikai ar operatoru maksu par atkritumu pārvaldību un apglabāšanu. Tādejādi glabātavas izmaksas tiek segtas no valsts budžeta. Tas attiecas uz Direktīvas </w:t>
            </w:r>
            <w:r w:rsidRPr="00AA7E61">
              <w:rPr>
                <w:u w:val="single"/>
              </w:rPr>
              <w:t>2011/70/Euratom 5.panta 1.punkta h)punkta un 9.panta nosacījumu ieviešanu</w:t>
            </w:r>
            <w:r w:rsidRPr="00AA7E61">
              <w:t xml:space="preserve">. Tāpat arī glabātavas paplašināšanai paredzētās izmaksas tiek plānotas no valsts budžeta atbilstoši </w:t>
            </w:r>
            <w:r w:rsidRPr="00AA7E61">
              <w:rPr>
                <w:bCs/>
              </w:rPr>
              <w:t xml:space="preserve">Radioaktīvo atkritumu glabāšanas koncepcijai (apstiprināta ar MK </w:t>
            </w:r>
            <w:r w:rsidRPr="00AA7E61">
              <w:t>2003.gada 26.jūnija</w:t>
            </w:r>
            <w:r w:rsidRPr="00AA7E61">
              <w:rPr>
                <w:bCs/>
              </w:rPr>
              <w:t xml:space="preserve"> rīkojumu Nr.414).</w:t>
            </w:r>
          </w:p>
          <w:p w:rsidR="00365398" w:rsidRPr="00AA7E61" w:rsidRDefault="00365398" w:rsidP="00944336">
            <w:pPr>
              <w:pStyle w:val="basetext"/>
              <w:widowControl/>
              <w:tabs>
                <w:tab w:val="clear" w:pos="357"/>
                <w:tab w:val="left" w:pos="720"/>
              </w:tabs>
              <w:spacing w:before="0" w:after="120"/>
              <w:ind w:right="72"/>
              <w:rPr>
                <w:szCs w:val="24"/>
                <w:lang w:val="lv-LV"/>
              </w:rPr>
            </w:pPr>
            <w:r w:rsidRPr="00AA7E61">
              <w:rPr>
                <w:b/>
                <w:szCs w:val="24"/>
                <w:lang w:val="lv-LV"/>
              </w:rPr>
              <w:t>2)</w:t>
            </w:r>
            <w:r w:rsidRPr="00AA7E61">
              <w:rPr>
                <w:szCs w:val="24"/>
                <w:lang w:val="lv-LV"/>
              </w:rPr>
              <w:t xml:space="preserve"> Pašreiz plānoto darbību radioaktīvo atkritumu pārvaldības jomā nosaka </w:t>
            </w:r>
            <w:r w:rsidRPr="00AA7E61">
              <w:rPr>
                <w:bCs/>
                <w:szCs w:val="24"/>
                <w:lang w:val="lv-LV"/>
              </w:rPr>
              <w:t xml:space="preserve">Radioaktīvo atkritumu glabāšanas koncepcija (apstiprināta ar MK </w:t>
            </w:r>
            <w:r w:rsidRPr="00AA7E61">
              <w:rPr>
                <w:szCs w:val="24"/>
                <w:lang w:val="lv-LV"/>
              </w:rPr>
              <w:t>2003.gada 26.jūnija</w:t>
            </w:r>
            <w:r w:rsidRPr="00AA7E61">
              <w:rPr>
                <w:bCs/>
                <w:szCs w:val="24"/>
                <w:lang w:val="lv-LV"/>
              </w:rPr>
              <w:t xml:space="preserve"> rīkojumu Nr.414). </w:t>
            </w:r>
            <w:r w:rsidRPr="00AA7E61">
              <w:rPr>
                <w:szCs w:val="24"/>
                <w:lang w:val="lv-LV"/>
              </w:rPr>
              <w:t>Direktīvas 2011/70/Euratom prasības, kas attiecas uz nacionālajām radioaktīvo atkritumu apsaimniekošanas programmām, plānots iekļaut Vides politikas pamatnostādnēs 2014.-2018.gadam, kuras tiks izstrādātas 2013.gadā. Jautājumus par radioaktīvo atkritumu apsaimniekošanu Vides politikas pamatnostādnēs 2014.-2018.gadam plānots iekļaut 2015.gadā. Nacionālās programmas radioaktīvo atkritu</w:t>
            </w:r>
            <w:r>
              <w:rPr>
                <w:szCs w:val="24"/>
                <w:lang w:val="lv-LV"/>
              </w:rPr>
              <w:t>mu apsaimniekošanai atbilstoši D</w:t>
            </w:r>
            <w:r w:rsidRPr="00AA7E61">
              <w:rPr>
                <w:szCs w:val="24"/>
                <w:lang w:val="lv-LV"/>
              </w:rPr>
              <w:t xml:space="preserve">irektīvas 2011/70/Euratom 15.panta 3.punkta prasībām </w:t>
            </w:r>
            <w:r>
              <w:rPr>
                <w:szCs w:val="24"/>
                <w:lang w:val="lv-LV"/>
              </w:rPr>
              <w:t>EK</w:t>
            </w:r>
            <w:r w:rsidRPr="00AA7E61">
              <w:rPr>
                <w:szCs w:val="24"/>
                <w:lang w:val="lv-LV"/>
              </w:rPr>
              <w:t xml:space="preserve"> ir jānosūta ne vēlāk kā līdz 2015.gada 23.augustam.</w:t>
            </w:r>
          </w:p>
          <w:p w:rsidR="00365398" w:rsidRPr="00AA7E61" w:rsidRDefault="00365398" w:rsidP="00944336">
            <w:pPr>
              <w:pStyle w:val="basetext"/>
              <w:widowControl/>
              <w:tabs>
                <w:tab w:val="clear" w:pos="357"/>
                <w:tab w:val="left" w:pos="720"/>
              </w:tabs>
              <w:spacing w:before="0" w:after="120"/>
              <w:ind w:right="72"/>
              <w:rPr>
                <w:szCs w:val="24"/>
                <w:lang w:val="lv-LV"/>
              </w:rPr>
            </w:pPr>
            <w:r w:rsidRPr="00AA7E61">
              <w:rPr>
                <w:b/>
                <w:szCs w:val="24"/>
                <w:lang w:val="lv-LV"/>
              </w:rPr>
              <w:t>3)</w:t>
            </w:r>
            <w:r>
              <w:rPr>
                <w:szCs w:val="24"/>
                <w:lang w:val="lv-LV"/>
              </w:rPr>
              <w:t xml:space="preserve"> Atbilstoši D</w:t>
            </w:r>
            <w:r w:rsidRPr="00AA7E61">
              <w:rPr>
                <w:szCs w:val="24"/>
                <w:lang w:val="lv-LV"/>
              </w:rPr>
              <w:t xml:space="preserve">irektīvas 2011/70/Euratom 15.panta 2.punkta prasībām Latvijas tiesību aktos </w:t>
            </w:r>
            <w:r>
              <w:rPr>
                <w:szCs w:val="24"/>
                <w:u w:val="single"/>
                <w:lang w:val="lv-LV"/>
              </w:rPr>
              <w:t>nav jāpārņem D</w:t>
            </w:r>
            <w:r w:rsidRPr="00AA7E61">
              <w:rPr>
                <w:szCs w:val="24"/>
                <w:u w:val="single"/>
                <w:lang w:val="lv-LV"/>
              </w:rPr>
              <w:t>irektīvas 2011/70/Euratom noteikumi par lietoto kodoldegvielu</w:t>
            </w:r>
            <w:r w:rsidRPr="00AA7E61">
              <w:rPr>
                <w:szCs w:val="24"/>
                <w:lang w:val="lv-LV"/>
              </w:rPr>
              <w:t>, kamēr nav pieņemts lēmums izvērst jebkādu darbību saistībā ar kodoldegvielu.</w:t>
            </w:r>
          </w:p>
          <w:p w:rsidR="00365398" w:rsidRPr="00AA7E61" w:rsidRDefault="00365398" w:rsidP="00944336">
            <w:pPr>
              <w:pStyle w:val="CM1"/>
              <w:spacing w:after="120"/>
              <w:jc w:val="both"/>
              <w:rPr>
                <w:rFonts w:ascii="Times New Roman" w:hAnsi="Times New Roman"/>
              </w:rPr>
            </w:pPr>
            <w:r w:rsidRPr="00AA7E61">
              <w:rPr>
                <w:rFonts w:ascii="Times New Roman" w:hAnsi="Times New Roman"/>
                <w:b/>
              </w:rPr>
              <w:t>4)</w:t>
            </w:r>
            <w:r w:rsidRPr="00AA7E61">
              <w:rPr>
                <w:rFonts w:ascii="Times New Roman" w:hAnsi="Times New Roman"/>
              </w:rPr>
              <w:t xml:space="preserve"> Ziņojumu EK par Direktīvas 2011/70/Euratom īstenošanu gatavos VVD RDC. Ziņojumu nepieciešams nosūtīt EK atbilstoši Direktīvas 2011/70/Euratom 14.panta 1.pantam pirmoreiz līdz 2015.gada 23.augustam un pēc tam reizi trijos gados. Ziņojums tiks sagatavots, izmantojot Kopējās lietotās kodoldegvielas un radioaktīvo atkritumu drošas pārvaldības konvencijas pārskatu, kura sagatavošanas termiņš sakrīt ar direktīvā noteikto termiņu. </w:t>
            </w:r>
          </w:p>
          <w:p w:rsidR="00365398" w:rsidRPr="000B3611" w:rsidRDefault="00365398" w:rsidP="00944336">
            <w:pPr>
              <w:pStyle w:val="tvhtmlmktable"/>
              <w:spacing w:before="0" w:beforeAutospacing="0" w:after="120" w:afterAutospacing="0"/>
              <w:jc w:val="both"/>
              <w:rPr>
                <w:rFonts w:ascii="Times New Roman" w:hAnsi="Times New Roman"/>
                <w:sz w:val="24"/>
                <w:szCs w:val="24"/>
              </w:rPr>
            </w:pPr>
            <w:r w:rsidRPr="00AA7E61">
              <w:rPr>
                <w:rFonts w:ascii="Times New Roman" w:hAnsi="Times New Roman"/>
                <w:b/>
                <w:sz w:val="24"/>
                <w:szCs w:val="24"/>
              </w:rPr>
              <w:t>5)</w:t>
            </w:r>
            <w:r w:rsidRPr="00AA7E61">
              <w:rPr>
                <w:rFonts w:ascii="Times New Roman" w:hAnsi="Times New Roman"/>
                <w:sz w:val="24"/>
                <w:szCs w:val="24"/>
              </w:rPr>
              <w:t xml:space="preserve"> Atbilstoši Direktīvas 2011/70/Euratom 14.panta 3.punktam dalībvalstīm periodiski un vismaz reizi desmit gados </w:t>
            </w:r>
            <w:r>
              <w:rPr>
                <w:rFonts w:ascii="Times New Roman" w:hAnsi="Times New Roman"/>
                <w:sz w:val="24"/>
                <w:szCs w:val="24"/>
              </w:rPr>
              <w:t xml:space="preserve">VVD RDC </w:t>
            </w:r>
            <w:r w:rsidRPr="00AA7E61">
              <w:rPr>
                <w:rFonts w:ascii="Times New Roman" w:hAnsi="Times New Roman"/>
                <w:sz w:val="24"/>
                <w:szCs w:val="24"/>
              </w:rPr>
              <w:t>jāsagatavo pašnovērtējumus par savu valsts sistēmu, kompetento iestādi, valsts programmu radioaktīvo atkritumu apsaimniekošanai un tās īstenošanu. Plānotais pašnovērtējums varētu notikt 2017.gadā, bet starptautiskais novērtējums</w:t>
            </w:r>
            <w:r>
              <w:rPr>
                <w:rFonts w:ascii="Times New Roman" w:hAnsi="Times New Roman"/>
                <w:sz w:val="24"/>
                <w:szCs w:val="24"/>
              </w:rPr>
              <w:t>, kuru veiks</w:t>
            </w:r>
            <w:r w:rsidRPr="00AA7E61">
              <w:rPr>
                <w:rFonts w:ascii="Times New Roman" w:hAnsi="Times New Roman"/>
                <w:sz w:val="24"/>
                <w:szCs w:val="24"/>
              </w:rPr>
              <w:t xml:space="preserve"> </w:t>
            </w:r>
            <w:r>
              <w:rPr>
                <w:rFonts w:ascii="Times New Roman" w:hAnsi="Times New Roman"/>
                <w:sz w:val="24"/>
                <w:szCs w:val="24"/>
              </w:rPr>
              <w:t xml:space="preserve">pieaicinātie starptautiski eksperti </w:t>
            </w:r>
            <w:r w:rsidRPr="00AA7E61">
              <w:rPr>
                <w:rFonts w:ascii="Times New Roman" w:hAnsi="Times New Roman"/>
                <w:sz w:val="24"/>
                <w:szCs w:val="24"/>
              </w:rPr>
              <w:t>- 2018.gadā.</w:t>
            </w:r>
          </w:p>
        </w:tc>
      </w:tr>
    </w:tbl>
    <w:p w:rsidR="00BC0C16" w:rsidRPr="00187944" w:rsidRDefault="00BC0C16" w:rsidP="00BC0C16">
      <w:pPr>
        <w:pStyle w:val="naisf"/>
      </w:pPr>
      <w:r w:rsidRPr="00187944">
        <w:t> </w:t>
      </w:r>
    </w:p>
    <w:tbl>
      <w:tblPr>
        <w:tblW w:w="9128"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15"/>
        <w:gridCol w:w="2976"/>
        <w:gridCol w:w="2137"/>
      </w:tblGrid>
      <w:tr w:rsidR="00BC0C16" w:rsidRPr="00187944" w:rsidTr="00783754">
        <w:trPr>
          <w:trHeight w:val="792"/>
          <w:jc w:val="center"/>
        </w:trPr>
        <w:tc>
          <w:tcPr>
            <w:tcW w:w="9128" w:type="dxa"/>
            <w:gridSpan w:val="3"/>
          </w:tcPr>
          <w:p w:rsidR="00BC0C16" w:rsidRPr="00187944" w:rsidRDefault="00BC0C16" w:rsidP="00944336">
            <w:pPr>
              <w:pStyle w:val="naisnod"/>
              <w:spacing w:before="0" w:after="0"/>
            </w:pPr>
            <w:r w:rsidRPr="00187944">
              <w:t> 2.tabula</w:t>
            </w:r>
          </w:p>
          <w:p w:rsidR="00BC0C16" w:rsidRPr="00187944" w:rsidRDefault="00BC0C16" w:rsidP="00DA5963">
            <w:pPr>
              <w:pStyle w:val="naisnod"/>
              <w:spacing w:before="0" w:after="120"/>
            </w:pPr>
            <w:r w:rsidRPr="00187944">
              <w:t>Ar tiesību akta projektu uzņemtās saistības, kas izriet no starptautiskajiem tiesību aktiem vai starptautiskas institūcijas vai organizācijas dokumentiem</w:t>
            </w:r>
          </w:p>
          <w:p w:rsidR="00BC0C16" w:rsidRPr="00187944" w:rsidRDefault="00BC0C16" w:rsidP="00DA5963">
            <w:pPr>
              <w:pStyle w:val="naisnod"/>
              <w:spacing w:before="0" w:after="120"/>
            </w:pPr>
            <w:r w:rsidRPr="00187944">
              <w:t>Pasākumi šo saistību izpildei</w:t>
            </w:r>
          </w:p>
        </w:tc>
      </w:tr>
      <w:tr w:rsidR="00BC0C16" w:rsidRPr="00187944" w:rsidTr="00783754">
        <w:trPr>
          <w:trHeight w:val="1596"/>
          <w:jc w:val="center"/>
        </w:trPr>
        <w:tc>
          <w:tcPr>
            <w:tcW w:w="4015" w:type="dxa"/>
          </w:tcPr>
          <w:p w:rsidR="00BC0C16" w:rsidRPr="00187944" w:rsidRDefault="00BC0C16" w:rsidP="00DA5963">
            <w:pPr>
              <w:pStyle w:val="naiskr"/>
              <w:spacing w:before="0" w:after="120"/>
              <w:jc w:val="both"/>
            </w:pPr>
            <w:r w:rsidRPr="00187944">
              <w:t>Attiecīgā starptautiskā tiesību akta vai starptautiskas institūcijas vai organizācijas dokumenta (turpmāk – starptautiskais dokuments) datums, numurs un nosaukums</w:t>
            </w:r>
          </w:p>
        </w:tc>
        <w:tc>
          <w:tcPr>
            <w:tcW w:w="5113" w:type="dxa"/>
            <w:gridSpan w:val="2"/>
          </w:tcPr>
          <w:p w:rsidR="00865AF3" w:rsidRPr="00187944" w:rsidRDefault="00AC70C0" w:rsidP="00AC70C0">
            <w:pPr>
              <w:spacing w:after="120"/>
              <w:jc w:val="both"/>
              <w:rPr>
                <w:sz w:val="24"/>
              </w:rPr>
            </w:pPr>
            <w:r w:rsidRPr="00187944">
              <w:rPr>
                <w:sz w:val="24"/>
              </w:rPr>
              <w:t>Kopējā lietotās kodoldegvielas un radioaktīvo atkritumu drošas pārvaldības konvencija.</w:t>
            </w:r>
          </w:p>
        </w:tc>
      </w:tr>
      <w:tr w:rsidR="00BC0C16" w:rsidRPr="00187944" w:rsidTr="00783754">
        <w:trPr>
          <w:trHeight w:val="341"/>
          <w:jc w:val="center"/>
        </w:trPr>
        <w:tc>
          <w:tcPr>
            <w:tcW w:w="4015" w:type="dxa"/>
          </w:tcPr>
          <w:p w:rsidR="00BC0C16" w:rsidRPr="00187944" w:rsidRDefault="00BC0C16" w:rsidP="004D160E">
            <w:pPr>
              <w:pStyle w:val="naisc"/>
              <w:spacing w:before="0" w:after="0"/>
            </w:pPr>
            <w:r w:rsidRPr="00187944">
              <w:t> A</w:t>
            </w:r>
          </w:p>
        </w:tc>
        <w:tc>
          <w:tcPr>
            <w:tcW w:w="2976" w:type="dxa"/>
          </w:tcPr>
          <w:p w:rsidR="00BC0C16" w:rsidRPr="00187944" w:rsidRDefault="00BC0C16" w:rsidP="004D160E">
            <w:pPr>
              <w:pStyle w:val="naisc"/>
              <w:spacing w:before="0" w:after="0"/>
            </w:pPr>
            <w:r w:rsidRPr="00187944">
              <w:t> B</w:t>
            </w:r>
          </w:p>
        </w:tc>
        <w:tc>
          <w:tcPr>
            <w:tcW w:w="2137" w:type="dxa"/>
          </w:tcPr>
          <w:p w:rsidR="00BC0C16" w:rsidRPr="00187944" w:rsidRDefault="00BC0C16" w:rsidP="004D160E">
            <w:pPr>
              <w:pStyle w:val="naisc"/>
              <w:spacing w:before="0" w:after="0"/>
            </w:pPr>
            <w:r w:rsidRPr="00187944">
              <w:t> C</w:t>
            </w:r>
          </w:p>
        </w:tc>
      </w:tr>
      <w:tr w:rsidR="00301A54" w:rsidRPr="00187944" w:rsidTr="00783754">
        <w:trPr>
          <w:trHeight w:val="341"/>
          <w:jc w:val="center"/>
        </w:trPr>
        <w:tc>
          <w:tcPr>
            <w:tcW w:w="4015" w:type="dxa"/>
          </w:tcPr>
          <w:p w:rsidR="00301A54" w:rsidRPr="00187944" w:rsidRDefault="00301A54" w:rsidP="00963043">
            <w:pPr>
              <w:jc w:val="both"/>
              <w:rPr>
                <w:sz w:val="24"/>
              </w:rPr>
            </w:pPr>
            <w:r w:rsidRPr="00187944">
              <w:rPr>
                <w:sz w:val="24"/>
              </w:rPr>
              <w:t>Kopējā lietotās kodoldegvielas un radioaktīvo atkritumu drošas pārvaldības konvencija</w:t>
            </w:r>
            <w:r>
              <w:rPr>
                <w:sz w:val="24"/>
              </w:rPr>
              <w:t xml:space="preserve"> nosaka prasības lietotās kodoldegvielas un radioaktīvo atkritumu pārvaldībai.</w:t>
            </w:r>
          </w:p>
        </w:tc>
        <w:tc>
          <w:tcPr>
            <w:tcW w:w="2976" w:type="dxa"/>
          </w:tcPr>
          <w:p w:rsidR="000440B1" w:rsidRPr="00706CC4" w:rsidRDefault="00301A54" w:rsidP="00301A54">
            <w:pPr>
              <w:jc w:val="both"/>
              <w:rPr>
                <w:sz w:val="24"/>
                <w:highlight w:val="yellow"/>
              </w:rPr>
            </w:pPr>
            <w:r w:rsidRPr="00706CC4">
              <w:rPr>
                <w:sz w:val="24"/>
              </w:rPr>
              <w:t>Likum</w:t>
            </w:r>
            <w:r w:rsidR="000440B1" w:rsidRPr="00706CC4">
              <w:rPr>
                <w:sz w:val="24"/>
              </w:rPr>
              <w:t>s paredz vispārīgus norādījumus radioaktīvo atkritumu pārvaldīšanai, licencēšanas sistēm</w:t>
            </w:r>
            <w:r w:rsidR="00F9349F" w:rsidRPr="00706CC4">
              <w:rPr>
                <w:sz w:val="24"/>
              </w:rPr>
              <w:t>ai, kā arī operatoru pienākumus darbā ar jonizējošā starojuma avotiem.</w:t>
            </w:r>
          </w:p>
          <w:p w:rsidR="00301A54" w:rsidRDefault="000440B1" w:rsidP="00301A54">
            <w:pPr>
              <w:jc w:val="both"/>
              <w:rPr>
                <w:sz w:val="24"/>
              </w:rPr>
            </w:pPr>
            <w:r w:rsidRPr="00706CC4">
              <w:rPr>
                <w:sz w:val="24"/>
              </w:rPr>
              <w:t>Likumprojekt</w:t>
            </w:r>
            <w:r w:rsidR="00706CC4" w:rsidRPr="00706CC4">
              <w:rPr>
                <w:sz w:val="24"/>
              </w:rPr>
              <w:t>ā</w:t>
            </w:r>
            <w:r w:rsidR="00706CC4" w:rsidRPr="00706CC4">
              <w:rPr>
                <w:rStyle w:val="FootnoteReference"/>
                <w:sz w:val="24"/>
              </w:rPr>
              <w:footnoteReference w:id="3"/>
            </w:r>
            <w:r w:rsidR="00301A54" w:rsidRPr="00706CC4">
              <w:rPr>
                <w:sz w:val="24"/>
              </w:rPr>
              <w:t xml:space="preserve"> ietvertas nepieciešamās definīcijas radioaktīvo atkritumu pārvaldībai</w:t>
            </w:r>
            <w:r w:rsidR="00706CC4" w:rsidRPr="00706CC4">
              <w:rPr>
                <w:sz w:val="24"/>
              </w:rPr>
              <w:t xml:space="preserve"> un</w:t>
            </w:r>
            <w:r w:rsidR="00301A54" w:rsidRPr="00706CC4">
              <w:rPr>
                <w:sz w:val="24"/>
              </w:rPr>
              <w:t xml:space="preserve"> prasības speciālo atļauju licenču saņemšanai.</w:t>
            </w:r>
            <w:r w:rsidR="00301A54">
              <w:rPr>
                <w:sz w:val="24"/>
              </w:rPr>
              <w:t xml:space="preserve"> </w:t>
            </w:r>
          </w:p>
          <w:p w:rsidR="00301A54" w:rsidRDefault="00301A54" w:rsidP="00301A54">
            <w:pPr>
              <w:jc w:val="both"/>
              <w:rPr>
                <w:sz w:val="24"/>
              </w:rPr>
            </w:pPr>
            <w:r>
              <w:rPr>
                <w:sz w:val="24"/>
              </w:rPr>
              <w:t xml:space="preserve">MK noteikumos Nr.129 detālāk noteikti nosacījumi radioaktīvo atkritumu </w:t>
            </w:r>
            <w:r w:rsidR="00322A2F">
              <w:rPr>
                <w:sz w:val="24"/>
              </w:rPr>
              <w:t xml:space="preserve">drošai </w:t>
            </w:r>
            <w:r>
              <w:rPr>
                <w:sz w:val="24"/>
              </w:rPr>
              <w:t xml:space="preserve">apsaimniekošanai. </w:t>
            </w:r>
          </w:p>
          <w:p w:rsidR="00301A54" w:rsidRDefault="00301A54" w:rsidP="00301A54">
            <w:pPr>
              <w:jc w:val="both"/>
              <w:rPr>
                <w:sz w:val="24"/>
              </w:rPr>
            </w:pPr>
            <w:r>
              <w:rPr>
                <w:sz w:val="24"/>
              </w:rPr>
              <w:t>MK noteikumi Nr.723 nosaka nosacījumus speciālo atļauju (licenču) saņemšanai.</w:t>
            </w:r>
          </w:p>
        </w:tc>
        <w:tc>
          <w:tcPr>
            <w:tcW w:w="2137" w:type="dxa"/>
          </w:tcPr>
          <w:p w:rsidR="00301A54" w:rsidRDefault="00301A54" w:rsidP="00DA5963">
            <w:pPr>
              <w:jc w:val="center"/>
              <w:rPr>
                <w:sz w:val="24"/>
              </w:rPr>
            </w:pPr>
            <w:r>
              <w:rPr>
                <w:sz w:val="24"/>
              </w:rPr>
              <w:t>Izpildītas pilnībā</w:t>
            </w:r>
          </w:p>
        </w:tc>
      </w:tr>
      <w:tr w:rsidR="00BC0C16" w:rsidRPr="00187944" w:rsidTr="00783754">
        <w:trPr>
          <w:trHeight w:val="161"/>
          <w:jc w:val="center"/>
        </w:trPr>
        <w:tc>
          <w:tcPr>
            <w:tcW w:w="4015" w:type="dxa"/>
          </w:tcPr>
          <w:p w:rsidR="00BC0C16" w:rsidRPr="00187944" w:rsidRDefault="00BC0C16" w:rsidP="00DA5963">
            <w:pPr>
              <w:pStyle w:val="naiskr"/>
              <w:spacing w:before="0" w:after="120"/>
              <w:jc w:val="both"/>
            </w:pPr>
            <w:r w:rsidRPr="00187944">
              <w:t>Vai starptautiskajā dokumentā paredzētās saistības nav pretrunā ar jau esošajām Latvijas Republikas starptautiskajām saistībām</w:t>
            </w:r>
          </w:p>
        </w:tc>
        <w:tc>
          <w:tcPr>
            <w:tcW w:w="5113" w:type="dxa"/>
            <w:gridSpan w:val="2"/>
          </w:tcPr>
          <w:p w:rsidR="00BC0C16" w:rsidRPr="00187944" w:rsidRDefault="00BC0C16" w:rsidP="00DA5963">
            <w:pPr>
              <w:pStyle w:val="naiskr"/>
              <w:spacing w:before="0" w:after="120"/>
              <w:jc w:val="both"/>
            </w:pPr>
          </w:p>
        </w:tc>
      </w:tr>
      <w:tr w:rsidR="00BC0C16" w:rsidRPr="00187944" w:rsidTr="00783754">
        <w:trPr>
          <w:trHeight w:val="325"/>
          <w:jc w:val="center"/>
        </w:trPr>
        <w:tc>
          <w:tcPr>
            <w:tcW w:w="4015" w:type="dxa"/>
          </w:tcPr>
          <w:p w:rsidR="00BC0C16" w:rsidRPr="00187944" w:rsidRDefault="00BC0C16" w:rsidP="00DA5963">
            <w:pPr>
              <w:pStyle w:val="naiskr"/>
              <w:spacing w:before="0" w:after="120"/>
            </w:pPr>
            <w:r w:rsidRPr="00187944">
              <w:t> Cita informācija</w:t>
            </w:r>
          </w:p>
        </w:tc>
        <w:tc>
          <w:tcPr>
            <w:tcW w:w="5113" w:type="dxa"/>
            <w:gridSpan w:val="2"/>
          </w:tcPr>
          <w:p w:rsidR="00BC0C16" w:rsidRPr="00187944" w:rsidRDefault="00301A54" w:rsidP="00BA49D1">
            <w:pPr>
              <w:pStyle w:val="naiskr"/>
              <w:spacing w:before="0" w:after="0"/>
              <w:jc w:val="both"/>
            </w:pPr>
            <w:r>
              <w:t xml:space="preserve">Atbilstoši </w:t>
            </w:r>
            <w:r w:rsidRPr="00187944">
              <w:t>Kopējā</w:t>
            </w:r>
            <w:r>
              <w:t>s</w:t>
            </w:r>
            <w:r w:rsidRPr="00187944">
              <w:t xml:space="preserve"> lietotās kodoldegvielas un radioaktīvo atkritumu drošas pārvaldības konvencija</w:t>
            </w:r>
            <w:r>
              <w:t>i ik pēc trīs gadiem dalībvalstis sniedz konvencijas pārskata ziņojumus. Atbilstoši Direktīvai 2011/70/Euratom būs nepieciešams gatavot ziņojumu EK par radioaktīvo atkritumu pārvaldības jautājumiem un šis ziņojums tiks gatavots pamatojoties uz konvencijas sagatavoto pārskata ziņojumu.</w:t>
            </w:r>
          </w:p>
        </w:tc>
      </w:tr>
    </w:tbl>
    <w:p w:rsidR="00BC0C16" w:rsidRPr="00187944" w:rsidRDefault="00BC0C16" w:rsidP="00B20055">
      <w:pPr>
        <w:pStyle w:val="naiskr"/>
        <w:tabs>
          <w:tab w:val="left" w:pos="2628"/>
        </w:tabs>
        <w:spacing w:before="0" w:after="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2723"/>
        <w:gridCol w:w="5953"/>
      </w:tblGrid>
      <w:tr w:rsidR="00B20055" w:rsidRPr="00187944" w:rsidTr="00BE0CB2">
        <w:tc>
          <w:tcPr>
            <w:tcW w:w="9072" w:type="dxa"/>
            <w:gridSpan w:val="3"/>
            <w:shd w:val="clear" w:color="auto" w:fill="auto"/>
          </w:tcPr>
          <w:p w:rsidR="00B20055" w:rsidRPr="00187944" w:rsidRDefault="00B20055" w:rsidP="00B83ED8">
            <w:pPr>
              <w:pStyle w:val="naiskr"/>
              <w:tabs>
                <w:tab w:val="left" w:pos="2628"/>
              </w:tabs>
              <w:spacing w:before="120" w:after="120"/>
              <w:jc w:val="center"/>
            </w:pPr>
            <w:r w:rsidRPr="00187944">
              <w:rPr>
                <w:b/>
                <w:bCs/>
              </w:rPr>
              <w:t>VI. Sabiedrības līdzdalība un šīs līdzdalības rezultāti</w:t>
            </w:r>
          </w:p>
        </w:tc>
      </w:tr>
      <w:tr w:rsidR="00B20055" w:rsidRPr="00187944" w:rsidTr="00B83ED8">
        <w:tc>
          <w:tcPr>
            <w:tcW w:w="396" w:type="dxa"/>
            <w:shd w:val="clear" w:color="auto" w:fill="auto"/>
          </w:tcPr>
          <w:p w:rsidR="00B20055" w:rsidRPr="00187944" w:rsidRDefault="00B20055" w:rsidP="00BA49D1">
            <w:pPr>
              <w:pStyle w:val="naiskr"/>
              <w:spacing w:before="0" w:after="0"/>
              <w:jc w:val="center"/>
            </w:pPr>
            <w:r w:rsidRPr="00187944">
              <w:t>1.</w:t>
            </w:r>
          </w:p>
        </w:tc>
        <w:tc>
          <w:tcPr>
            <w:tcW w:w="2723" w:type="dxa"/>
            <w:shd w:val="clear" w:color="auto" w:fill="auto"/>
          </w:tcPr>
          <w:p w:rsidR="00B20055" w:rsidRPr="00187944" w:rsidRDefault="00B20055" w:rsidP="00BA49D1">
            <w:pPr>
              <w:jc w:val="both"/>
              <w:rPr>
                <w:sz w:val="24"/>
                <w:lang w:eastAsia="lv-LV"/>
              </w:rPr>
            </w:pPr>
            <w:r w:rsidRPr="00187944">
              <w:rPr>
                <w:sz w:val="24"/>
                <w:lang w:eastAsia="lv-LV"/>
              </w:rPr>
              <w:t>Sabiedrības informēšana par projekta izstrādes uzsākšanu</w:t>
            </w:r>
          </w:p>
        </w:tc>
        <w:tc>
          <w:tcPr>
            <w:tcW w:w="5953" w:type="dxa"/>
            <w:shd w:val="clear" w:color="auto" w:fill="auto"/>
          </w:tcPr>
          <w:p w:rsidR="00D742EF" w:rsidRPr="00187944" w:rsidRDefault="00561C71" w:rsidP="00BA49D1">
            <w:pPr>
              <w:jc w:val="both"/>
              <w:rPr>
                <w:sz w:val="24"/>
                <w:lang w:eastAsia="lv-LV"/>
              </w:rPr>
            </w:pPr>
            <w:r>
              <w:rPr>
                <w:sz w:val="24"/>
              </w:rPr>
              <w:t xml:space="preserve">Noteikumu </w:t>
            </w:r>
            <w:r w:rsidR="00145284" w:rsidRPr="00187944">
              <w:rPr>
                <w:sz w:val="24"/>
              </w:rPr>
              <w:t>projekts</w:t>
            </w:r>
            <w:r w:rsidR="00D742EF" w:rsidRPr="00187944">
              <w:rPr>
                <w:sz w:val="24"/>
              </w:rPr>
              <w:t xml:space="preserve"> </w:t>
            </w:r>
            <w:r w:rsidR="00FE42DA">
              <w:rPr>
                <w:sz w:val="24"/>
              </w:rPr>
              <w:t>pirms</w:t>
            </w:r>
            <w:r w:rsidR="00D742EF" w:rsidRPr="00187944">
              <w:rPr>
                <w:sz w:val="24"/>
              </w:rPr>
              <w:t xml:space="preserve"> izsludināšanas Valsts sekretāru sanāksmē </w:t>
            </w:r>
            <w:r w:rsidR="00A82FAA">
              <w:rPr>
                <w:sz w:val="24"/>
              </w:rPr>
              <w:t xml:space="preserve">tika </w:t>
            </w:r>
            <w:r w:rsidR="00D742EF" w:rsidRPr="00187944">
              <w:rPr>
                <w:sz w:val="24"/>
                <w:lang w:eastAsia="lv-LV"/>
              </w:rPr>
              <w:t xml:space="preserve">ievietots </w:t>
            </w:r>
            <w:smartTag w:uri="urn:schemas-microsoft-com:office:smarttags" w:element="PersonName">
              <w:r w:rsidR="00684127">
                <w:rPr>
                  <w:sz w:val="24"/>
                  <w:lang w:eastAsia="lv-LV"/>
                </w:rPr>
                <w:t>VARAM</w:t>
              </w:r>
            </w:smartTag>
            <w:r w:rsidR="00D742EF" w:rsidRPr="00187944">
              <w:rPr>
                <w:sz w:val="24"/>
                <w:lang w:eastAsia="lv-LV"/>
              </w:rPr>
              <w:t xml:space="preserve"> tīmekļa vietnē: </w:t>
            </w:r>
            <w:hyperlink r:id="rId9" w:history="1">
              <w:r w:rsidR="00D742EF" w:rsidRPr="00187944">
                <w:rPr>
                  <w:rStyle w:val="Hyperlink"/>
                  <w:sz w:val="24"/>
                  <w:lang w:eastAsia="lv-LV"/>
                </w:rPr>
                <w:t>www.varam.gov.lv</w:t>
              </w:r>
            </w:hyperlink>
          </w:p>
        </w:tc>
      </w:tr>
      <w:tr w:rsidR="00B20055" w:rsidRPr="00187944" w:rsidTr="00B83ED8">
        <w:tc>
          <w:tcPr>
            <w:tcW w:w="396" w:type="dxa"/>
            <w:shd w:val="clear" w:color="auto" w:fill="auto"/>
          </w:tcPr>
          <w:p w:rsidR="00B20055" w:rsidRPr="00187944" w:rsidRDefault="00B20055" w:rsidP="00BA49D1">
            <w:pPr>
              <w:pStyle w:val="naiskr"/>
              <w:spacing w:before="0" w:after="0"/>
              <w:jc w:val="center"/>
            </w:pPr>
            <w:r w:rsidRPr="00187944">
              <w:t>2.</w:t>
            </w:r>
          </w:p>
        </w:tc>
        <w:tc>
          <w:tcPr>
            <w:tcW w:w="2723" w:type="dxa"/>
            <w:shd w:val="clear" w:color="auto" w:fill="auto"/>
          </w:tcPr>
          <w:p w:rsidR="00B20055" w:rsidRPr="00187944" w:rsidRDefault="00B20055" w:rsidP="00BA49D1">
            <w:pPr>
              <w:jc w:val="both"/>
              <w:rPr>
                <w:sz w:val="24"/>
                <w:lang w:eastAsia="lv-LV"/>
              </w:rPr>
            </w:pPr>
            <w:r w:rsidRPr="00187944">
              <w:rPr>
                <w:sz w:val="24"/>
                <w:lang w:eastAsia="lv-LV"/>
              </w:rPr>
              <w:t>Sabiedrības līdzdalība projekta izstrādē</w:t>
            </w:r>
          </w:p>
        </w:tc>
        <w:tc>
          <w:tcPr>
            <w:tcW w:w="5953" w:type="dxa"/>
            <w:shd w:val="clear" w:color="auto" w:fill="auto"/>
          </w:tcPr>
          <w:p w:rsidR="00900519" w:rsidRDefault="00561C71" w:rsidP="00BA49D1">
            <w:pPr>
              <w:jc w:val="both"/>
              <w:rPr>
                <w:sz w:val="24"/>
                <w:lang w:eastAsia="lv-LV"/>
              </w:rPr>
            </w:pPr>
            <w:r>
              <w:rPr>
                <w:sz w:val="24"/>
                <w:lang w:eastAsia="lv-LV"/>
              </w:rPr>
              <w:t xml:space="preserve">Noteikumu </w:t>
            </w:r>
            <w:r w:rsidR="00145284">
              <w:rPr>
                <w:sz w:val="24"/>
                <w:lang w:eastAsia="lv-LV"/>
              </w:rPr>
              <w:t>p</w:t>
            </w:r>
            <w:r w:rsidR="00B20055" w:rsidRPr="00187944">
              <w:rPr>
                <w:sz w:val="24"/>
                <w:lang w:eastAsia="lv-LV"/>
              </w:rPr>
              <w:t xml:space="preserve">rojekts </w:t>
            </w:r>
            <w:r w:rsidR="00FE42DA">
              <w:rPr>
                <w:sz w:val="24"/>
                <w:lang w:eastAsia="lv-LV"/>
              </w:rPr>
              <w:t>pirms</w:t>
            </w:r>
            <w:r w:rsidR="00B20055" w:rsidRPr="00187944">
              <w:rPr>
                <w:sz w:val="24"/>
                <w:lang w:eastAsia="lv-LV"/>
              </w:rPr>
              <w:t xml:space="preserve"> izsludināšanas </w:t>
            </w:r>
            <w:r w:rsidR="003E2032" w:rsidRPr="00187944">
              <w:rPr>
                <w:sz w:val="24"/>
                <w:lang w:eastAsia="lv-LV"/>
              </w:rPr>
              <w:t xml:space="preserve">Valsts sekretāru sanāksmē </w:t>
            </w:r>
            <w:r w:rsidR="005D6CDC">
              <w:rPr>
                <w:sz w:val="24"/>
                <w:lang w:eastAsia="lv-LV"/>
              </w:rPr>
              <w:t xml:space="preserve">tika </w:t>
            </w:r>
            <w:r w:rsidR="00B20055" w:rsidRPr="00187944">
              <w:rPr>
                <w:sz w:val="24"/>
                <w:lang w:eastAsia="lv-LV"/>
              </w:rPr>
              <w:t xml:space="preserve">ievietots </w:t>
            </w:r>
            <w:smartTag w:uri="urn:schemas-microsoft-com:office:smarttags" w:element="PersonName">
              <w:r w:rsidR="00684127">
                <w:rPr>
                  <w:sz w:val="24"/>
                  <w:lang w:eastAsia="lv-LV"/>
                </w:rPr>
                <w:t>VARAM</w:t>
              </w:r>
            </w:smartTag>
            <w:r w:rsidR="00341071" w:rsidRPr="00187944">
              <w:rPr>
                <w:sz w:val="24"/>
                <w:lang w:eastAsia="lv-LV"/>
              </w:rPr>
              <w:t xml:space="preserve"> tīmekļa vietnē: </w:t>
            </w:r>
            <w:hyperlink r:id="rId10" w:history="1">
              <w:r w:rsidR="00341071" w:rsidRPr="00187944">
                <w:rPr>
                  <w:rStyle w:val="Hyperlink"/>
                  <w:sz w:val="24"/>
                  <w:lang w:eastAsia="lv-LV"/>
                </w:rPr>
                <w:t>www.varam.gov.lv</w:t>
              </w:r>
            </w:hyperlink>
            <w:r w:rsidR="00145284">
              <w:rPr>
                <w:sz w:val="24"/>
                <w:lang w:eastAsia="lv-LV"/>
              </w:rPr>
              <w:t>.</w:t>
            </w:r>
          </w:p>
          <w:p w:rsidR="005D6CDC" w:rsidRPr="00187944" w:rsidRDefault="005D6CDC" w:rsidP="00BA49D1">
            <w:pPr>
              <w:jc w:val="both"/>
              <w:rPr>
                <w:sz w:val="24"/>
                <w:lang w:eastAsia="lv-LV"/>
              </w:rPr>
            </w:pPr>
            <w:r>
              <w:rPr>
                <w:sz w:val="24"/>
                <w:lang w:eastAsia="lv-LV"/>
              </w:rPr>
              <w:t>Atbilstoši Latvijas Pašvaldību savienības atzinumā izteiktajam iebildumam noteikumu projekts tika nosūtīts saskaņošanai Baldones novada domei.</w:t>
            </w:r>
          </w:p>
        </w:tc>
      </w:tr>
      <w:tr w:rsidR="00B20055" w:rsidRPr="00187944" w:rsidTr="00B83ED8">
        <w:tc>
          <w:tcPr>
            <w:tcW w:w="396" w:type="dxa"/>
            <w:shd w:val="clear" w:color="auto" w:fill="auto"/>
          </w:tcPr>
          <w:p w:rsidR="00B20055" w:rsidRPr="00187944" w:rsidRDefault="00B20055" w:rsidP="00BA49D1">
            <w:pPr>
              <w:pStyle w:val="naiskr"/>
              <w:spacing w:before="0" w:after="0"/>
              <w:jc w:val="center"/>
            </w:pPr>
            <w:r w:rsidRPr="00187944">
              <w:t>3.</w:t>
            </w:r>
          </w:p>
        </w:tc>
        <w:tc>
          <w:tcPr>
            <w:tcW w:w="2723" w:type="dxa"/>
            <w:shd w:val="clear" w:color="auto" w:fill="auto"/>
          </w:tcPr>
          <w:p w:rsidR="00B20055" w:rsidRPr="00187944" w:rsidRDefault="00B20055" w:rsidP="00BA49D1">
            <w:pPr>
              <w:jc w:val="both"/>
              <w:rPr>
                <w:sz w:val="24"/>
                <w:lang w:eastAsia="lv-LV"/>
              </w:rPr>
            </w:pPr>
            <w:r w:rsidRPr="00187944">
              <w:rPr>
                <w:sz w:val="24"/>
                <w:lang w:eastAsia="lv-LV"/>
              </w:rPr>
              <w:t>Sabiedrības līdzdalības rezultāti</w:t>
            </w:r>
          </w:p>
        </w:tc>
        <w:tc>
          <w:tcPr>
            <w:tcW w:w="5953" w:type="dxa"/>
            <w:shd w:val="clear" w:color="auto" w:fill="auto"/>
          </w:tcPr>
          <w:p w:rsidR="00684127" w:rsidRDefault="00561C71" w:rsidP="00BA49D1">
            <w:pPr>
              <w:jc w:val="both"/>
              <w:rPr>
                <w:sz w:val="24"/>
                <w:lang w:eastAsia="lv-LV"/>
              </w:rPr>
            </w:pPr>
            <w:r>
              <w:rPr>
                <w:sz w:val="24"/>
                <w:lang w:eastAsia="lv-LV"/>
              </w:rPr>
              <w:t>Noteikumu p</w:t>
            </w:r>
            <w:r w:rsidR="00FE42DA" w:rsidRPr="00187944">
              <w:rPr>
                <w:sz w:val="24"/>
                <w:lang w:eastAsia="lv-LV"/>
              </w:rPr>
              <w:t xml:space="preserve">rojekts </w:t>
            </w:r>
            <w:r w:rsidR="00FE42DA">
              <w:rPr>
                <w:sz w:val="24"/>
                <w:lang w:eastAsia="lv-LV"/>
              </w:rPr>
              <w:t>pirms</w:t>
            </w:r>
            <w:r w:rsidR="00FE42DA" w:rsidRPr="00187944">
              <w:rPr>
                <w:sz w:val="24"/>
                <w:lang w:eastAsia="lv-LV"/>
              </w:rPr>
              <w:t xml:space="preserve"> izsludināšanas Valsts sekretāru sanāksmē </w:t>
            </w:r>
            <w:r w:rsidR="005D6CDC">
              <w:rPr>
                <w:sz w:val="24"/>
                <w:lang w:eastAsia="lv-LV"/>
              </w:rPr>
              <w:t xml:space="preserve">tika </w:t>
            </w:r>
            <w:r w:rsidR="00FE42DA" w:rsidRPr="00187944">
              <w:rPr>
                <w:sz w:val="24"/>
                <w:lang w:eastAsia="lv-LV"/>
              </w:rPr>
              <w:t xml:space="preserve">ievietots </w:t>
            </w:r>
            <w:smartTag w:uri="urn:schemas-microsoft-com:office:smarttags" w:element="PersonName">
              <w:r w:rsidR="00FE42DA">
                <w:rPr>
                  <w:sz w:val="24"/>
                  <w:lang w:eastAsia="lv-LV"/>
                </w:rPr>
                <w:t>VARAM</w:t>
              </w:r>
            </w:smartTag>
            <w:r w:rsidR="00FE42DA" w:rsidRPr="00187944">
              <w:rPr>
                <w:sz w:val="24"/>
                <w:lang w:eastAsia="lv-LV"/>
              </w:rPr>
              <w:t xml:space="preserve"> tīmekļa vietnē: </w:t>
            </w:r>
            <w:hyperlink r:id="rId11" w:history="1">
              <w:r w:rsidR="00FE42DA" w:rsidRPr="00187944">
                <w:rPr>
                  <w:rStyle w:val="Hyperlink"/>
                  <w:sz w:val="24"/>
                  <w:lang w:eastAsia="lv-LV"/>
                </w:rPr>
                <w:t>www.varam.gov.lv</w:t>
              </w:r>
            </w:hyperlink>
            <w:r w:rsidR="00145284">
              <w:rPr>
                <w:sz w:val="24"/>
                <w:lang w:eastAsia="lv-LV"/>
              </w:rPr>
              <w:t xml:space="preserve"> </w:t>
            </w:r>
          </w:p>
          <w:p w:rsidR="005D6CDC" w:rsidRPr="00187944" w:rsidRDefault="005D6CDC" w:rsidP="00BA49D1">
            <w:pPr>
              <w:jc w:val="both"/>
              <w:rPr>
                <w:sz w:val="24"/>
              </w:rPr>
            </w:pPr>
            <w:r>
              <w:rPr>
                <w:sz w:val="24"/>
                <w:lang w:eastAsia="lv-LV"/>
              </w:rPr>
              <w:t xml:space="preserve">Atbilstoši Latvijas Pašvaldību savienības atzinumā izteiktajam iebildumam noteikumu projekts tika nosūtīts saskaņošanai Baldones novada domei un no domes ir saņemti iebildumi, </w:t>
            </w:r>
            <w:r w:rsidR="00A82FAA">
              <w:rPr>
                <w:sz w:val="24"/>
                <w:lang w:eastAsia="lv-LV"/>
              </w:rPr>
              <w:t xml:space="preserve">par kuriem panākta vienošanās </w:t>
            </w:r>
            <w:r>
              <w:rPr>
                <w:sz w:val="24"/>
                <w:lang w:eastAsia="lv-LV"/>
              </w:rPr>
              <w:t xml:space="preserve"> noteikumu projekta saskaņošanas procesā.</w:t>
            </w:r>
          </w:p>
        </w:tc>
      </w:tr>
      <w:tr w:rsidR="00B20055" w:rsidRPr="00187944" w:rsidTr="00B83ED8">
        <w:tc>
          <w:tcPr>
            <w:tcW w:w="396" w:type="dxa"/>
            <w:shd w:val="clear" w:color="auto" w:fill="auto"/>
          </w:tcPr>
          <w:p w:rsidR="00B20055" w:rsidRPr="00187944" w:rsidRDefault="00B20055" w:rsidP="00BA49D1">
            <w:pPr>
              <w:pStyle w:val="naiskr"/>
              <w:spacing w:before="0" w:after="0"/>
              <w:jc w:val="center"/>
            </w:pPr>
            <w:r w:rsidRPr="00187944">
              <w:t>4.</w:t>
            </w:r>
          </w:p>
        </w:tc>
        <w:tc>
          <w:tcPr>
            <w:tcW w:w="2723" w:type="dxa"/>
            <w:shd w:val="clear" w:color="auto" w:fill="auto"/>
          </w:tcPr>
          <w:p w:rsidR="00B20055" w:rsidRPr="00187944" w:rsidRDefault="00B20055" w:rsidP="00BA49D1">
            <w:pPr>
              <w:jc w:val="both"/>
              <w:rPr>
                <w:sz w:val="24"/>
                <w:lang w:eastAsia="lv-LV"/>
              </w:rPr>
            </w:pPr>
            <w:r w:rsidRPr="00187944">
              <w:rPr>
                <w:sz w:val="24"/>
                <w:lang w:eastAsia="lv-LV"/>
              </w:rPr>
              <w:t>Saeimas un ekspertu līdzdalība</w:t>
            </w:r>
          </w:p>
        </w:tc>
        <w:tc>
          <w:tcPr>
            <w:tcW w:w="5953" w:type="dxa"/>
            <w:shd w:val="clear" w:color="auto" w:fill="auto"/>
          </w:tcPr>
          <w:p w:rsidR="00B20055" w:rsidRPr="00187944" w:rsidRDefault="00322A2F" w:rsidP="00BA49D1">
            <w:pPr>
              <w:rPr>
                <w:sz w:val="24"/>
                <w:lang w:eastAsia="lv-LV"/>
              </w:rPr>
            </w:pPr>
            <w:r>
              <w:rPr>
                <w:sz w:val="24"/>
              </w:rPr>
              <w:t>P</w:t>
            </w:r>
            <w:r w:rsidR="00B20055" w:rsidRPr="00187944">
              <w:rPr>
                <w:sz w:val="24"/>
              </w:rPr>
              <w:t>rojekts šo jomu neskar</w:t>
            </w:r>
            <w:r w:rsidR="00B66AED" w:rsidRPr="00187944">
              <w:rPr>
                <w:sz w:val="24"/>
              </w:rPr>
              <w:t>.</w:t>
            </w:r>
          </w:p>
        </w:tc>
      </w:tr>
      <w:tr w:rsidR="00B20055" w:rsidRPr="00187944" w:rsidTr="00B83ED8">
        <w:tc>
          <w:tcPr>
            <w:tcW w:w="396" w:type="dxa"/>
            <w:shd w:val="clear" w:color="auto" w:fill="auto"/>
          </w:tcPr>
          <w:p w:rsidR="00B20055" w:rsidRPr="00187944" w:rsidRDefault="00B20055" w:rsidP="00BA49D1">
            <w:pPr>
              <w:pStyle w:val="naiskr"/>
              <w:spacing w:before="0" w:after="0"/>
              <w:jc w:val="center"/>
            </w:pPr>
            <w:r w:rsidRPr="00187944">
              <w:t>5.</w:t>
            </w:r>
          </w:p>
        </w:tc>
        <w:tc>
          <w:tcPr>
            <w:tcW w:w="2723" w:type="dxa"/>
            <w:shd w:val="clear" w:color="auto" w:fill="auto"/>
          </w:tcPr>
          <w:p w:rsidR="00B20055" w:rsidRPr="00187944" w:rsidRDefault="00B20055" w:rsidP="00BA49D1">
            <w:pPr>
              <w:jc w:val="both"/>
              <w:rPr>
                <w:sz w:val="24"/>
                <w:lang w:eastAsia="lv-LV"/>
              </w:rPr>
            </w:pPr>
            <w:r w:rsidRPr="00187944">
              <w:rPr>
                <w:sz w:val="24"/>
                <w:lang w:eastAsia="lv-LV"/>
              </w:rPr>
              <w:t>Cita informācija</w:t>
            </w:r>
          </w:p>
        </w:tc>
        <w:tc>
          <w:tcPr>
            <w:tcW w:w="5953" w:type="dxa"/>
            <w:shd w:val="clear" w:color="auto" w:fill="auto"/>
          </w:tcPr>
          <w:p w:rsidR="00B20055" w:rsidRPr="00187944" w:rsidRDefault="00B20055" w:rsidP="00BA49D1">
            <w:pPr>
              <w:rPr>
                <w:sz w:val="24"/>
                <w:lang w:eastAsia="lv-LV"/>
              </w:rPr>
            </w:pPr>
            <w:r w:rsidRPr="00187944">
              <w:rPr>
                <w:sz w:val="24"/>
                <w:lang w:eastAsia="lv-LV"/>
              </w:rPr>
              <w:t>Nav</w:t>
            </w:r>
          </w:p>
        </w:tc>
      </w:tr>
    </w:tbl>
    <w:p w:rsidR="00B20055" w:rsidRPr="00187944" w:rsidRDefault="00B20055" w:rsidP="00B20055">
      <w:pPr>
        <w:pStyle w:val="naiskr"/>
        <w:tabs>
          <w:tab w:val="left" w:pos="2628"/>
        </w:tabs>
        <w:spacing w:before="0" w:after="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3290"/>
        <w:gridCol w:w="5386"/>
      </w:tblGrid>
      <w:tr w:rsidR="00B20055" w:rsidRPr="00187944" w:rsidTr="00BE0CB2">
        <w:tc>
          <w:tcPr>
            <w:tcW w:w="9072" w:type="dxa"/>
            <w:gridSpan w:val="3"/>
            <w:shd w:val="clear" w:color="auto" w:fill="auto"/>
          </w:tcPr>
          <w:p w:rsidR="00B20055" w:rsidRPr="00187944" w:rsidRDefault="00B20055" w:rsidP="00BE0CB2">
            <w:pPr>
              <w:pStyle w:val="naisc"/>
              <w:spacing w:before="120" w:after="120"/>
              <w:rPr>
                <w:b/>
                <w:bCs/>
              </w:rPr>
            </w:pPr>
            <w:r w:rsidRPr="00187944">
              <w:rPr>
                <w:b/>
                <w:bCs/>
              </w:rPr>
              <w:t>VII. Tiesību akta projekta izpildes nodrošināšana un tās ietekme uz institūcijām</w:t>
            </w:r>
          </w:p>
        </w:tc>
      </w:tr>
      <w:tr w:rsidR="00B20055" w:rsidRPr="00187944" w:rsidTr="00BA49D1">
        <w:tc>
          <w:tcPr>
            <w:tcW w:w="396" w:type="dxa"/>
            <w:shd w:val="clear" w:color="auto" w:fill="auto"/>
          </w:tcPr>
          <w:p w:rsidR="00B20055" w:rsidRPr="00187944" w:rsidRDefault="00B20055" w:rsidP="00BE0CB2">
            <w:pPr>
              <w:pStyle w:val="naiskr"/>
              <w:jc w:val="center"/>
            </w:pPr>
            <w:r w:rsidRPr="00187944">
              <w:t>1.</w:t>
            </w:r>
          </w:p>
        </w:tc>
        <w:tc>
          <w:tcPr>
            <w:tcW w:w="3290" w:type="dxa"/>
            <w:shd w:val="clear" w:color="auto" w:fill="auto"/>
          </w:tcPr>
          <w:p w:rsidR="00B20055" w:rsidRPr="00187944" w:rsidRDefault="00B20055" w:rsidP="00B20055">
            <w:pPr>
              <w:pStyle w:val="naiskr"/>
            </w:pPr>
            <w:r w:rsidRPr="00187944">
              <w:t>Projekta izpildē iesaistītās institūcijas</w:t>
            </w:r>
          </w:p>
        </w:tc>
        <w:tc>
          <w:tcPr>
            <w:tcW w:w="5386" w:type="dxa"/>
            <w:shd w:val="clear" w:color="auto" w:fill="auto"/>
          </w:tcPr>
          <w:p w:rsidR="00B20055" w:rsidRPr="00187944" w:rsidRDefault="00670508" w:rsidP="00322A2F">
            <w:pPr>
              <w:pStyle w:val="naiskr"/>
              <w:jc w:val="both"/>
            </w:pPr>
            <w:r w:rsidRPr="00187944">
              <w:t>VVD RDC</w:t>
            </w:r>
            <w:r w:rsidR="00F4603D" w:rsidRPr="00187944">
              <w:t xml:space="preserve">, </w:t>
            </w:r>
            <w:r w:rsidR="00322A2F">
              <w:t>LVĢMC</w:t>
            </w:r>
            <w:r w:rsidR="00187944">
              <w:t>.</w:t>
            </w:r>
          </w:p>
        </w:tc>
      </w:tr>
      <w:tr w:rsidR="00B20055" w:rsidRPr="00187944" w:rsidTr="00BA49D1">
        <w:tc>
          <w:tcPr>
            <w:tcW w:w="396" w:type="dxa"/>
            <w:shd w:val="clear" w:color="auto" w:fill="auto"/>
          </w:tcPr>
          <w:p w:rsidR="00B20055" w:rsidRPr="00187944" w:rsidRDefault="00B20055" w:rsidP="00BE0CB2">
            <w:pPr>
              <w:pStyle w:val="naiskr"/>
              <w:jc w:val="center"/>
            </w:pPr>
            <w:r w:rsidRPr="00187944">
              <w:t>2.</w:t>
            </w:r>
          </w:p>
        </w:tc>
        <w:tc>
          <w:tcPr>
            <w:tcW w:w="3290" w:type="dxa"/>
            <w:shd w:val="clear" w:color="auto" w:fill="auto"/>
          </w:tcPr>
          <w:p w:rsidR="00B20055" w:rsidRPr="00187944" w:rsidRDefault="00B20055" w:rsidP="00B83ED8">
            <w:pPr>
              <w:pStyle w:val="naiskr"/>
              <w:spacing w:before="0" w:after="120"/>
              <w:jc w:val="both"/>
            </w:pPr>
            <w:r w:rsidRPr="00187944">
              <w:t>Projekta izpildes ietekme uz pārvaldes funkcijām</w:t>
            </w:r>
          </w:p>
        </w:tc>
        <w:tc>
          <w:tcPr>
            <w:tcW w:w="5386" w:type="dxa"/>
            <w:shd w:val="clear" w:color="auto" w:fill="auto"/>
          </w:tcPr>
          <w:p w:rsidR="00AC39E2" w:rsidRPr="00187944" w:rsidRDefault="00670508" w:rsidP="00670508">
            <w:pPr>
              <w:pStyle w:val="naiskr"/>
              <w:jc w:val="both"/>
            </w:pPr>
            <w:r w:rsidRPr="00187944">
              <w:t xml:space="preserve">VVD RDC </w:t>
            </w:r>
            <w:r w:rsidR="00AC39E2" w:rsidRPr="00187944">
              <w:t xml:space="preserve">papildus </w:t>
            </w:r>
            <w:r w:rsidRPr="00187944">
              <w:t>būs nepieciešams sagatavot ziņojumu par Direktīva</w:t>
            </w:r>
            <w:r w:rsidR="00FE42DA">
              <w:t>s</w:t>
            </w:r>
            <w:r w:rsidRPr="00187944">
              <w:t xml:space="preserve"> 2011/70/Euratom</w:t>
            </w:r>
            <w:r w:rsidR="00FE42DA">
              <w:t xml:space="preserve"> īstenošanu</w:t>
            </w:r>
            <w:r w:rsidR="00AC39E2" w:rsidRPr="00187944">
              <w:t>, ievērojot Kopējās lietotās kodoldegvielas un radioaktīvo atkritumu drošas pārvaldības konvencijas pārskatu</w:t>
            </w:r>
            <w:r w:rsidR="00FE42DA">
              <w:t xml:space="preserve">. Ziņojuma sagatavošanas termiņš – </w:t>
            </w:r>
            <w:r w:rsidR="00FE42DA" w:rsidRPr="00AA7E61">
              <w:t>2015.gada 23.august</w:t>
            </w:r>
            <w:r w:rsidR="00FE42DA">
              <w:t>s</w:t>
            </w:r>
            <w:r w:rsidR="00FE42DA" w:rsidRPr="00AA7E61">
              <w:t xml:space="preserve"> un pēc tam reizi trijos gados</w:t>
            </w:r>
            <w:r w:rsidR="00561C71">
              <w:t>.</w:t>
            </w:r>
          </w:p>
          <w:p w:rsidR="00670508" w:rsidRDefault="00322A2F" w:rsidP="00FE42DA">
            <w:pPr>
              <w:pStyle w:val="naiskr"/>
              <w:ind w:left="34"/>
              <w:jc w:val="both"/>
            </w:pPr>
            <w:r w:rsidRPr="00FE42DA">
              <w:t>VVD RDC papildus būs nepieciešams sagatavot</w:t>
            </w:r>
            <w:r w:rsidR="00FE42DA" w:rsidRPr="00FE42DA">
              <w:t xml:space="preserve"> radioaktīvo atkritumu pārvaldības</w:t>
            </w:r>
            <w:r w:rsidRPr="00FE42DA">
              <w:t xml:space="preserve"> sistēmas </w:t>
            </w:r>
            <w:r w:rsidR="005D6CDC">
              <w:t>paš</w:t>
            </w:r>
            <w:r w:rsidRPr="00FE42DA">
              <w:t>novērtējumu</w:t>
            </w:r>
            <w:r w:rsidR="005D6CDC">
              <w:t xml:space="preserve"> un arī būs jāveic starptautiskais novērtējums, piesaistot starptautiskos ekspertus</w:t>
            </w:r>
            <w:r w:rsidR="00FE42DA" w:rsidRPr="00FE42DA">
              <w:t xml:space="preserve">. Plānots, ka sistēmas </w:t>
            </w:r>
            <w:r w:rsidR="006B0164">
              <w:t>paš</w:t>
            </w:r>
            <w:r w:rsidR="00FE42DA" w:rsidRPr="00FE42DA">
              <w:t>novērtējums varētu tikt veikts 2017.gadā.</w:t>
            </w:r>
          </w:p>
          <w:p w:rsidR="00FE42DA" w:rsidRPr="00187944" w:rsidRDefault="00FE42DA" w:rsidP="00FE42DA">
            <w:pPr>
              <w:pStyle w:val="naiskr"/>
              <w:ind w:left="34"/>
              <w:jc w:val="both"/>
            </w:pPr>
            <w:r>
              <w:t xml:space="preserve">LVĢMC reizi 10 gados būs jānodrošina </w:t>
            </w:r>
            <w:r w:rsidRPr="004E569D">
              <w:rPr>
                <w:color w:val="000000"/>
              </w:rPr>
              <w:t>radioaktīvo atkritumu glabātava</w:t>
            </w:r>
            <w:r>
              <w:rPr>
                <w:color w:val="000000"/>
              </w:rPr>
              <w:t>s</w:t>
            </w:r>
            <w:r w:rsidRPr="004E569D">
              <w:rPr>
                <w:color w:val="000000"/>
              </w:rPr>
              <w:t xml:space="preserve"> „Radons” </w:t>
            </w:r>
            <w:r>
              <w:rPr>
                <w:color w:val="000000"/>
              </w:rPr>
              <w:t xml:space="preserve">ilgtermiņa drošības novērtējums. Pirmais novērtējums </w:t>
            </w:r>
            <w:r w:rsidRPr="004E569D">
              <w:rPr>
                <w:color w:val="000000"/>
              </w:rPr>
              <w:t>jānodrošina līdz 2022.gadam</w:t>
            </w:r>
            <w:r>
              <w:rPr>
                <w:color w:val="000000"/>
              </w:rPr>
              <w:t>, ievērojot, ka licence glabātavas ekspluatācijai izsniegta 2012.gadā.</w:t>
            </w:r>
          </w:p>
        </w:tc>
      </w:tr>
      <w:tr w:rsidR="00B20055" w:rsidRPr="00187944" w:rsidTr="00BA49D1">
        <w:tc>
          <w:tcPr>
            <w:tcW w:w="396" w:type="dxa"/>
            <w:shd w:val="clear" w:color="auto" w:fill="auto"/>
          </w:tcPr>
          <w:p w:rsidR="00B20055" w:rsidRPr="00187944" w:rsidRDefault="00B20055" w:rsidP="00BE0CB2">
            <w:pPr>
              <w:pStyle w:val="naiskr"/>
              <w:jc w:val="center"/>
            </w:pPr>
            <w:r w:rsidRPr="00187944">
              <w:t>3.</w:t>
            </w:r>
          </w:p>
        </w:tc>
        <w:tc>
          <w:tcPr>
            <w:tcW w:w="3290" w:type="dxa"/>
            <w:shd w:val="clear" w:color="auto" w:fill="auto"/>
          </w:tcPr>
          <w:p w:rsidR="00B20055" w:rsidRPr="00187944" w:rsidRDefault="00B20055" w:rsidP="00F356B0">
            <w:pPr>
              <w:pStyle w:val="naiskr"/>
              <w:spacing w:before="0" w:after="0"/>
              <w:jc w:val="both"/>
            </w:pPr>
            <w:r w:rsidRPr="00187944">
              <w:t>Projekta izpildes ietekme uz pārvaldes institucionālo struktūru.</w:t>
            </w:r>
          </w:p>
          <w:p w:rsidR="00B20055" w:rsidRPr="00187944" w:rsidRDefault="00B20055" w:rsidP="00F356B0">
            <w:pPr>
              <w:pStyle w:val="naiskr"/>
              <w:spacing w:before="0" w:after="0"/>
              <w:jc w:val="both"/>
            </w:pPr>
            <w:r w:rsidRPr="00187944">
              <w:t>Jaunu institūciju izveide</w:t>
            </w:r>
          </w:p>
        </w:tc>
        <w:tc>
          <w:tcPr>
            <w:tcW w:w="5386" w:type="dxa"/>
            <w:shd w:val="clear" w:color="auto" w:fill="auto"/>
          </w:tcPr>
          <w:p w:rsidR="00B20055" w:rsidRPr="00187944" w:rsidRDefault="00322A2F" w:rsidP="00F4603D">
            <w:pPr>
              <w:pStyle w:val="naiskr"/>
              <w:jc w:val="both"/>
            </w:pPr>
            <w:r>
              <w:t>P</w:t>
            </w:r>
            <w:r w:rsidR="00B20055" w:rsidRPr="00187944">
              <w:t xml:space="preserve">rojekts šo jomu neskar. </w:t>
            </w:r>
          </w:p>
        </w:tc>
      </w:tr>
      <w:tr w:rsidR="00B20055" w:rsidRPr="00187944" w:rsidTr="00BA49D1">
        <w:tc>
          <w:tcPr>
            <w:tcW w:w="396" w:type="dxa"/>
            <w:shd w:val="clear" w:color="auto" w:fill="auto"/>
          </w:tcPr>
          <w:p w:rsidR="00B20055" w:rsidRPr="00187944" w:rsidRDefault="00B20055" w:rsidP="00BE0CB2">
            <w:pPr>
              <w:pStyle w:val="naiskr"/>
              <w:jc w:val="center"/>
            </w:pPr>
            <w:r w:rsidRPr="00187944">
              <w:t>4.</w:t>
            </w:r>
          </w:p>
        </w:tc>
        <w:tc>
          <w:tcPr>
            <w:tcW w:w="3290" w:type="dxa"/>
            <w:shd w:val="clear" w:color="auto" w:fill="auto"/>
          </w:tcPr>
          <w:p w:rsidR="00B20055" w:rsidRPr="00187944" w:rsidRDefault="00B20055" w:rsidP="00F356B0">
            <w:pPr>
              <w:pStyle w:val="naiskr"/>
              <w:spacing w:before="0" w:after="0"/>
              <w:jc w:val="both"/>
            </w:pPr>
            <w:r w:rsidRPr="00187944">
              <w:t>Projekta izpildes ietekme uz pārvaldes institucionālo struktūru.</w:t>
            </w:r>
          </w:p>
          <w:p w:rsidR="00B20055" w:rsidRPr="00187944" w:rsidRDefault="00B20055" w:rsidP="00F356B0">
            <w:pPr>
              <w:pStyle w:val="naiskr"/>
              <w:spacing w:before="0" w:after="0"/>
              <w:jc w:val="both"/>
            </w:pPr>
            <w:r w:rsidRPr="00187944">
              <w:t>Esošu institūciju likvidācija</w:t>
            </w:r>
          </w:p>
        </w:tc>
        <w:tc>
          <w:tcPr>
            <w:tcW w:w="5386" w:type="dxa"/>
            <w:shd w:val="clear" w:color="auto" w:fill="auto"/>
          </w:tcPr>
          <w:p w:rsidR="00B20055" w:rsidRPr="00187944" w:rsidRDefault="00322A2F" w:rsidP="00F4603D">
            <w:pPr>
              <w:pStyle w:val="naiskr"/>
              <w:jc w:val="both"/>
            </w:pPr>
            <w:r>
              <w:t>P</w:t>
            </w:r>
            <w:r w:rsidR="00B20055" w:rsidRPr="00187944">
              <w:t xml:space="preserve">rojekts šo jomu neskar. </w:t>
            </w:r>
          </w:p>
        </w:tc>
      </w:tr>
      <w:tr w:rsidR="00B20055" w:rsidRPr="00187944" w:rsidTr="00BA49D1">
        <w:tc>
          <w:tcPr>
            <w:tcW w:w="396" w:type="dxa"/>
            <w:shd w:val="clear" w:color="auto" w:fill="auto"/>
          </w:tcPr>
          <w:p w:rsidR="00B20055" w:rsidRPr="00187944" w:rsidRDefault="00B20055" w:rsidP="00BE0CB2">
            <w:pPr>
              <w:pStyle w:val="naiskr"/>
              <w:jc w:val="center"/>
            </w:pPr>
            <w:r w:rsidRPr="00187944">
              <w:t>5.</w:t>
            </w:r>
          </w:p>
        </w:tc>
        <w:tc>
          <w:tcPr>
            <w:tcW w:w="3290" w:type="dxa"/>
            <w:shd w:val="clear" w:color="auto" w:fill="auto"/>
          </w:tcPr>
          <w:p w:rsidR="00B20055" w:rsidRPr="00187944" w:rsidRDefault="00B20055" w:rsidP="00F356B0">
            <w:pPr>
              <w:pStyle w:val="naiskr"/>
              <w:spacing w:before="0" w:after="0"/>
              <w:jc w:val="both"/>
            </w:pPr>
            <w:r w:rsidRPr="00187944">
              <w:t>Projekta izpildes ietekme uz pārvaldes institucionālo struktūru.</w:t>
            </w:r>
          </w:p>
          <w:p w:rsidR="00B20055" w:rsidRPr="00187944" w:rsidRDefault="00B20055" w:rsidP="00F356B0">
            <w:pPr>
              <w:pStyle w:val="naiskr"/>
              <w:spacing w:before="0" w:after="0"/>
              <w:jc w:val="both"/>
            </w:pPr>
            <w:r w:rsidRPr="00187944">
              <w:t>Esošu institūciju reorganizācija</w:t>
            </w:r>
          </w:p>
        </w:tc>
        <w:tc>
          <w:tcPr>
            <w:tcW w:w="5386" w:type="dxa"/>
            <w:shd w:val="clear" w:color="auto" w:fill="auto"/>
          </w:tcPr>
          <w:p w:rsidR="00B20055" w:rsidRPr="00187944" w:rsidRDefault="00322A2F" w:rsidP="00F4603D">
            <w:pPr>
              <w:pStyle w:val="naiskr"/>
              <w:ind w:right="33"/>
              <w:jc w:val="both"/>
            </w:pPr>
            <w:r>
              <w:t>P</w:t>
            </w:r>
            <w:r w:rsidR="00B20055" w:rsidRPr="00187944">
              <w:t xml:space="preserve">rojekts šo jomu neskar. </w:t>
            </w:r>
          </w:p>
        </w:tc>
      </w:tr>
      <w:tr w:rsidR="00B20055" w:rsidRPr="00187944" w:rsidTr="00BA49D1">
        <w:tc>
          <w:tcPr>
            <w:tcW w:w="396" w:type="dxa"/>
            <w:shd w:val="clear" w:color="auto" w:fill="auto"/>
          </w:tcPr>
          <w:p w:rsidR="00B20055" w:rsidRPr="00187944" w:rsidRDefault="00B20055" w:rsidP="00BE0CB2">
            <w:pPr>
              <w:pStyle w:val="naiskr"/>
              <w:jc w:val="center"/>
            </w:pPr>
            <w:r w:rsidRPr="00187944">
              <w:t>6.</w:t>
            </w:r>
          </w:p>
        </w:tc>
        <w:tc>
          <w:tcPr>
            <w:tcW w:w="3290" w:type="dxa"/>
            <w:shd w:val="clear" w:color="auto" w:fill="auto"/>
          </w:tcPr>
          <w:p w:rsidR="00B20055" w:rsidRPr="00187944" w:rsidRDefault="00B20055" w:rsidP="00B20055">
            <w:pPr>
              <w:pStyle w:val="naiskr"/>
            </w:pPr>
            <w:r w:rsidRPr="00187944">
              <w:t>Cita informācija</w:t>
            </w:r>
          </w:p>
        </w:tc>
        <w:tc>
          <w:tcPr>
            <w:tcW w:w="5386" w:type="dxa"/>
            <w:shd w:val="clear" w:color="auto" w:fill="auto"/>
          </w:tcPr>
          <w:p w:rsidR="00B20055" w:rsidRPr="00187944" w:rsidRDefault="00B20055" w:rsidP="00BE0CB2">
            <w:pPr>
              <w:pStyle w:val="naiskr"/>
            </w:pPr>
            <w:r w:rsidRPr="00187944">
              <w:t> Nav.</w:t>
            </w:r>
          </w:p>
        </w:tc>
      </w:tr>
    </w:tbl>
    <w:p w:rsidR="00F00AE2" w:rsidRPr="006C20D5" w:rsidRDefault="00F00AE2" w:rsidP="006C20D5">
      <w:pPr>
        <w:pStyle w:val="naisc"/>
        <w:spacing w:before="0" w:after="0"/>
        <w:rPr>
          <w:b/>
          <w:bCs/>
        </w:rPr>
      </w:pPr>
      <w:r w:rsidRPr="00214271">
        <w:rPr>
          <w:b/>
          <w:bCs/>
        </w:rPr>
        <w:t> </w:t>
      </w:r>
    </w:p>
    <w:p w:rsidR="00F00AE2" w:rsidRPr="00C74FA9" w:rsidRDefault="00F00AE2" w:rsidP="00BA49D1">
      <w:pPr>
        <w:rPr>
          <w:szCs w:val="28"/>
        </w:rPr>
      </w:pPr>
      <w:r w:rsidRPr="00C74FA9">
        <w:rPr>
          <w:szCs w:val="28"/>
        </w:rPr>
        <w:t xml:space="preserve">Vides aizsardzības un </w:t>
      </w:r>
    </w:p>
    <w:p w:rsidR="00F00AE2" w:rsidRPr="006C20D5" w:rsidRDefault="00F00AE2" w:rsidP="006C20D5">
      <w:pPr>
        <w:spacing w:after="120"/>
        <w:rPr>
          <w:szCs w:val="28"/>
        </w:rPr>
      </w:pPr>
      <w:r w:rsidRPr="00C74FA9">
        <w:rPr>
          <w:szCs w:val="28"/>
        </w:rPr>
        <w:t>reģionālās attīstības ministrs</w:t>
      </w:r>
      <w:r w:rsidRPr="00C74FA9">
        <w:rPr>
          <w:szCs w:val="28"/>
        </w:rPr>
        <w:tab/>
      </w:r>
      <w:r w:rsidRPr="00C74FA9">
        <w:rPr>
          <w:szCs w:val="28"/>
        </w:rPr>
        <w:tab/>
      </w:r>
      <w:r w:rsidRPr="00C74FA9">
        <w:rPr>
          <w:szCs w:val="28"/>
        </w:rPr>
        <w:tab/>
      </w:r>
      <w:r w:rsidRPr="00C74FA9">
        <w:rPr>
          <w:szCs w:val="28"/>
        </w:rPr>
        <w:tab/>
      </w:r>
      <w:r w:rsidRPr="00C74FA9">
        <w:rPr>
          <w:szCs w:val="28"/>
        </w:rPr>
        <w:tab/>
      </w:r>
      <w:r w:rsidRPr="00C74FA9">
        <w:rPr>
          <w:szCs w:val="28"/>
        </w:rPr>
        <w:tab/>
        <w:t>E.Sprūdžs</w:t>
      </w:r>
    </w:p>
    <w:p w:rsidR="006C20D5" w:rsidRDefault="006C20D5" w:rsidP="00214271">
      <w:pPr>
        <w:spacing w:after="120"/>
        <w:rPr>
          <w:b/>
          <w:sz w:val="26"/>
          <w:szCs w:val="26"/>
        </w:rPr>
      </w:pPr>
    </w:p>
    <w:p w:rsidR="00214271" w:rsidRPr="00992520" w:rsidRDefault="00214271" w:rsidP="00214271">
      <w:pPr>
        <w:spacing w:after="120"/>
        <w:rPr>
          <w:b/>
          <w:sz w:val="26"/>
          <w:szCs w:val="26"/>
        </w:rPr>
      </w:pPr>
      <w:r w:rsidRPr="00992520">
        <w:rPr>
          <w:b/>
          <w:sz w:val="26"/>
          <w:szCs w:val="26"/>
        </w:rPr>
        <w:t>Iesniedzējs:</w:t>
      </w:r>
    </w:p>
    <w:p w:rsidR="00214271" w:rsidRPr="00992520" w:rsidRDefault="00214271" w:rsidP="00214271">
      <w:pPr>
        <w:rPr>
          <w:sz w:val="26"/>
          <w:szCs w:val="26"/>
        </w:rPr>
      </w:pPr>
      <w:r w:rsidRPr="00992520">
        <w:rPr>
          <w:sz w:val="26"/>
          <w:szCs w:val="26"/>
        </w:rPr>
        <w:t xml:space="preserve">Vides aizsardzības </w:t>
      </w:r>
    </w:p>
    <w:p w:rsidR="00214271" w:rsidRPr="00992520" w:rsidRDefault="00214271" w:rsidP="00214271">
      <w:pPr>
        <w:spacing w:after="120"/>
        <w:rPr>
          <w:sz w:val="26"/>
          <w:szCs w:val="26"/>
        </w:rPr>
      </w:pPr>
      <w:r w:rsidRPr="00992520">
        <w:rPr>
          <w:sz w:val="26"/>
          <w:szCs w:val="26"/>
        </w:rPr>
        <w:t xml:space="preserve">un reģionālās attīstības ministrs </w:t>
      </w:r>
      <w:r w:rsidRPr="00992520">
        <w:rPr>
          <w:sz w:val="26"/>
          <w:szCs w:val="26"/>
        </w:rPr>
        <w:tab/>
      </w:r>
      <w:r w:rsidRPr="00992520">
        <w:rPr>
          <w:sz w:val="26"/>
          <w:szCs w:val="26"/>
        </w:rPr>
        <w:tab/>
      </w:r>
      <w:r w:rsidRPr="00992520">
        <w:rPr>
          <w:sz w:val="26"/>
          <w:szCs w:val="26"/>
        </w:rPr>
        <w:tab/>
      </w:r>
      <w:r w:rsidRPr="00992520">
        <w:rPr>
          <w:sz w:val="26"/>
          <w:szCs w:val="26"/>
        </w:rPr>
        <w:tab/>
      </w:r>
      <w:r w:rsidRPr="00992520">
        <w:rPr>
          <w:sz w:val="26"/>
          <w:szCs w:val="26"/>
        </w:rPr>
        <w:tab/>
        <w:t>E.Sprūdžs</w:t>
      </w:r>
    </w:p>
    <w:p w:rsidR="00214271" w:rsidRPr="00992520" w:rsidRDefault="00214271" w:rsidP="00214271">
      <w:pPr>
        <w:spacing w:after="120"/>
        <w:rPr>
          <w:b/>
          <w:sz w:val="26"/>
          <w:szCs w:val="26"/>
        </w:rPr>
      </w:pPr>
    </w:p>
    <w:p w:rsidR="00214271" w:rsidRPr="006C20D5" w:rsidRDefault="00214271" w:rsidP="00214271">
      <w:pPr>
        <w:spacing w:after="120"/>
        <w:rPr>
          <w:sz w:val="26"/>
          <w:szCs w:val="26"/>
        </w:rPr>
      </w:pPr>
      <w:r w:rsidRPr="00992520">
        <w:rPr>
          <w:b/>
          <w:sz w:val="26"/>
          <w:szCs w:val="26"/>
        </w:rPr>
        <w:t>Vīza:</w:t>
      </w:r>
      <w:r w:rsidRPr="00992520">
        <w:rPr>
          <w:sz w:val="26"/>
          <w:szCs w:val="26"/>
        </w:rPr>
        <w:t xml:space="preserve"> Valsts sekretārs</w:t>
      </w:r>
      <w:r w:rsidRPr="00992520">
        <w:rPr>
          <w:sz w:val="26"/>
          <w:szCs w:val="26"/>
        </w:rPr>
        <w:tab/>
      </w:r>
      <w:r w:rsidRPr="00992520">
        <w:rPr>
          <w:sz w:val="26"/>
          <w:szCs w:val="26"/>
        </w:rPr>
        <w:tab/>
      </w:r>
      <w:r w:rsidRPr="00992520">
        <w:rPr>
          <w:sz w:val="26"/>
          <w:szCs w:val="26"/>
        </w:rPr>
        <w:tab/>
      </w:r>
      <w:r w:rsidRPr="00992520">
        <w:rPr>
          <w:sz w:val="26"/>
          <w:szCs w:val="26"/>
        </w:rPr>
        <w:tab/>
      </w:r>
      <w:r w:rsidRPr="00992520">
        <w:rPr>
          <w:sz w:val="26"/>
          <w:szCs w:val="26"/>
        </w:rPr>
        <w:tab/>
      </w:r>
      <w:r w:rsidRPr="00992520">
        <w:rPr>
          <w:sz w:val="26"/>
          <w:szCs w:val="26"/>
        </w:rPr>
        <w:tab/>
        <w:t>A.Antonovs</w:t>
      </w:r>
    </w:p>
    <w:p w:rsidR="008A7012" w:rsidRDefault="008A7012" w:rsidP="00214271">
      <w:pPr>
        <w:rPr>
          <w:sz w:val="24"/>
        </w:rPr>
      </w:pPr>
    </w:p>
    <w:p w:rsidR="00214271" w:rsidRPr="00E77166" w:rsidRDefault="005043BB" w:rsidP="00214271">
      <w:pPr>
        <w:rPr>
          <w:sz w:val="24"/>
        </w:rPr>
      </w:pPr>
      <w:r>
        <w:rPr>
          <w:sz w:val="24"/>
        </w:rPr>
        <w:t>18.10</w:t>
      </w:r>
      <w:r w:rsidR="00FE42DA">
        <w:rPr>
          <w:sz w:val="24"/>
        </w:rPr>
        <w:t>.</w:t>
      </w:r>
      <w:r w:rsidR="003134FB">
        <w:rPr>
          <w:sz w:val="24"/>
        </w:rPr>
        <w:t>2013.</w:t>
      </w:r>
      <w:r w:rsidR="00145284">
        <w:rPr>
          <w:sz w:val="24"/>
        </w:rPr>
        <w:t xml:space="preserve"> 14</w:t>
      </w:r>
      <w:r w:rsidR="00214271" w:rsidRPr="00E77166">
        <w:rPr>
          <w:sz w:val="24"/>
        </w:rPr>
        <w:t>:1</w:t>
      </w:r>
      <w:r w:rsidR="004D160E">
        <w:rPr>
          <w:sz w:val="24"/>
        </w:rPr>
        <w:t>5</w:t>
      </w:r>
    </w:p>
    <w:p w:rsidR="00214271" w:rsidRPr="00E77166" w:rsidRDefault="007D30DA" w:rsidP="008A7012">
      <w:pPr>
        <w:rPr>
          <w:sz w:val="24"/>
        </w:rPr>
      </w:pPr>
      <w:r w:rsidRPr="00BA49D1">
        <w:rPr>
          <w:sz w:val="24"/>
        </w:rPr>
        <w:t>4</w:t>
      </w:r>
      <w:r w:rsidR="00550434">
        <w:rPr>
          <w:sz w:val="24"/>
        </w:rPr>
        <w:t>569</w:t>
      </w:r>
    </w:p>
    <w:p w:rsidR="00214271" w:rsidRPr="00E77166" w:rsidRDefault="00214271" w:rsidP="00214271">
      <w:pPr>
        <w:tabs>
          <w:tab w:val="left" w:pos="7440"/>
        </w:tabs>
        <w:rPr>
          <w:sz w:val="24"/>
        </w:rPr>
      </w:pPr>
      <w:r w:rsidRPr="00E77166">
        <w:rPr>
          <w:sz w:val="24"/>
        </w:rPr>
        <w:t>D.Šatrovska</w:t>
      </w:r>
    </w:p>
    <w:p w:rsidR="00214271" w:rsidRDefault="00214271" w:rsidP="00F356B0">
      <w:pPr>
        <w:tabs>
          <w:tab w:val="left" w:pos="7440"/>
        </w:tabs>
        <w:spacing w:after="120"/>
      </w:pPr>
      <w:r w:rsidRPr="00E77166">
        <w:rPr>
          <w:sz w:val="24"/>
        </w:rPr>
        <w:t xml:space="preserve">67026521, </w:t>
      </w:r>
      <w:hyperlink r:id="rId12" w:history="1">
        <w:r w:rsidRPr="00E77166">
          <w:rPr>
            <w:rStyle w:val="Hyperlink"/>
            <w:sz w:val="24"/>
          </w:rPr>
          <w:t>dace.satrovska@varam.gov.lv</w:t>
        </w:r>
      </w:hyperlink>
    </w:p>
    <w:sectPr w:rsidR="00214271" w:rsidSect="00F00AE2">
      <w:footerReference w:type="default" r:id="rId13"/>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CF2" w:rsidRDefault="00A10CF2">
      <w:r>
        <w:separator/>
      </w:r>
    </w:p>
  </w:endnote>
  <w:endnote w:type="continuationSeparator" w:id="0">
    <w:p w:rsidR="00A10CF2" w:rsidRDefault="00A10C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CF2" w:rsidRPr="00614FDA" w:rsidRDefault="00A10CF2" w:rsidP="00F00AE2">
    <w:pPr>
      <w:pStyle w:val="naisc"/>
      <w:spacing w:before="0" w:after="0"/>
      <w:jc w:val="both"/>
      <w:rPr>
        <w:bCs/>
      </w:rPr>
    </w:pPr>
    <w:smartTag w:uri="urn:schemas-microsoft-com:office:smarttags" w:element="PersonName">
      <w:r w:rsidRPr="00614FDA">
        <w:t>VARAM</w:t>
      </w:r>
    </w:smartTag>
    <w:r w:rsidRPr="00614FDA">
      <w:t>Anot_</w:t>
    </w:r>
    <w:r>
      <w:t>1810</w:t>
    </w:r>
    <w:r w:rsidRPr="00614FDA">
      <w:t>13_</w:t>
    </w:r>
    <w:r>
      <w:t>atkritumi</w:t>
    </w:r>
    <w:r w:rsidRPr="00614FDA">
      <w:t xml:space="preserve">; </w:t>
    </w:r>
    <w:r w:rsidRPr="00875E88">
      <w:t>Ministru kabineta noteikumu projekta „Grozījumi Ministru kabineta 2002.gada 19.marta noteikumos Nr.129 „</w:t>
    </w:r>
    <w:r w:rsidRPr="00875E88">
      <w:rPr>
        <w:bCs/>
      </w:rPr>
      <w:t>Prasības darbībām ar radioaktīvajiem atkritumiem un ar tiem saistītajiem materiāliem”</w:t>
    </w:r>
    <w:r w:rsidRPr="00875E88">
      <w:t>”</w:t>
    </w:r>
    <w:r w:rsidRPr="00614FDA">
      <w:t xml:space="preserve"> </w:t>
    </w:r>
    <w:r w:rsidRPr="00614FDA">
      <w:rPr>
        <w:bCs/>
      </w:rPr>
      <w:t>sākotnējās ietekm</w:t>
    </w:r>
    <w:smartTag w:uri="urn:schemas-microsoft-com:office:smarttags" w:element="PersonName">
      <w:r w:rsidRPr="00614FDA">
        <w:rPr>
          <w:bCs/>
        </w:rPr>
        <w:t>es</w:t>
      </w:r>
    </w:smartTag>
    <w:r w:rsidRPr="00614FDA">
      <w:rPr>
        <w:bCs/>
      </w:rPr>
      <w:t xml:space="preserve"> novērtējuma </w:t>
    </w:r>
    <w:smartTag w:uri="schemas-tilde-lv/tildestengine" w:element="veidnes">
      <w:smartTagPr>
        <w:attr w:name="id" w:val="-1"/>
        <w:attr w:name="baseform" w:val="zi￲ojums"/>
        <w:attr w:name="text" w:val="ziņojums"/>
      </w:smartTagPr>
      <w:smartTag w:uri="urn:schemas-microsoft-com:office:smarttags" w:element="Street">
        <w:smartTagPr>
          <w:attr w:name="id" w:val="-1"/>
          <w:attr w:name="baseform" w:val="zi￲ojums"/>
          <w:attr w:name="text" w:val="ziņojums"/>
        </w:smartTagPr>
        <w:r w:rsidRPr="00614FDA">
          <w:rPr>
            <w:bCs/>
          </w:rPr>
          <w:t>ziņojums</w:t>
        </w:r>
      </w:smartTag>
    </w:smartTag>
    <w:r w:rsidRPr="00614FDA">
      <w:rPr>
        <w:bCs/>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CF2" w:rsidRDefault="00A10CF2">
      <w:r>
        <w:separator/>
      </w:r>
    </w:p>
  </w:footnote>
  <w:footnote w:type="continuationSeparator" w:id="0">
    <w:p w:rsidR="00A10CF2" w:rsidRDefault="00A10CF2">
      <w:r>
        <w:continuationSeparator/>
      </w:r>
    </w:p>
  </w:footnote>
  <w:footnote w:id="1">
    <w:p w:rsidR="00A10CF2" w:rsidRPr="008C323F" w:rsidRDefault="00A10CF2" w:rsidP="008C323F">
      <w:pPr>
        <w:pStyle w:val="FootnoteText"/>
        <w:spacing w:line="240" w:lineRule="auto"/>
      </w:pPr>
      <w:r>
        <w:rPr>
          <w:rStyle w:val="FootnoteReference"/>
        </w:rPr>
        <w:footnoteRef/>
      </w:r>
      <w:r>
        <w:t xml:space="preserve"> Likumprojekts </w:t>
      </w:r>
      <w:r w:rsidRPr="009A5B96">
        <w:t>„Grozījumi likumā „Par radiācijas drošību un kodoldrošību””  (izsludināts Valsts sekretāru 2013.gada 7.februāra sanāksmē, protokols Nr.5 11.§, VSS-105)</w:t>
      </w:r>
    </w:p>
  </w:footnote>
  <w:footnote w:id="2">
    <w:p w:rsidR="00A10CF2" w:rsidRPr="009A5B96" w:rsidRDefault="00A10CF2" w:rsidP="00CF295D">
      <w:pPr>
        <w:pStyle w:val="FootnoteText"/>
        <w:spacing w:line="240" w:lineRule="auto"/>
      </w:pPr>
      <w:r>
        <w:rPr>
          <w:rStyle w:val="FootnoteReference"/>
        </w:rPr>
        <w:footnoteRef/>
      </w:r>
      <w:r>
        <w:t xml:space="preserve"> Likumprojekts </w:t>
      </w:r>
      <w:r w:rsidRPr="009A5B96">
        <w:t>„Grozījumi likumā „Par radiācijas drošību un kodoldrošību””  (izsludināts Valsts sekretāru 2013.gada 7.februāra sanāksmē, protokols Nr.5 11.§, VSS-105)</w:t>
      </w:r>
    </w:p>
  </w:footnote>
  <w:footnote w:id="3">
    <w:p w:rsidR="00A10CF2" w:rsidRPr="00FE42DA" w:rsidRDefault="00A10CF2" w:rsidP="00706CC4">
      <w:pPr>
        <w:pStyle w:val="FootnoteText"/>
        <w:spacing w:line="240" w:lineRule="auto"/>
      </w:pPr>
      <w:r>
        <w:rPr>
          <w:rStyle w:val="FootnoteReference"/>
        </w:rPr>
        <w:footnoteRef/>
      </w:r>
      <w:r>
        <w:t xml:space="preserve"> </w:t>
      </w:r>
      <w:r w:rsidRPr="009A5B96">
        <w:t>Likumprojekts „</w:t>
      </w:r>
      <w:r w:rsidRPr="00F9349F">
        <w:t>Grozījumi likumā „Par radiācijas drošību un kodoldrošību”” (izsludināts Valsts sekretāru 2013.gada 7.februāra sanāksmē, protokols Nr.5 11.§, VSS-105)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170"/>
    <w:multiLevelType w:val="hybridMultilevel"/>
    <w:tmpl w:val="B2A846D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113D0D62"/>
    <w:multiLevelType w:val="hybridMultilevel"/>
    <w:tmpl w:val="57E8E3D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17C75619"/>
    <w:multiLevelType w:val="hybridMultilevel"/>
    <w:tmpl w:val="778E07A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185F2968"/>
    <w:multiLevelType w:val="hybridMultilevel"/>
    <w:tmpl w:val="08D41714"/>
    <w:lvl w:ilvl="0" w:tplc="6442AF5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C7727FE"/>
    <w:multiLevelType w:val="hybridMultilevel"/>
    <w:tmpl w:val="E33AACEC"/>
    <w:lvl w:ilvl="0" w:tplc="04260001">
      <w:start w:val="1"/>
      <w:numFmt w:val="bullet"/>
      <w:lvlText w:val=""/>
      <w:lvlJc w:val="left"/>
      <w:pPr>
        <w:tabs>
          <w:tab w:val="num" w:pos="1260"/>
        </w:tabs>
        <w:ind w:left="1260" w:hanging="360"/>
      </w:pPr>
      <w:rPr>
        <w:rFonts w:ascii="Symbol" w:hAnsi="Symbol" w:hint="default"/>
      </w:rPr>
    </w:lvl>
    <w:lvl w:ilvl="1" w:tplc="04260017">
      <w:start w:val="1"/>
      <w:numFmt w:val="lowerLetter"/>
      <w:lvlText w:val="%2)"/>
      <w:lvlJc w:val="left"/>
      <w:pPr>
        <w:tabs>
          <w:tab w:val="num" w:pos="1980"/>
        </w:tabs>
        <w:ind w:left="1980" w:hanging="360"/>
      </w:pPr>
      <w:rPr>
        <w:rFonts w:hint="default"/>
      </w:rPr>
    </w:lvl>
    <w:lvl w:ilvl="2" w:tplc="04260001">
      <w:start w:val="1"/>
      <w:numFmt w:val="bullet"/>
      <w:lvlText w:val=""/>
      <w:lvlJc w:val="left"/>
      <w:pPr>
        <w:tabs>
          <w:tab w:val="num" w:pos="2700"/>
        </w:tabs>
        <w:ind w:left="2700" w:hanging="360"/>
      </w:pPr>
      <w:rPr>
        <w:rFonts w:ascii="Symbol" w:hAnsi="Symbol"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5">
    <w:nsid w:val="2CB97BB6"/>
    <w:multiLevelType w:val="hybridMultilevel"/>
    <w:tmpl w:val="8F74E2C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30990FB5"/>
    <w:multiLevelType w:val="hybridMultilevel"/>
    <w:tmpl w:val="76E6BF0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39E82D7C"/>
    <w:multiLevelType w:val="hybridMultilevel"/>
    <w:tmpl w:val="5568CCD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3F9E6427"/>
    <w:multiLevelType w:val="hybridMultilevel"/>
    <w:tmpl w:val="CCA205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426026E4"/>
    <w:multiLevelType w:val="hybridMultilevel"/>
    <w:tmpl w:val="4F001FD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64462FB3"/>
    <w:multiLevelType w:val="hybridMultilevel"/>
    <w:tmpl w:val="425412B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6A383E05"/>
    <w:multiLevelType w:val="hybridMultilevel"/>
    <w:tmpl w:val="8F088EAA"/>
    <w:lvl w:ilvl="0" w:tplc="A90A949C">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1"/>
  </w:num>
  <w:num w:numId="2">
    <w:abstractNumId w:val="4"/>
  </w:num>
  <w:num w:numId="3">
    <w:abstractNumId w:val="7"/>
  </w:num>
  <w:num w:numId="4">
    <w:abstractNumId w:val="8"/>
  </w:num>
  <w:num w:numId="5">
    <w:abstractNumId w:val="10"/>
  </w:num>
  <w:num w:numId="6">
    <w:abstractNumId w:val="9"/>
  </w:num>
  <w:num w:numId="7">
    <w:abstractNumId w:val="6"/>
  </w:num>
  <w:num w:numId="8">
    <w:abstractNumId w:val="5"/>
  </w:num>
  <w:num w:numId="9">
    <w:abstractNumId w:val="0"/>
  </w:num>
  <w:num w:numId="10">
    <w:abstractNumId w:val="2"/>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stylePaneFormatFilter w:val="3F01"/>
  <w:defaultTabStop w:val="720"/>
  <w:characterSpacingControl w:val="doNotCompress"/>
  <w:hdrShapeDefaults>
    <o:shapedefaults v:ext="edit" spidmax="7169"/>
  </w:hdrShapeDefaults>
  <w:footnotePr>
    <w:footnote w:id="-1"/>
    <w:footnote w:id="0"/>
  </w:footnotePr>
  <w:endnotePr>
    <w:endnote w:id="-1"/>
    <w:endnote w:id="0"/>
  </w:endnotePr>
  <w:compat/>
  <w:rsids>
    <w:rsidRoot w:val="00F00AE2"/>
    <w:rsid w:val="0000033D"/>
    <w:rsid w:val="0000546D"/>
    <w:rsid w:val="00007BF8"/>
    <w:rsid w:val="00016246"/>
    <w:rsid w:val="00017AD9"/>
    <w:rsid w:val="000263F6"/>
    <w:rsid w:val="00030AB3"/>
    <w:rsid w:val="000360A6"/>
    <w:rsid w:val="000372BF"/>
    <w:rsid w:val="000436C1"/>
    <w:rsid w:val="000440B1"/>
    <w:rsid w:val="000526FC"/>
    <w:rsid w:val="00052D09"/>
    <w:rsid w:val="00052D8A"/>
    <w:rsid w:val="00055BFA"/>
    <w:rsid w:val="00056F19"/>
    <w:rsid w:val="00057074"/>
    <w:rsid w:val="00057FA7"/>
    <w:rsid w:val="00066CEA"/>
    <w:rsid w:val="000728FE"/>
    <w:rsid w:val="00075A21"/>
    <w:rsid w:val="00077FC8"/>
    <w:rsid w:val="00092F0D"/>
    <w:rsid w:val="00096944"/>
    <w:rsid w:val="000B27CD"/>
    <w:rsid w:val="000B2A5D"/>
    <w:rsid w:val="000B3140"/>
    <w:rsid w:val="000B3611"/>
    <w:rsid w:val="000B5230"/>
    <w:rsid w:val="000C0973"/>
    <w:rsid w:val="000C5C7A"/>
    <w:rsid w:val="000C7D2D"/>
    <w:rsid w:val="000E5CD8"/>
    <w:rsid w:val="000F4987"/>
    <w:rsid w:val="0011502E"/>
    <w:rsid w:val="00122869"/>
    <w:rsid w:val="00133083"/>
    <w:rsid w:val="00133489"/>
    <w:rsid w:val="001374C2"/>
    <w:rsid w:val="00137D8A"/>
    <w:rsid w:val="00145284"/>
    <w:rsid w:val="0014693E"/>
    <w:rsid w:val="00164725"/>
    <w:rsid w:val="00187944"/>
    <w:rsid w:val="001A1F6D"/>
    <w:rsid w:val="001A27CD"/>
    <w:rsid w:val="001B2627"/>
    <w:rsid w:val="001C7B2C"/>
    <w:rsid w:val="001D2624"/>
    <w:rsid w:val="001D5B9D"/>
    <w:rsid w:val="001D6F53"/>
    <w:rsid w:val="001E2652"/>
    <w:rsid w:val="001F150A"/>
    <w:rsid w:val="001F2F24"/>
    <w:rsid w:val="002065A5"/>
    <w:rsid w:val="00214271"/>
    <w:rsid w:val="002255BF"/>
    <w:rsid w:val="00251A89"/>
    <w:rsid w:val="00260D90"/>
    <w:rsid w:val="00272682"/>
    <w:rsid w:val="00282783"/>
    <w:rsid w:val="002827EB"/>
    <w:rsid w:val="00285294"/>
    <w:rsid w:val="002856D6"/>
    <w:rsid w:val="002923EB"/>
    <w:rsid w:val="002924E0"/>
    <w:rsid w:val="00294081"/>
    <w:rsid w:val="00295EAD"/>
    <w:rsid w:val="002A1111"/>
    <w:rsid w:val="002A5C0A"/>
    <w:rsid w:val="002B3591"/>
    <w:rsid w:val="002B361B"/>
    <w:rsid w:val="002B5FD0"/>
    <w:rsid w:val="002D5771"/>
    <w:rsid w:val="00301A54"/>
    <w:rsid w:val="00310973"/>
    <w:rsid w:val="00310DAD"/>
    <w:rsid w:val="003134FB"/>
    <w:rsid w:val="00322A2F"/>
    <w:rsid w:val="003376F4"/>
    <w:rsid w:val="00341071"/>
    <w:rsid w:val="00354566"/>
    <w:rsid w:val="00362C08"/>
    <w:rsid w:val="00365398"/>
    <w:rsid w:val="00372BB8"/>
    <w:rsid w:val="0037347B"/>
    <w:rsid w:val="00374E80"/>
    <w:rsid w:val="00385F81"/>
    <w:rsid w:val="003A51CD"/>
    <w:rsid w:val="003B3EC9"/>
    <w:rsid w:val="003C6A45"/>
    <w:rsid w:val="003C6F53"/>
    <w:rsid w:val="003D0F60"/>
    <w:rsid w:val="003E164B"/>
    <w:rsid w:val="003E2032"/>
    <w:rsid w:val="003E25E4"/>
    <w:rsid w:val="003E3464"/>
    <w:rsid w:val="003E56D8"/>
    <w:rsid w:val="003F04CF"/>
    <w:rsid w:val="003F746C"/>
    <w:rsid w:val="003F7473"/>
    <w:rsid w:val="003F7540"/>
    <w:rsid w:val="004050C8"/>
    <w:rsid w:val="00405881"/>
    <w:rsid w:val="00423FCD"/>
    <w:rsid w:val="00424231"/>
    <w:rsid w:val="00440A5B"/>
    <w:rsid w:val="004414BB"/>
    <w:rsid w:val="004549BA"/>
    <w:rsid w:val="00467BD8"/>
    <w:rsid w:val="004718AD"/>
    <w:rsid w:val="0047635D"/>
    <w:rsid w:val="00477239"/>
    <w:rsid w:val="00483C71"/>
    <w:rsid w:val="004B0758"/>
    <w:rsid w:val="004B555B"/>
    <w:rsid w:val="004C76FF"/>
    <w:rsid w:val="004D160E"/>
    <w:rsid w:val="004E0BED"/>
    <w:rsid w:val="004E569D"/>
    <w:rsid w:val="004E7169"/>
    <w:rsid w:val="004F740A"/>
    <w:rsid w:val="005043BB"/>
    <w:rsid w:val="00504E37"/>
    <w:rsid w:val="00516DAC"/>
    <w:rsid w:val="00517975"/>
    <w:rsid w:val="0053251B"/>
    <w:rsid w:val="00536D90"/>
    <w:rsid w:val="00550434"/>
    <w:rsid w:val="00561C71"/>
    <w:rsid w:val="00566228"/>
    <w:rsid w:val="005720CD"/>
    <w:rsid w:val="00572373"/>
    <w:rsid w:val="00573036"/>
    <w:rsid w:val="005732E4"/>
    <w:rsid w:val="00577C11"/>
    <w:rsid w:val="00580F06"/>
    <w:rsid w:val="005963A1"/>
    <w:rsid w:val="00597ADE"/>
    <w:rsid w:val="005A7EB4"/>
    <w:rsid w:val="005B441A"/>
    <w:rsid w:val="005B4F52"/>
    <w:rsid w:val="005C3FB4"/>
    <w:rsid w:val="005D184A"/>
    <w:rsid w:val="005D6CDC"/>
    <w:rsid w:val="005E6AA6"/>
    <w:rsid w:val="00612F31"/>
    <w:rsid w:val="00614FDA"/>
    <w:rsid w:val="006162AF"/>
    <w:rsid w:val="0061663A"/>
    <w:rsid w:val="00632A1D"/>
    <w:rsid w:val="00646202"/>
    <w:rsid w:val="00646BE0"/>
    <w:rsid w:val="00655D0D"/>
    <w:rsid w:val="00657E0E"/>
    <w:rsid w:val="006661CA"/>
    <w:rsid w:val="00670508"/>
    <w:rsid w:val="00671653"/>
    <w:rsid w:val="00672DB0"/>
    <w:rsid w:val="00676183"/>
    <w:rsid w:val="00684127"/>
    <w:rsid w:val="00690917"/>
    <w:rsid w:val="006966C6"/>
    <w:rsid w:val="006A01A5"/>
    <w:rsid w:val="006A24FA"/>
    <w:rsid w:val="006A4154"/>
    <w:rsid w:val="006B0164"/>
    <w:rsid w:val="006B4C82"/>
    <w:rsid w:val="006B7504"/>
    <w:rsid w:val="006C0039"/>
    <w:rsid w:val="006C05A4"/>
    <w:rsid w:val="006C20D5"/>
    <w:rsid w:val="006D3305"/>
    <w:rsid w:val="006D37BC"/>
    <w:rsid w:val="006D40A2"/>
    <w:rsid w:val="006D4C69"/>
    <w:rsid w:val="006E1344"/>
    <w:rsid w:val="00704382"/>
    <w:rsid w:val="00706CC4"/>
    <w:rsid w:val="00725364"/>
    <w:rsid w:val="00731746"/>
    <w:rsid w:val="00736A6D"/>
    <w:rsid w:val="00751B75"/>
    <w:rsid w:val="007655E2"/>
    <w:rsid w:val="007754C1"/>
    <w:rsid w:val="00783754"/>
    <w:rsid w:val="00784C19"/>
    <w:rsid w:val="00792D68"/>
    <w:rsid w:val="007A1EE7"/>
    <w:rsid w:val="007A2F8B"/>
    <w:rsid w:val="007B07C5"/>
    <w:rsid w:val="007B07CB"/>
    <w:rsid w:val="007C30D3"/>
    <w:rsid w:val="007D30DA"/>
    <w:rsid w:val="007D4934"/>
    <w:rsid w:val="007E0464"/>
    <w:rsid w:val="007E3BA3"/>
    <w:rsid w:val="007E3D2F"/>
    <w:rsid w:val="007F4120"/>
    <w:rsid w:val="0080001A"/>
    <w:rsid w:val="0080137A"/>
    <w:rsid w:val="008017A7"/>
    <w:rsid w:val="00804A82"/>
    <w:rsid w:val="008067DD"/>
    <w:rsid w:val="0081728F"/>
    <w:rsid w:val="00817DA8"/>
    <w:rsid w:val="008317BD"/>
    <w:rsid w:val="008328AC"/>
    <w:rsid w:val="008347C2"/>
    <w:rsid w:val="0084206E"/>
    <w:rsid w:val="008516EA"/>
    <w:rsid w:val="0086179B"/>
    <w:rsid w:val="00863F8F"/>
    <w:rsid w:val="008656C4"/>
    <w:rsid w:val="00865AF3"/>
    <w:rsid w:val="00874715"/>
    <w:rsid w:val="00875E88"/>
    <w:rsid w:val="008763B2"/>
    <w:rsid w:val="00877185"/>
    <w:rsid w:val="008838F2"/>
    <w:rsid w:val="008848FD"/>
    <w:rsid w:val="00884982"/>
    <w:rsid w:val="0089694F"/>
    <w:rsid w:val="008A66C3"/>
    <w:rsid w:val="008A7012"/>
    <w:rsid w:val="008B35F0"/>
    <w:rsid w:val="008C152E"/>
    <w:rsid w:val="008C323F"/>
    <w:rsid w:val="008D2D3D"/>
    <w:rsid w:val="008D358F"/>
    <w:rsid w:val="008D77E7"/>
    <w:rsid w:val="008E2A3B"/>
    <w:rsid w:val="008F2C8C"/>
    <w:rsid w:val="008F5EB6"/>
    <w:rsid w:val="00900519"/>
    <w:rsid w:val="009040FB"/>
    <w:rsid w:val="00907267"/>
    <w:rsid w:val="00922940"/>
    <w:rsid w:val="00922AE6"/>
    <w:rsid w:val="00923A17"/>
    <w:rsid w:val="00924BA5"/>
    <w:rsid w:val="00933491"/>
    <w:rsid w:val="00944336"/>
    <w:rsid w:val="00945629"/>
    <w:rsid w:val="00951EE5"/>
    <w:rsid w:val="0095318E"/>
    <w:rsid w:val="00963043"/>
    <w:rsid w:val="00980F7F"/>
    <w:rsid w:val="00982565"/>
    <w:rsid w:val="009877B0"/>
    <w:rsid w:val="00992520"/>
    <w:rsid w:val="009A5B96"/>
    <w:rsid w:val="009A686F"/>
    <w:rsid w:val="009A6FD2"/>
    <w:rsid w:val="009B37A8"/>
    <w:rsid w:val="009B5616"/>
    <w:rsid w:val="009C579C"/>
    <w:rsid w:val="009C67B0"/>
    <w:rsid w:val="009C7C3A"/>
    <w:rsid w:val="009E490A"/>
    <w:rsid w:val="009F67D4"/>
    <w:rsid w:val="00A10CF2"/>
    <w:rsid w:val="00A117BB"/>
    <w:rsid w:val="00A20191"/>
    <w:rsid w:val="00A202F6"/>
    <w:rsid w:val="00A32EAC"/>
    <w:rsid w:val="00A33A0F"/>
    <w:rsid w:val="00A33E79"/>
    <w:rsid w:val="00A43407"/>
    <w:rsid w:val="00A4551C"/>
    <w:rsid w:val="00A55D24"/>
    <w:rsid w:val="00A61B60"/>
    <w:rsid w:val="00A64977"/>
    <w:rsid w:val="00A65B0B"/>
    <w:rsid w:val="00A700C1"/>
    <w:rsid w:val="00A74A42"/>
    <w:rsid w:val="00A80767"/>
    <w:rsid w:val="00A80FFF"/>
    <w:rsid w:val="00A82FAA"/>
    <w:rsid w:val="00AA79C5"/>
    <w:rsid w:val="00AA7E61"/>
    <w:rsid w:val="00AC0721"/>
    <w:rsid w:val="00AC110C"/>
    <w:rsid w:val="00AC39E2"/>
    <w:rsid w:val="00AC70C0"/>
    <w:rsid w:val="00AD3EE9"/>
    <w:rsid w:val="00AD6F95"/>
    <w:rsid w:val="00AE4EF5"/>
    <w:rsid w:val="00AF14C8"/>
    <w:rsid w:val="00AF217C"/>
    <w:rsid w:val="00AF3D02"/>
    <w:rsid w:val="00B009F9"/>
    <w:rsid w:val="00B05393"/>
    <w:rsid w:val="00B05A71"/>
    <w:rsid w:val="00B20055"/>
    <w:rsid w:val="00B30FC0"/>
    <w:rsid w:val="00B4182A"/>
    <w:rsid w:val="00B5444D"/>
    <w:rsid w:val="00B66AED"/>
    <w:rsid w:val="00B7029D"/>
    <w:rsid w:val="00B72346"/>
    <w:rsid w:val="00B77E28"/>
    <w:rsid w:val="00B83ED8"/>
    <w:rsid w:val="00B87D60"/>
    <w:rsid w:val="00BA119F"/>
    <w:rsid w:val="00BA1C0C"/>
    <w:rsid w:val="00BA332F"/>
    <w:rsid w:val="00BA49D1"/>
    <w:rsid w:val="00BB1F57"/>
    <w:rsid w:val="00BC0C16"/>
    <w:rsid w:val="00BC28B1"/>
    <w:rsid w:val="00BD489F"/>
    <w:rsid w:val="00BD7BBA"/>
    <w:rsid w:val="00BE0CB2"/>
    <w:rsid w:val="00BE1633"/>
    <w:rsid w:val="00BF251B"/>
    <w:rsid w:val="00BF28F3"/>
    <w:rsid w:val="00BF3811"/>
    <w:rsid w:val="00C22DED"/>
    <w:rsid w:val="00C30C87"/>
    <w:rsid w:val="00C42AF4"/>
    <w:rsid w:val="00C43A66"/>
    <w:rsid w:val="00C5489A"/>
    <w:rsid w:val="00C60296"/>
    <w:rsid w:val="00C63AEB"/>
    <w:rsid w:val="00CA0A80"/>
    <w:rsid w:val="00CE6FD8"/>
    <w:rsid w:val="00CF295D"/>
    <w:rsid w:val="00CF4A3F"/>
    <w:rsid w:val="00CF7383"/>
    <w:rsid w:val="00D00A66"/>
    <w:rsid w:val="00D022CC"/>
    <w:rsid w:val="00D33D82"/>
    <w:rsid w:val="00D3778A"/>
    <w:rsid w:val="00D42EE5"/>
    <w:rsid w:val="00D47044"/>
    <w:rsid w:val="00D51ED8"/>
    <w:rsid w:val="00D53216"/>
    <w:rsid w:val="00D55F29"/>
    <w:rsid w:val="00D70663"/>
    <w:rsid w:val="00D742EF"/>
    <w:rsid w:val="00D80C98"/>
    <w:rsid w:val="00D95C78"/>
    <w:rsid w:val="00DA48B1"/>
    <w:rsid w:val="00DA50BF"/>
    <w:rsid w:val="00DA5963"/>
    <w:rsid w:val="00DB018E"/>
    <w:rsid w:val="00DB1C9F"/>
    <w:rsid w:val="00DB6F88"/>
    <w:rsid w:val="00DD0CA9"/>
    <w:rsid w:val="00DE0E17"/>
    <w:rsid w:val="00DE3650"/>
    <w:rsid w:val="00DF02AD"/>
    <w:rsid w:val="00DF449F"/>
    <w:rsid w:val="00E02A8E"/>
    <w:rsid w:val="00E077A2"/>
    <w:rsid w:val="00E16A5C"/>
    <w:rsid w:val="00E26541"/>
    <w:rsid w:val="00E40C09"/>
    <w:rsid w:val="00E43705"/>
    <w:rsid w:val="00E47EC0"/>
    <w:rsid w:val="00E538C2"/>
    <w:rsid w:val="00E61EEE"/>
    <w:rsid w:val="00E73DBE"/>
    <w:rsid w:val="00E77166"/>
    <w:rsid w:val="00E82A7D"/>
    <w:rsid w:val="00E83932"/>
    <w:rsid w:val="00E946B9"/>
    <w:rsid w:val="00E94803"/>
    <w:rsid w:val="00EA193D"/>
    <w:rsid w:val="00EB2A63"/>
    <w:rsid w:val="00EC6B64"/>
    <w:rsid w:val="00EE0624"/>
    <w:rsid w:val="00EE13FF"/>
    <w:rsid w:val="00F00AE2"/>
    <w:rsid w:val="00F1611B"/>
    <w:rsid w:val="00F20C5A"/>
    <w:rsid w:val="00F21EE7"/>
    <w:rsid w:val="00F32D81"/>
    <w:rsid w:val="00F356B0"/>
    <w:rsid w:val="00F37AF0"/>
    <w:rsid w:val="00F4603D"/>
    <w:rsid w:val="00F63A7C"/>
    <w:rsid w:val="00F709AB"/>
    <w:rsid w:val="00F71AD5"/>
    <w:rsid w:val="00F73EF0"/>
    <w:rsid w:val="00F85476"/>
    <w:rsid w:val="00F9102F"/>
    <w:rsid w:val="00F927DC"/>
    <w:rsid w:val="00F9349F"/>
    <w:rsid w:val="00FA2856"/>
    <w:rsid w:val="00FA52FF"/>
    <w:rsid w:val="00FB4A61"/>
    <w:rsid w:val="00FD2B12"/>
    <w:rsid w:val="00FD2FDB"/>
    <w:rsid w:val="00FE42DA"/>
    <w:rsid w:val="00FE733B"/>
    <w:rsid w:val="00FF6EA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schemas-tilde-lv/tildestengine" w:name="currency2"/>
  <w:smartTagType w:namespaceuri="urn:schemas-microsoft-com:office:smarttags" w:name="PersonName"/>
  <w:smartTagType w:namespaceuri="schemas-tilde-lv/tildestengine" w:name="veidn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AE2"/>
    <w:rPr>
      <w:sz w:val="28"/>
      <w:szCs w:val="24"/>
      <w:lang w:eastAsia="en-US"/>
    </w:rPr>
  </w:style>
  <w:style w:type="paragraph" w:styleId="Heading2">
    <w:name w:val="heading 2"/>
    <w:basedOn w:val="Normal"/>
    <w:next w:val="Normal"/>
    <w:link w:val="Heading2Char"/>
    <w:qFormat/>
    <w:rsid w:val="00DE3650"/>
    <w:pPr>
      <w:keepNext/>
      <w:jc w:val="both"/>
      <w:outlineLvl w:val="1"/>
    </w:pPr>
    <w:rPr>
      <w:i/>
      <w:iCs/>
      <w:sz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00AE2"/>
    <w:pPr>
      <w:spacing w:before="75" w:after="75"/>
      <w:jc w:val="center"/>
    </w:pPr>
    <w:rPr>
      <w:sz w:val="24"/>
      <w:lang w:eastAsia="lv-LV"/>
    </w:rPr>
  </w:style>
  <w:style w:type="paragraph" w:customStyle="1" w:styleId="naislab">
    <w:name w:val="naislab"/>
    <w:basedOn w:val="Normal"/>
    <w:rsid w:val="00F00AE2"/>
    <w:pPr>
      <w:spacing w:before="75" w:after="75"/>
      <w:jc w:val="right"/>
    </w:pPr>
    <w:rPr>
      <w:sz w:val="24"/>
      <w:lang w:eastAsia="lv-LV"/>
    </w:rPr>
  </w:style>
  <w:style w:type="paragraph" w:customStyle="1" w:styleId="naiskr">
    <w:name w:val="naiskr"/>
    <w:basedOn w:val="Normal"/>
    <w:uiPriority w:val="99"/>
    <w:rsid w:val="00F00AE2"/>
    <w:pPr>
      <w:spacing w:before="75" w:after="75"/>
    </w:pPr>
    <w:rPr>
      <w:sz w:val="24"/>
      <w:lang w:eastAsia="lv-LV"/>
    </w:rPr>
  </w:style>
  <w:style w:type="paragraph" w:customStyle="1" w:styleId="naisnod">
    <w:name w:val="naisnod"/>
    <w:basedOn w:val="Normal"/>
    <w:rsid w:val="00F00AE2"/>
    <w:pPr>
      <w:spacing w:before="150" w:after="150"/>
      <w:jc w:val="center"/>
    </w:pPr>
    <w:rPr>
      <w:b/>
      <w:bCs/>
      <w:sz w:val="24"/>
      <w:lang w:eastAsia="lv-LV"/>
    </w:rPr>
  </w:style>
  <w:style w:type="paragraph" w:customStyle="1" w:styleId="naisf">
    <w:name w:val="naisf"/>
    <w:basedOn w:val="Normal"/>
    <w:uiPriority w:val="99"/>
    <w:rsid w:val="00F00AE2"/>
    <w:pPr>
      <w:spacing w:before="75" w:after="75"/>
      <w:ind w:firstLine="375"/>
      <w:jc w:val="both"/>
    </w:pPr>
    <w:rPr>
      <w:sz w:val="24"/>
      <w:lang w:eastAsia="lv-LV"/>
    </w:rPr>
  </w:style>
  <w:style w:type="character" w:styleId="Hyperlink">
    <w:name w:val="Hyperlink"/>
    <w:rsid w:val="00F00AE2"/>
    <w:rPr>
      <w:color w:val="0000FF"/>
      <w:u w:val="single"/>
    </w:rPr>
  </w:style>
  <w:style w:type="character" w:styleId="Emphasis">
    <w:name w:val="Emphasis"/>
    <w:qFormat/>
    <w:rsid w:val="00F00AE2"/>
    <w:rPr>
      <w:i/>
      <w:iCs/>
    </w:rPr>
  </w:style>
  <w:style w:type="paragraph" w:styleId="Header">
    <w:name w:val="header"/>
    <w:basedOn w:val="Normal"/>
    <w:link w:val="HeaderChar"/>
    <w:uiPriority w:val="99"/>
    <w:rsid w:val="00F00AE2"/>
    <w:pPr>
      <w:tabs>
        <w:tab w:val="center" w:pos="4153"/>
        <w:tab w:val="right" w:pos="8306"/>
      </w:tabs>
    </w:pPr>
  </w:style>
  <w:style w:type="paragraph" w:styleId="Footer">
    <w:name w:val="footer"/>
    <w:basedOn w:val="Normal"/>
    <w:link w:val="FooterChar"/>
    <w:uiPriority w:val="99"/>
    <w:rsid w:val="00F00AE2"/>
    <w:pPr>
      <w:tabs>
        <w:tab w:val="center" w:pos="4153"/>
        <w:tab w:val="right" w:pos="8306"/>
      </w:tabs>
    </w:pPr>
  </w:style>
  <w:style w:type="paragraph" w:customStyle="1" w:styleId="tvhtmlmktable">
    <w:name w:val="tv_html mk_table"/>
    <w:basedOn w:val="Normal"/>
    <w:rsid w:val="004050C8"/>
    <w:pPr>
      <w:spacing w:before="100" w:beforeAutospacing="1" w:after="100" w:afterAutospacing="1"/>
    </w:pPr>
    <w:rPr>
      <w:rFonts w:ascii="Verdana" w:hAnsi="Verdana"/>
      <w:sz w:val="12"/>
      <w:szCs w:val="12"/>
      <w:lang w:eastAsia="lv-LV"/>
    </w:rPr>
  </w:style>
  <w:style w:type="table" w:styleId="TableGrid">
    <w:name w:val="Table Grid"/>
    <w:basedOn w:val="TableNormal"/>
    <w:rsid w:val="004E0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81728F"/>
    <w:pPr>
      <w:spacing w:after="120" w:line="480" w:lineRule="auto"/>
      <w:ind w:left="283"/>
    </w:pPr>
    <w:rPr>
      <w:sz w:val="24"/>
    </w:rPr>
  </w:style>
  <w:style w:type="character" w:styleId="Strong">
    <w:name w:val="Strong"/>
    <w:uiPriority w:val="22"/>
    <w:qFormat/>
    <w:rsid w:val="0081728F"/>
    <w:rPr>
      <w:b/>
      <w:bCs/>
    </w:rPr>
  </w:style>
  <w:style w:type="character" w:customStyle="1" w:styleId="FooterChar">
    <w:name w:val="Footer Char"/>
    <w:link w:val="Footer"/>
    <w:uiPriority w:val="99"/>
    <w:locked/>
    <w:rsid w:val="00614FDA"/>
    <w:rPr>
      <w:sz w:val="28"/>
      <w:szCs w:val="24"/>
      <w:lang w:eastAsia="en-US"/>
    </w:rPr>
  </w:style>
  <w:style w:type="paragraph" w:customStyle="1" w:styleId="tv2131">
    <w:name w:val="tv2131"/>
    <w:basedOn w:val="Normal"/>
    <w:rsid w:val="00D742EF"/>
    <w:pPr>
      <w:spacing w:before="240" w:line="360" w:lineRule="auto"/>
      <w:ind w:firstLine="300"/>
      <w:jc w:val="both"/>
    </w:pPr>
    <w:rPr>
      <w:rFonts w:ascii="Verdana" w:hAnsi="Verdana"/>
      <w:sz w:val="18"/>
      <w:szCs w:val="18"/>
      <w:lang w:eastAsia="lv-LV"/>
    </w:rPr>
  </w:style>
  <w:style w:type="character" w:customStyle="1" w:styleId="HeaderChar">
    <w:name w:val="Header Char"/>
    <w:link w:val="Header"/>
    <w:uiPriority w:val="99"/>
    <w:locked/>
    <w:rsid w:val="00BC0C16"/>
    <w:rPr>
      <w:sz w:val="28"/>
      <w:szCs w:val="24"/>
      <w:lang w:eastAsia="en-US"/>
    </w:rPr>
  </w:style>
  <w:style w:type="paragraph" w:customStyle="1" w:styleId="basetext">
    <w:name w:val="base text"/>
    <w:uiPriority w:val="99"/>
    <w:rsid w:val="00BC0C16"/>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pPr>
    <w:rPr>
      <w:sz w:val="24"/>
      <w:lang w:val="en-US" w:eastAsia="en-US"/>
    </w:rPr>
  </w:style>
  <w:style w:type="paragraph" w:styleId="BodyText2">
    <w:name w:val="Body Text 2"/>
    <w:basedOn w:val="Normal"/>
    <w:link w:val="BodyText2Char"/>
    <w:rsid w:val="008317BD"/>
    <w:pPr>
      <w:spacing w:after="120" w:line="480" w:lineRule="auto"/>
    </w:pPr>
  </w:style>
  <w:style w:type="character" w:customStyle="1" w:styleId="BodyText2Char">
    <w:name w:val="Body Text 2 Char"/>
    <w:link w:val="BodyText2"/>
    <w:rsid w:val="008317BD"/>
    <w:rPr>
      <w:sz w:val="28"/>
      <w:szCs w:val="24"/>
      <w:lang w:eastAsia="en-US"/>
    </w:rPr>
  </w:style>
  <w:style w:type="character" w:styleId="PageNumber">
    <w:name w:val="page number"/>
    <w:rsid w:val="008317BD"/>
  </w:style>
  <w:style w:type="paragraph" w:customStyle="1" w:styleId="CM3">
    <w:name w:val="CM3"/>
    <w:basedOn w:val="Normal"/>
    <w:next w:val="Normal"/>
    <w:uiPriority w:val="99"/>
    <w:rsid w:val="008317BD"/>
    <w:pPr>
      <w:autoSpaceDE w:val="0"/>
      <w:autoSpaceDN w:val="0"/>
      <w:adjustRightInd w:val="0"/>
    </w:pPr>
    <w:rPr>
      <w:rFonts w:ascii="EUAlbertina" w:hAnsi="EUAlbertina"/>
      <w:sz w:val="24"/>
      <w:lang w:eastAsia="lv-LV"/>
    </w:rPr>
  </w:style>
  <w:style w:type="paragraph" w:styleId="FootnoteText">
    <w:name w:val="footnote text"/>
    <w:basedOn w:val="Normal"/>
    <w:link w:val="FootnoteTextChar"/>
    <w:rsid w:val="00804A82"/>
    <w:pPr>
      <w:spacing w:line="360" w:lineRule="auto"/>
      <w:jc w:val="both"/>
    </w:pPr>
    <w:rPr>
      <w:sz w:val="24"/>
      <w:lang w:eastAsia="fr-BE"/>
    </w:rPr>
  </w:style>
  <w:style w:type="character" w:customStyle="1" w:styleId="FootnoteTextChar">
    <w:name w:val="Footnote Text Char"/>
    <w:link w:val="FootnoteText"/>
    <w:rsid w:val="00804A82"/>
    <w:rPr>
      <w:sz w:val="24"/>
      <w:szCs w:val="24"/>
      <w:lang w:eastAsia="fr-BE"/>
    </w:rPr>
  </w:style>
  <w:style w:type="character" w:customStyle="1" w:styleId="BodyTextIndent2Char">
    <w:name w:val="Body Text Indent 2 Char"/>
    <w:link w:val="BodyTextIndent2"/>
    <w:rsid w:val="00517975"/>
    <w:rPr>
      <w:sz w:val="24"/>
      <w:szCs w:val="24"/>
    </w:rPr>
  </w:style>
  <w:style w:type="paragraph" w:customStyle="1" w:styleId="CM1">
    <w:name w:val="CM1"/>
    <w:basedOn w:val="Normal"/>
    <w:next w:val="Normal"/>
    <w:uiPriority w:val="99"/>
    <w:rsid w:val="00657E0E"/>
    <w:pPr>
      <w:autoSpaceDE w:val="0"/>
      <w:autoSpaceDN w:val="0"/>
      <w:adjustRightInd w:val="0"/>
    </w:pPr>
    <w:rPr>
      <w:rFonts w:ascii="EUAlbertina" w:hAnsi="EUAlbertina"/>
      <w:sz w:val="24"/>
      <w:lang w:eastAsia="lv-LV"/>
    </w:rPr>
  </w:style>
  <w:style w:type="paragraph" w:customStyle="1" w:styleId="CM4">
    <w:name w:val="CM4"/>
    <w:basedOn w:val="Normal"/>
    <w:next w:val="Normal"/>
    <w:uiPriority w:val="99"/>
    <w:rsid w:val="00657E0E"/>
    <w:pPr>
      <w:autoSpaceDE w:val="0"/>
      <w:autoSpaceDN w:val="0"/>
      <w:adjustRightInd w:val="0"/>
    </w:pPr>
    <w:rPr>
      <w:rFonts w:ascii="EUAlbertina" w:hAnsi="EUAlbertina"/>
      <w:sz w:val="24"/>
      <w:lang w:eastAsia="lv-LV"/>
    </w:rPr>
  </w:style>
  <w:style w:type="paragraph" w:styleId="CommentText">
    <w:name w:val="annotation text"/>
    <w:basedOn w:val="Normal"/>
    <w:link w:val="CommentTextChar"/>
    <w:rsid w:val="00E40C09"/>
    <w:pPr>
      <w:widowControl w:val="0"/>
      <w:spacing w:before="100" w:after="100"/>
    </w:pPr>
    <w:rPr>
      <w:snapToGrid w:val="0"/>
      <w:sz w:val="20"/>
      <w:szCs w:val="20"/>
    </w:rPr>
  </w:style>
  <w:style w:type="character" w:customStyle="1" w:styleId="CommentTextChar">
    <w:name w:val="Comment Text Char"/>
    <w:link w:val="CommentText"/>
    <w:rsid w:val="00E40C09"/>
    <w:rPr>
      <w:snapToGrid/>
      <w:lang w:eastAsia="en-US"/>
    </w:rPr>
  </w:style>
  <w:style w:type="character" w:styleId="CommentReference">
    <w:name w:val="annotation reference"/>
    <w:rsid w:val="00E40C09"/>
    <w:rPr>
      <w:sz w:val="16"/>
      <w:szCs w:val="16"/>
    </w:rPr>
  </w:style>
  <w:style w:type="paragraph" w:styleId="BalloonText">
    <w:name w:val="Balloon Text"/>
    <w:basedOn w:val="Normal"/>
    <w:link w:val="BalloonTextChar"/>
    <w:rsid w:val="00E40C09"/>
    <w:rPr>
      <w:rFonts w:ascii="Tahoma" w:hAnsi="Tahoma"/>
      <w:sz w:val="16"/>
      <w:szCs w:val="16"/>
    </w:rPr>
  </w:style>
  <w:style w:type="character" w:customStyle="1" w:styleId="BalloonTextChar">
    <w:name w:val="Balloon Text Char"/>
    <w:link w:val="BalloonText"/>
    <w:rsid w:val="00E40C09"/>
    <w:rPr>
      <w:rFonts w:ascii="Tahoma" w:hAnsi="Tahoma" w:cs="Tahoma"/>
      <w:sz w:val="16"/>
      <w:szCs w:val="16"/>
      <w:lang w:eastAsia="en-US"/>
    </w:rPr>
  </w:style>
  <w:style w:type="paragraph" w:styleId="CommentSubject">
    <w:name w:val="annotation subject"/>
    <w:basedOn w:val="CommentText"/>
    <w:next w:val="CommentText"/>
    <w:link w:val="CommentSubjectChar"/>
    <w:rsid w:val="00566228"/>
    <w:pPr>
      <w:widowControl/>
      <w:spacing w:before="0" w:after="0"/>
    </w:pPr>
    <w:rPr>
      <w:b/>
      <w:bCs/>
      <w:snapToGrid/>
    </w:rPr>
  </w:style>
  <w:style w:type="character" w:customStyle="1" w:styleId="CommentSubjectChar">
    <w:name w:val="Comment Subject Char"/>
    <w:link w:val="CommentSubject"/>
    <w:rsid w:val="00566228"/>
    <w:rPr>
      <w:b/>
      <w:bCs/>
      <w:snapToGrid w:val="0"/>
      <w:lang w:eastAsia="en-US"/>
    </w:rPr>
  </w:style>
  <w:style w:type="paragraph" w:styleId="NoSpacing">
    <w:name w:val="No Spacing"/>
    <w:uiPriority w:val="1"/>
    <w:qFormat/>
    <w:rsid w:val="00FB4A61"/>
    <w:rPr>
      <w:sz w:val="24"/>
      <w:szCs w:val="24"/>
    </w:rPr>
  </w:style>
  <w:style w:type="character" w:styleId="FootnoteReference">
    <w:name w:val="footnote reference"/>
    <w:rsid w:val="00FE42DA"/>
    <w:rPr>
      <w:vertAlign w:val="superscript"/>
    </w:rPr>
  </w:style>
  <w:style w:type="character" w:customStyle="1" w:styleId="Heading2Char">
    <w:name w:val="Heading 2 Char"/>
    <w:link w:val="Heading2"/>
    <w:rsid w:val="00DE3650"/>
    <w:rPr>
      <w:i/>
      <w:iCs/>
      <w:sz w:val="24"/>
      <w:szCs w:val="24"/>
      <w:lang w:eastAsia="fr-BE"/>
    </w:rPr>
  </w:style>
  <w:style w:type="paragraph" w:customStyle="1" w:styleId="Default">
    <w:name w:val="Default"/>
    <w:rsid w:val="00365398"/>
    <w:pPr>
      <w:autoSpaceDE w:val="0"/>
      <w:autoSpaceDN w:val="0"/>
      <w:adjustRightInd w:val="0"/>
    </w:pPr>
    <w:rPr>
      <w:rFonts w:ascii="EUAlbertina" w:hAnsi="EUAlbertina" w:cs="EUAlbertina"/>
      <w:color w:val="000000"/>
      <w:sz w:val="24"/>
      <w:szCs w:val="24"/>
    </w:rPr>
  </w:style>
</w:styles>
</file>

<file path=word/webSettings.xml><?xml version="1.0" encoding="utf-8"?>
<w:webSettings xmlns:r="http://schemas.openxmlformats.org/officeDocument/2006/relationships" xmlns:w="http://schemas.openxmlformats.org/wordprocessingml/2006/main">
  <w:divs>
    <w:div w:id="223493728">
      <w:bodyDiv w:val="1"/>
      <w:marLeft w:val="30"/>
      <w:marRight w:val="30"/>
      <w:marTop w:val="60"/>
      <w:marBottom w:val="60"/>
      <w:divBdr>
        <w:top w:val="none" w:sz="0" w:space="0" w:color="auto"/>
        <w:left w:val="none" w:sz="0" w:space="0" w:color="auto"/>
        <w:bottom w:val="none" w:sz="0" w:space="0" w:color="auto"/>
        <w:right w:val="none" w:sz="0" w:space="0" w:color="auto"/>
      </w:divBdr>
      <w:divsChild>
        <w:div w:id="689141712">
          <w:marLeft w:val="0"/>
          <w:marRight w:val="0"/>
          <w:marTop w:val="240"/>
          <w:marBottom w:val="0"/>
          <w:divBdr>
            <w:top w:val="none" w:sz="0" w:space="0" w:color="auto"/>
            <w:left w:val="none" w:sz="0" w:space="0" w:color="auto"/>
            <w:bottom w:val="none" w:sz="0" w:space="0" w:color="auto"/>
            <w:right w:val="none" w:sz="0" w:space="0" w:color="auto"/>
          </w:divBdr>
        </w:div>
      </w:divsChild>
    </w:div>
    <w:div w:id="1084911405">
      <w:bodyDiv w:val="1"/>
      <w:marLeft w:val="0"/>
      <w:marRight w:val="0"/>
      <w:marTop w:val="0"/>
      <w:marBottom w:val="0"/>
      <w:divBdr>
        <w:top w:val="none" w:sz="0" w:space="0" w:color="auto"/>
        <w:left w:val="none" w:sz="0" w:space="0" w:color="auto"/>
        <w:bottom w:val="none" w:sz="0" w:space="0" w:color="auto"/>
        <w:right w:val="none" w:sz="0" w:space="0" w:color="auto"/>
      </w:divBdr>
    </w:div>
    <w:div w:id="1451434372">
      <w:bodyDiv w:val="1"/>
      <w:marLeft w:val="0"/>
      <w:marRight w:val="0"/>
      <w:marTop w:val="0"/>
      <w:marBottom w:val="0"/>
      <w:divBdr>
        <w:top w:val="none" w:sz="0" w:space="0" w:color="auto"/>
        <w:left w:val="none" w:sz="0" w:space="0" w:color="auto"/>
        <w:bottom w:val="none" w:sz="0" w:space="0" w:color="auto"/>
        <w:right w:val="none" w:sz="0" w:space="0" w:color="auto"/>
      </w:divBdr>
    </w:div>
    <w:div w:id="1623655134">
      <w:bodyDiv w:val="1"/>
      <w:marLeft w:val="0"/>
      <w:marRight w:val="0"/>
      <w:marTop w:val="0"/>
      <w:marBottom w:val="0"/>
      <w:divBdr>
        <w:top w:val="none" w:sz="0" w:space="0" w:color="auto"/>
        <w:left w:val="none" w:sz="0" w:space="0" w:color="auto"/>
        <w:bottom w:val="none" w:sz="0" w:space="0" w:color="auto"/>
        <w:right w:val="none" w:sz="0" w:space="0" w:color="auto"/>
      </w:divBdr>
    </w:div>
    <w:div w:id="201071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ce.satrovska@varam.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am.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8D706-81F0-4A6D-A629-A4D33B7F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4569</Words>
  <Characters>34757</Characters>
  <Application>Microsoft Office Word</Application>
  <DocSecurity>0</DocSecurity>
  <Lines>289</Lines>
  <Paragraphs>78</Paragraphs>
  <ScaleCrop>false</ScaleCrop>
  <HeadingPairs>
    <vt:vector size="2" baseType="variant">
      <vt:variant>
        <vt:lpstr>Title</vt:lpstr>
      </vt:variant>
      <vt:variant>
        <vt:i4>1</vt:i4>
      </vt:variant>
    </vt:vector>
  </HeadingPairs>
  <TitlesOfParts>
    <vt:vector size="1" baseType="lpstr">
      <vt:lpstr>Likumprojekta grozījumi likumā "Par radiācijas drošību un kodoldrošību" anotācija</vt:lpstr>
    </vt:vector>
  </TitlesOfParts>
  <Company>VARAM</Company>
  <LinksUpToDate>false</LinksUpToDate>
  <CharactersWithSpaces>39248</CharactersWithSpaces>
  <SharedDoc>false</SharedDoc>
  <HLinks>
    <vt:vector size="30" baseType="variant">
      <vt:variant>
        <vt:i4>1835040</vt:i4>
      </vt:variant>
      <vt:variant>
        <vt:i4>12</vt:i4>
      </vt:variant>
      <vt:variant>
        <vt:i4>0</vt:i4>
      </vt:variant>
      <vt:variant>
        <vt:i4>5</vt:i4>
      </vt:variant>
      <vt:variant>
        <vt:lpwstr>mailto:dace.satrovska@varam.gov.lv</vt:lpwstr>
      </vt:variant>
      <vt:variant>
        <vt:lpwstr/>
      </vt:variant>
      <vt:variant>
        <vt:i4>1048649</vt:i4>
      </vt:variant>
      <vt:variant>
        <vt:i4>9</vt:i4>
      </vt:variant>
      <vt:variant>
        <vt:i4>0</vt:i4>
      </vt:variant>
      <vt:variant>
        <vt:i4>5</vt:i4>
      </vt:variant>
      <vt:variant>
        <vt:lpwstr>http://www.varam.gov.lv/</vt:lpwstr>
      </vt:variant>
      <vt:variant>
        <vt:lpwstr/>
      </vt:variant>
      <vt:variant>
        <vt:i4>1048649</vt:i4>
      </vt:variant>
      <vt:variant>
        <vt:i4>6</vt:i4>
      </vt:variant>
      <vt:variant>
        <vt:i4>0</vt:i4>
      </vt:variant>
      <vt:variant>
        <vt:i4>5</vt:i4>
      </vt:variant>
      <vt:variant>
        <vt:lpwstr>http://www.varam.gov.lv/</vt:lpwstr>
      </vt:variant>
      <vt:variant>
        <vt:lpwstr/>
      </vt:variant>
      <vt:variant>
        <vt:i4>1048649</vt:i4>
      </vt:variant>
      <vt:variant>
        <vt:i4>3</vt:i4>
      </vt:variant>
      <vt:variant>
        <vt:i4>0</vt:i4>
      </vt:variant>
      <vt:variant>
        <vt:i4>5</vt:i4>
      </vt:variant>
      <vt:variant>
        <vt:lpwstr>http://www.varam.gov.lv/</vt:lpwstr>
      </vt:variant>
      <vt:variant>
        <vt:lpwstr/>
      </vt:variant>
      <vt:variant>
        <vt:i4>1048649</vt:i4>
      </vt:variant>
      <vt:variant>
        <vt:i4>0</vt:i4>
      </vt:variant>
      <vt:variant>
        <vt:i4>0</vt:i4>
      </vt:variant>
      <vt:variant>
        <vt:i4>5</vt:i4>
      </vt:variant>
      <vt:variant>
        <vt:lpwstr>http://www.varam.gov.lv/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radiācijas drošību un kodoldrošību" anotācija</dc:title>
  <dc:subject>anotācija</dc:subject>
  <dc:creator>Dace Šatrovska</dc:creator>
  <cp:keywords/>
  <dc:description>dace.satrovska@varam.gov.lv; 67026521</dc:description>
  <cp:lastModifiedBy>larisat</cp:lastModifiedBy>
  <cp:revision>2</cp:revision>
  <cp:lastPrinted>2013-10-01T13:44:00Z</cp:lastPrinted>
  <dcterms:created xsi:type="dcterms:W3CDTF">2013-11-08T09:48:00Z</dcterms:created>
  <dcterms:modified xsi:type="dcterms:W3CDTF">2013-11-08T09:48:00Z</dcterms:modified>
</cp:coreProperties>
</file>