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5B5" w:rsidRPr="00A70BBB" w:rsidRDefault="00A70BBB" w:rsidP="001B544C">
      <w:pPr>
        <w:jc w:val="center"/>
        <w:rPr>
          <w:b/>
        </w:rPr>
      </w:pPr>
      <w:r w:rsidRPr="00A70BBB">
        <w:rPr>
          <w:b/>
        </w:rPr>
        <w:t>Mini</w:t>
      </w:r>
      <w:r>
        <w:rPr>
          <w:b/>
        </w:rPr>
        <w:t>stru kabineta noteikumu projekta</w:t>
      </w:r>
      <w:r w:rsidR="000D044D">
        <w:rPr>
          <w:b/>
        </w:rPr>
        <w:t xml:space="preserve"> „</w:t>
      </w:r>
      <w:r w:rsidR="002016A5" w:rsidRPr="002016A5">
        <w:rPr>
          <w:b/>
        </w:rPr>
        <w:t>Grozījumi</w:t>
      </w:r>
      <w:r w:rsidR="001B544C" w:rsidRPr="006522F9">
        <w:rPr>
          <w:b/>
        </w:rPr>
        <w:t xml:space="preserve"> Ministru kabineta </w:t>
      </w:r>
      <w:smartTag w:uri="schemas-tilde-lv/tildestengine" w:element="date">
        <w:smartTagPr>
          <w:attr w:name="Day" w:val="11"/>
          <w:attr w:name="Month" w:val="8"/>
          <w:attr w:name="Year" w:val="2009"/>
        </w:smartTagPr>
        <w:r w:rsidR="001B544C" w:rsidRPr="006522F9">
          <w:rPr>
            <w:b/>
          </w:rPr>
          <w:t xml:space="preserve">2009.gada </w:t>
        </w:r>
        <w:r w:rsidR="001B544C">
          <w:rPr>
            <w:b/>
          </w:rPr>
          <w:t>11.augusta</w:t>
        </w:r>
      </w:smartTag>
      <w:r w:rsidR="001B544C" w:rsidRPr="006522F9">
        <w:rPr>
          <w:b/>
        </w:rPr>
        <w:t xml:space="preserve"> noteikumos Nr.89</w:t>
      </w:r>
      <w:r w:rsidR="001B544C">
        <w:rPr>
          <w:b/>
        </w:rPr>
        <w:t>0</w:t>
      </w:r>
      <w:r w:rsidR="001B544C" w:rsidRPr="006522F9">
        <w:rPr>
          <w:b/>
        </w:rPr>
        <w:t xml:space="preserve"> „Kārtība, kādā </w:t>
      </w:r>
      <w:r w:rsidR="001B544C">
        <w:rPr>
          <w:b/>
        </w:rPr>
        <w:t>piešķir valsts budžeta līdzekļus Eiropas Savienības struktūrfondu 3.mērķa</w:t>
      </w:r>
      <w:r w:rsidR="001B544C" w:rsidRPr="006522F9">
        <w:rPr>
          <w:b/>
        </w:rPr>
        <w:t xml:space="preserve"> „Eiropas teritoriālā sadarbība” programmu </w:t>
      </w:r>
      <w:r w:rsidR="001B544C">
        <w:rPr>
          <w:b/>
        </w:rPr>
        <w:t>un Eiropas Kaimiņattiecību un partnerības instrumenta programmu finansējuma saņēmējiem no Latvijas Republikas</w:t>
      </w:r>
      <w:r w:rsidR="001B544C" w:rsidRPr="006522F9">
        <w:rPr>
          <w:b/>
        </w:rPr>
        <w:t>”</w:t>
      </w:r>
      <w:r w:rsidRPr="00A70BBB">
        <w:rPr>
          <w:b/>
        </w:rPr>
        <w:t xml:space="preserve">” </w:t>
      </w:r>
      <w:r w:rsidR="000115B5" w:rsidRPr="00A70BBB">
        <w:rPr>
          <w:b/>
        </w:rPr>
        <w:t xml:space="preserve">sākotnējās ietekmes novērtējuma </w:t>
      </w:r>
      <w:smartTag w:uri="schemas-tilde-lv/tildestengine" w:element="veidnes">
        <w:smartTagPr>
          <w:attr w:name="baseform" w:val="ziņojum|s"/>
          <w:attr w:name="id" w:val="-1"/>
          <w:attr w:name="text" w:val="ziņojums"/>
        </w:smartTagPr>
        <w:r w:rsidR="000115B5" w:rsidRPr="00A70BBB">
          <w:rPr>
            <w:b/>
          </w:rPr>
          <w:t>ziņojums</w:t>
        </w:r>
      </w:smartTag>
      <w:r w:rsidR="000115B5" w:rsidRPr="00A70BBB">
        <w:rPr>
          <w:b/>
        </w:rPr>
        <w:t xml:space="preserve"> (anotācija)</w:t>
      </w:r>
    </w:p>
    <w:p w:rsidR="000115B5" w:rsidRPr="000115B5" w:rsidRDefault="000115B5" w:rsidP="00B22BC5">
      <w:pPr>
        <w:jc w:val="center"/>
        <w:rPr>
          <w:lang w:eastAsia="en-US"/>
        </w:rPr>
      </w:pPr>
      <w:r w:rsidRPr="000115B5">
        <w:rPr>
          <w:lang w:eastAsia="en-US"/>
        </w:rPr>
        <w:t> </w:t>
      </w:r>
    </w:p>
    <w:tbl>
      <w:tblPr>
        <w:tblW w:w="9356" w:type="dxa"/>
        <w:tblCellSpacing w:w="0" w:type="dxa"/>
        <w:tblInd w:w="-212"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tblPr>
      <w:tblGrid>
        <w:gridCol w:w="567"/>
        <w:gridCol w:w="2694"/>
        <w:gridCol w:w="6095"/>
      </w:tblGrid>
      <w:tr w:rsidR="000115B5" w:rsidRPr="000115B5" w:rsidTr="0079311E">
        <w:trPr>
          <w:tblCellSpacing w:w="0" w:type="dxa"/>
        </w:trPr>
        <w:tc>
          <w:tcPr>
            <w:tcW w:w="9356" w:type="dxa"/>
            <w:gridSpan w:val="3"/>
            <w:tcBorders>
              <w:top w:val="outset" w:sz="6" w:space="0" w:color="auto"/>
              <w:left w:val="outset" w:sz="6" w:space="0" w:color="auto"/>
              <w:bottom w:val="outset" w:sz="6" w:space="0" w:color="auto"/>
              <w:right w:val="outset" w:sz="6" w:space="0" w:color="auto"/>
            </w:tcBorders>
            <w:vAlign w:val="center"/>
          </w:tcPr>
          <w:p w:rsidR="000115B5" w:rsidRPr="000115B5" w:rsidRDefault="000115B5" w:rsidP="00B22BC5">
            <w:pPr>
              <w:jc w:val="center"/>
              <w:rPr>
                <w:lang w:eastAsia="en-US"/>
              </w:rPr>
            </w:pPr>
            <w:r w:rsidRPr="000115B5">
              <w:rPr>
                <w:b/>
                <w:bCs/>
                <w:lang w:eastAsia="en-US"/>
              </w:rPr>
              <w:t xml:space="preserve"> I. Tiesību </w:t>
            </w:r>
            <w:smartTag w:uri="schemas-tilde-lv/tildestengine" w:element="veidnes">
              <w:smartTagPr>
                <w:attr w:name="text" w:val="akta"/>
                <w:attr w:name="id" w:val="-1"/>
                <w:attr w:name="baseform" w:val="akt|s"/>
              </w:smartTagPr>
              <w:r w:rsidRPr="000115B5">
                <w:rPr>
                  <w:b/>
                  <w:bCs/>
                  <w:lang w:eastAsia="en-US"/>
                </w:rPr>
                <w:t>akta</w:t>
              </w:r>
            </w:smartTag>
            <w:r w:rsidRPr="000115B5">
              <w:rPr>
                <w:b/>
                <w:bCs/>
                <w:lang w:eastAsia="en-US"/>
              </w:rPr>
              <w:t xml:space="preserve"> projekta izstrādes nepieciešamība</w:t>
            </w:r>
          </w:p>
        </w:tc>
      </w:tr>
      <w:tr w:rsidR="00CE2EF5" w:rsidRPr="00292FAE" w:rsidTr="0079311E">
        <w:trPr>
          <w:trHeight w:val="630"/>
          <w:tblCellSpacing w:w="0" w:type="dxa"/>
        </w:trPr>
        <w:tc>
          <w:tcPr>
            <w:tcW w:w="567" w:type="dxa"/>
            <w:tcBorders>
              <w:top w:val="outset" w:sz="6" w:space="0" w:color="auto"/>
              <w:left w:val="outset" w:sz="6" w:space="0" w:color="auto"/>
              <w:bottom w:val="outset" w:sz="6" w:space="0" w:color="auto"/>
              <w:right w:val="outset" w:sz="6" w:space="0" w:color="auto"/>
            </w:tcBorders>
          </w:tcPr>
          <w:p w:rsidR="00CE2EF5" w:rsidRPr="00292FAE" w:rsidRDefault="00CE2EF5" w:rsidP="00B22BC5">
            <w:pPr>
              <w:rPr>
                <w:lang w:eastAsia="en-US"/>
              </w:rPr>
            </w:pPr>
            <w:r w:rsidRPr="000115B5">
              <w:rPr>
                <w:lang w:eastAsia="en-US"/>
              </w:rPr>
              <w:t> </w:t>
            </w:r>
            <w:r w:rsidRPr="00292FAE">
              <w:rPr>
                <w:lang w:eastAsia="en-US"/>
              </w:rPr>
              <w:t>1.</w:t>
            </w:r>
          </w:p>
        </w:tc>
        <w:tc>
          <w:tcPr>
            <w:tcW w:w="2694" w:type="dxa"/>
            <w:tcBorders>
              <w:top w:val="outset" w:sz="6" w:space="0" w:color="auto"/>
              <w:left w:val="outset" w:sz="6" w:space="0" w:color="auto"/>
              <w:bottom w:val="outset" w:sz="6" w:space="0" w:color="auto"/>
              <w:right w:val="outset" w:sz="6" w:space="0" w:color="auto"/>
            </w:tcBorders>
          </w:tcPr>
          <w:p w:rsidR="00CE2EF5" w:rsidRPr="00292FAE" w:rsidRDefault="00CE2EF5" w:rsidP="00B22BC5">
            <w:pPr>
              <w:rPr>
                <w:lang w:eastAsia="en-US"/>
              </w:rPr>
            </w:pPr>
            <w:r w:rsidRPr="00292FAE">
              <w:rPr>
                <w:lang w:eastAsia="en-US"/>
              </w:rPr>
              <w:t>Pamatojums</w:t>
            </w:r>
          </w:p>
        </w:tc>
        <w:tc>
          <w:tcPr>
            <w:tcW w:w="6095" w:type="dxa"/>
            <w:tcBorders>
              <w:top w:val="outset" w:sz="6" w:space="0" w:color="auto"/>
              <w:left w:val="outset" w:sz="6" w:space="0" w:color="auto"/>
              <w:bottom w:val="outset" w:sz="6" w:space="0" w:color="auto"/>
              <w:right w:val="outset" w:sz="6" w:space="0" w:color="auto"/>
            </w:tcBorders>
          </w:tcPr>
          <w:p w:rsidR="00CE2EF5" w:rsidRDefault="00AB3CF7" w:rsidP="00240AF8">
            <w:pPr>
              <w:ind w:left="70"/>
              <w:jc w:val="both"/>
            </w:pPr>
            <w:smartTag w:uri="schemas-tilde-lv/tildestengine" w:element="veidnes">
              <w:smartTagPr>
                <w:attr w:name="text" w:val="Deklarācijas"/>
                <w:attr w:name="id" w:val="-1"/>
                <w:attr w:name="baseform" w:val="deklarācij|a"/>
              </w:smartTagPr>
              <w:r w:rsidRPr="00AB3CF7">
                <w:t>Deklarācijas</w:t>
              </w:r>
            </w:smartTag>
            <w:r w:rsidRPr="00AB3CF7">
              <w:t xml:space="preserve"> par Valda </w:t>
            </w:r>
            <w:proofErr w:type="spellStart"/>
            <w:r w:rsidRPr="00AB3CF7">
              <w:t>Dombrovska</w:t>
            </w:r>
            <w:proofErr w:type="spellEnd"/>
            <w:r w:rsidRPr="00AB3CF7">
              <w:t xml:space="preserve"> vadītā Ministru kabineta iecerēto darbību „Inovatīva un efektīva ekonomika” 57.6.apakšpunkts paredz īstenot vismaz 240 pārrobežu sadarbības projektus, piesaistot Eiropas Savienības fondu līdzekļus.</w:t>
            </w:r>
          </w:p>
          <w:p w:rsidR="003E4141" w:rsidRPr="00292FAE" w:rsidRDefault="003E4141" w:rsidP="001A1849">
            <w:pPr>
              <w:ind w:left="70"/>
              <w:jc w:val="both"/>
            </w:pPr>
            <w:r>
              <w:t xml:space="preserve">Konsekventi Ministru kabineta </w:t>
            </w:r>
            <w:r w:rsidRPr="008947EA">
              <w:t>2009.gada 10.novembra</w:t>
            </w:r>
            <w:r>
              <w:t xml:space="preserve"> noteikumos Nr.1306 </w:t>
            </w:r>
            <w:r w:rsidRPr="006D7682">
              <w:t xml:space="preserve">„Kārtība, kādā valsts budžetā </w:t>
            </w:r>
            <w:smartTag w:uri="schemas-tilde-lv/tildestengine" w:element="veidnes">
              <w:smartTagPr>
                <w:attr w:name="text" w:val="plāno"/>
                <w:attr w:name="id" w:val="-1"/>
                <w:attr w:name="baseform" w:val="plān|s"/>
              </w:smartTagPr>
              <w:r w:rsidRPr="006D7682">
                <w:t>plāno</w:t>
              </w:r>
            </w:smartTag>
            <w:r w:rsidRPr="006D7682">
              <w:t xml:space="preserve"> līdzekļus Eiropas Savienības struktūrfondu 3.mērķa „Eiropas teritoriālā sadarbība” programmu un Eiropas Kaimiņattiecību un partnerības instrumenta programmu īstenošanai un veic maksājumus””</w:t>
            </w:r>
            <w:r>
              <w:t xml:space="preserve"> veiktajiem grozījumiem (pamatojoties uz </w:t>
            </w:r>
            <w:r w:rsidRPr="008947EA">
              <w:t>2012.gada 8.februārī Vides aizsardzības un reģionālās attīstības ministrijā saņemto Izglītības un zinātnes ministrijas vēstuli Nr.01-10/482</w:t>
            </w:r>
            <w:r>
              <w:t>), ar kuriem tiek precizēts valsts budžeta līdzekļu saņēmēju loks  Eiropas Savienības struktūrfondu 3.mērķa  „Eiropas teritoriālā sadarbība” programmu un Eiropas Kaimiņattiecību un partnerības instrumenta programmu proj</w:t>
            </w:r>
            <w:r w:rsidR="001A1849">
              <w:t>ektiem, veicami grozījumi arī Ministru kabineta</w:t>
            </w:r>
            <w:r>
              <w:t xml:space="preserve"> </w:t>
            </w:r>
            <w:r w:rsidR="001A1849">
              <w:t>2009.gada 11.augusta noteikumos Nr.890 (turpmāk–MK noteikumi).</w:t>
            </w:r>
          </w:p>
        </w:tc>
      </w:tr>
      <w:tr w:rsidR="00CE2EF5" w:rsidRPr="00292FAE" w:rsidTr="0079311E">
        <w:trPr>
          <w:trHeight w:val="472"/>
          <w:tblCellSpacing w:w="0" w:type="dxa"/>
        </w:trPr>
        <w:tc>
          <w:tcPr>
            <w:tcW w:w="567" w:type="dxa"/>
            <w:tcBorders>
              <w:top w:val="outset" w:sz="6" w:space="0" w:color="auto"/>
              <w:left w:val="outset" w:sz="6" w:space="0" w:color="auto"/>
              <w:bottom w:val="outset" w:sz="6" w:space="0" w:color="auto"/>
              <w:right w:val="outset" w:sz="6" w:space="0" w:color="auto"/>
            </w:tcBorders>
          </w:tcPr>
          <w:p w:rsidR="00CE2EF5" w:rsidRPr="00292FAE" w:rsidRDefault="00CE2EF5" w:rsidP="00B22BC5">
            <w:pPr>
              <w:rPr>
                <w:lang w:eastAsia="en-US"/>
              </w:rPr>
            </w:pPr>
            <w:r w:rsidRPr="00292FAE">
              <w:rPr>
                <w:lang w:eastAsia="en-US"/>
              </w:rPr>
              <w:t> 2.</w:t>
            </w:r>
          </w:p>
        </w:tc>
        <w:tc>
          <w:tcPr>
            <w:tcW w:w="2694" w:type="dxa"/>
            <w:tcBorders>
              <w:top w:val="outset" w:sz="6" w:space="0" w:color="auto"/>
              <w:left w:val="outset" w:sz="6" w:space="0" w:color="auto"/>
              <w:bottom w:val="outset" w:sz="6" w:space="0" w:color="auto"/>
              <w:right w:val="outset" w:sz="6" w:space="0" w:color="auto"/>
            </w:tcBorders>
          </w:tcPr>
          <w:p w:rsidR="00CE2EF5" w:rsidRPr="00292FAE" w:rsidRDefault="00CE2EF5" w:rsidP="00B22BC5">
            <w:pPr>
              <w:rPr>
                <w:lang w:eastAsia="en-US"/>
              </w:rPr>
            </w:pPr>
            <w:r w:rsidRPr="00292FAE">
              <w:rPr>
                <w:lang w:eastAsia="en-US"/>
              </w:rPr>
              <w:t> Pašreizējā situācija un problēmas</w:t>
            </w:r>
          </w:p>
        </w:tc>
        <w:tc>
          <w:tcPr>
            <w:tcW w:w="6095" w:type="dxa"/>
            <w:tcBorders>
              <w:top w:val="outset" w:sz="6" w:space="0" w:color="auto"/>
              <w:left w:val="outset" w:sz="6" w:space="0" w:color="auto"/>
              <w:bottom w:val="outset" w:sz="6" w:space="0" w:color="auto"/>
              <w:right w:val="outset" w:sz="6" w:space="0" w:color="auto"/>
            </w:tcBorders>
          </w:tcPr>
          <w:p w:rsidR="007566D2" w:rsidRDefault="007566D2" w:rsidP="0004586A">
            <w:pPr>
              <w:pStyle w:val="naisf"/>
              <w:numPr>
                <w:ilvl w:val="0"/>
                <w:numId w:val="4"/>
              </w:numPr>
              <w:tabs>
                <w:tab w:val="left" w:pos="353"/>
              </w:tabs>
              <w:spacing w:before="120" w:after="120"/>
              <w:ind w:left="0" w:firstLine="0"/>
            </w:pPr>
            <w:r>
              <w:t xml:space="preserve">2012.gada 8.februārī Vides aizsardzības un reģionālās attīstības ministrija saņēma Izglītības un zinātnes ministrijas vēstuli Nr.01-10/482 ar ierosinājumu novērst radušos neprecizitāti MK noteikumos, atjaunojot iespēju uz valsts budžeta līdzekļu finansējumu līdz simts procentiem pieteikties arī no valsts budžeta daļēji finansētu atvasināto publisko personu </w:t>
            </w:r>
            <w:r w:rsidR="00EA6C35">
              <w:t>izveidotām</w:t>
            </w:r>
            <w:r>
              <w:t xml:space="preserve"> iestādēm, kuru Eiropas teritoriālās sadarbības projekti tika apstiprināti Uzraudzības komitejās 2011.gadā.</w:t>
            </w:r>
          </w:p>
          <w:p w:rsidR="007566D2" w:rsidRDefault="007566D2" w:rsidP="007566D2">
            <w:pPr>
              <w:pStyle w:val="naisf"/>
              <w:spacing w:before="120" w:after="120"/>
              <w:ind w:firstLine="0"/>
            </w:pPr>
            <w:r>
              <w:t xml:space="preserve">Pamatojoties uz Izglītības un zinātnes ministrijas ierosinājumu, kā arī, lai nodrošinātu </w:t>
            </w:r>
            <w:r w:rsidRPr="00CB4714">
              <w:t>s</w:t>
            </w:r>
            <w:r>
              <w:t xml:space="preserve">adarbības projektu īstenošanas uzsākšanu un  novērstu risku, ka apstiprināto projektu īstenošana tiek apturēta vai kavēta, nepieciešams precizēt </w:t>
            </w:r>
            <w:r w:rsidR="001A1849">
              <w:t>MK noteikumu</w:t>
            </w:r>
            <w:r>
              <w:t xml:space="preserve">  </w:t>
            </w:r>
            <w:r w:rsidR="00254299">
              <w:t>2.</w:t>
            </w:r>
            <w:r w:rsidR="00254299" w:rsidRPr="00CB4714">
              <w:t>2.</w:t>
            </w:r>
            <w:r w:rsidR="00254299">
              <w:t xml:space="preserve"> un 2.5.apakšpunktos </w:t>
            </w:r>
            <w:r>
              <w:t xml:space="preserve">minēto </w:t>
            </w:r>
            <w:r w:rsidR="00254299">
              <w:t xml:space="preserve"> valsts budžeta līdzekļu </w:t>
            </w:r>
            <w:r>
              <w:t>finansējuma saņēmēju loku</w:t>
            </w:r>
            <w:r w:rsidR="00254299">
              <w:t xml:space="preserve"> atbilstoši to institucionālajai piederībai, nosakot, </w:t>
            </w:r>
            <w:r w:rsidRPr="00CB4714">
              <w:t xml:space="preserve">ka valsts budžeta līdzekļu finansējumam līdz </w:t>
            </w:r>
            <w:r w:rsidRPr="0004586A">
              <w:t xml:space="preserve">simts procentiem var pieteikties no valsts budžeta daļēji finansētu atvasināto publisko personu </w:t>
            </w:r>
            <w:r w:rsidR="00EA6C35" w:rsidRPr="0004586A">
              <w:t>izveidotas</w:t>
            </w:r>
            <w:r w:rsidRPr="0004586A">
              <w:t xml:space="preserve"> iestādes, kā arī </w:t>
            </w:r>
            <w:r w:rsidR="00EA6C35" w:rsidRPr="0004586A">
              <w:t>valsts budžeta iestādes.</w:t>
            </w:r>
          </w:p>
          <w:p w:rsidR="009758B9" w:rsidRDefault="009758B9" w:rsidP="009758B9">
            <w:pPr>
              <w:pStyle w:val="naisf"/>
              <w:numPr>
                <w:ilvl w:val="0"/>
                <w:numId w:val="4"/>
              </w:numPr>
              <w:tabs>
                <w:tab w:val="left" w:pos="353"/>
              </w:tabs>
              <w:spacing w:before="120" w:after="120"/>
              <w:ind w:left="0" w:firstLine="0"/>
            </w:pPr>
            <w:r>
              <w:lastRenderedPageBreak/>
              <w:t>Papildus, ņemot vērā Eiropas Savienības struktūrfondu 3.mērķa „Eiropas teritoriālā sadarbība” specifiku, veidojot partnerību vismaz starp divām Eiropas Savienības dalībvalstīm/partnervalstīm būtiski ir neizslēgt stratēģisko pieeju projektu īstenošanai pierobežas teritoriju sakārtošanā, jo īpaši attiecībā uz robežšķērsošanas vietu attīstību pie Eiropas Savienības ārējām robežām, kuru tehniskais stāvoklis atbilstoši Ministru kabinetā 2012.gada 13.marta sēdē (prot. Nr.14 25.</w:t>
            </w:r>
            <w:r w:rsidRPr="00C27E50">
              <w:t>§</w:t>
            </w:r>
            <w:r>
              <w:rPr>
                <w:sz w:val="28"/>
              </w:rPr>
              <w:t>)</w:t>
            </w:r>
            <w:r>
              <w:t xml:space="preserve"> izskatītajam informatīvajam ziņojumam „Par robežšķērsošanas vietu attīstību uz Latvijas Republikas un Krievijas Federācijas valsts robežas” ir vērtējams kā kritisks</w:t>
            </w:r>
            <w:r w:rsidR="00C62E3C">
              <w:t>. Robežšķērsošanas vietu kritiskais stāvoklis</w:t>
            </w:r>
            <w:r w:rsidR="008E1BB1">
              <w:t xml:space="preserve"> ievērojami palēnina</w:t>
            </w:r>
            <w:r>
              <w:t xml:space="preserve"> Latvijas Republikas un Krievijas Republikas pierobežas teritoriju sociāli ekonomisko attīstību, kavējot eksporta preču plūsmu palielinājumu uz Eiropas Savienības partnervalstīm. Pierobežas teritoriju un robežšķērsošanas punktu sakārtošana ir veicama savstarpēji koordinēti un vienlaicīgi, tādā veidā novēršot un mazinot pusēm iespējamu neefektīvu kapitālieguldījumu veikšanas risku.</w:t>
            </w:r>
          </w:p>
          <w:p w:rsidR="009758B9" w:rsidRDefault="009758B9" w:rsidP="009758B9">
            <w:pPr>
              <w:pStyle w:val="naisf"/>
              <w:tabs>
                <w:tab w:val="left" w:pos="353"/>
              </w:tabs>
              <w:spacing w:before="120" w:after="120"/>
              <w:ind w:firstLine="0"/>
            </w:pPr>
            <w:r>
              <w:t>Informējam, ka Eiropas Kaimiņattiecību un partnerības instrumenta programmās (noteikumu 4.1. un 4.2.apakšpunktā minētās) atbalstīti tiek liela mēroga stratēģiskie projekti, kuros kopējais projektam apstiprinātais finansējuma apmērs ir ievērojami lielāks nekā šo noteikumu 3.punktā minētajām programmām. Līdz ar to, lai nodrošinātu stratēģisko projektu, kas saistīti ar robežšķērsošanas vietu attīstību, efektīvāku īstenošanu,</w:t>
            </w:r>
            <w:r w:rsidRPr="00C22A6D">
              <w:t xml:space="preserve"> </w:t>
            </w:r>
            <w:r>
              <w:t xml:space="preserve">nepieciešams paredzēt lielāku valsts budžeta līdzekļu finansējumu t.i., desmit procentu apmērā. Papildus norādām, ka tieši 2.4.apakšpunktā minēto finansējuma saņēmēju kompetencē ir nodrošināt robežšķērsošanas punktu apsaimniekošanu un būvniecību. </w:t>
            </w:r>
          </w:p>
          <w:p w:rsidR="000B2695" w:rsidRDefault="000B2695" w:rsidP="001A1849">
            <w:pPr>
              <w:pStyle w:val="ListParagraph"/>
              <w:widowControl w:val="0"/>
              <w:numPr>
                <w:ilvl w:val="0"/>
                <w:numId w:val="4"/>
              </w:numPr>
              <w:tabs>
                <w:tab w:val="left" w:pos="353"/>
              </w:tabs>
              <w:overflowPunct w:val="0"/>
              <w:autoSpaceDE w:val="0"/>
              <w:autoSpaceDN w:val="0"/>
              <w:adjustRightInd w:val="0"/>
              <w:spacing w:line="245" w:lineRule="auto"/>
              <w:ind w:left="0"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Lai finansējuma saņēmējiem skaidrotu un mazinātu pārpratumus par to, kurš un cik lielam valsts budžeta līdzekļu finansējuma apmēram procentuāli var pieteikties precizēts noteikumu 5.punkts</w:t>
            </w:r>
            <w:r w:rsidR="004D4B6F">
              <w:rPr>
                <w:rFonts w:ascii="Times New Roman" w:eastAsia="Times New Roman" w:hAnsi="Times New Roman"/>
                <w:sz w:val="24"/>
                <w:szCs w:val="24"/>
                <w:lang w:eastAsia="lv-LV"/>
              </w:rPr>
              <w:t xml:space="preserve">, nemainot </w:t>
            </w:r>
            <w:r w:rsidR="004D4B6F" w:rsidRPr="0041541C">
              <w:rPr>
                <w:rFonts w:ascii="Times New Roman" w:eastAsia="Times New Roman" w:hAnsi="Times New Roman"/>
                <w:sz w:val="24"/>
                <w:szCs w:val="24"/>
                <w:lang w:eastAsia="lv-LV"/>
              </w:rPr>
              <w:t>valsts budžeta līdzekļu procentuālo sadalījumu</w:t>
            </w:r>
            <w:r w:rsidR="0089117A">
              <w:rPr>
                <w:rFonts w:ascii="Times New Roman" w:eastAsia="Times New Roman" w:hAnsi="Times New Roman"/>
                <w:sz w:val="24"/>
                <w:szCs w:val="24"/>
                <w:lang w:eastAsia="lv-LV"/>
              </w:rPr>
              <w:t>, kas jau ir noteikts noteikumu 7.2.1. un 10.2.1.apakšpunktā</w:t>
            </w:r>
            <w:r w:rsidR="004D4B6F" w:rsidRPr="0041541C">
              <w:rPr>
                <w:rFonts w:ascii="Times New Roman" w:eastAsia="Times New Roman" w:hAnsi="Times New Roman"/>
                <w:sz w:val="24"/>
                <w:szCs w:val="24"/>
                <w:lang w:eastAsia="lv-LV"/>
              </w:rPr>
              <w:t>.</w:t>
            </w:r>
            <w:r w:rsidR="004D4B6F">
              <w:rPr>
                <w:rFonts w:ascii="Times New Roman" w:eastAsia="Times New Roman" w:hAnsi="Times New Roman"/>
                <w:sz w:val="24"/>
                <w:szCs w:val="24"/>
                <w:lang w:eastAsia="lv-LV"/>
              </w:rPr>
              <w:t xml:space="preserve"> Norādām, ka uz finansējumu līdz simts procentiem var pieteikties tikai valsts budžeta iestādes vai no valsts budžeta daļēji finansētas atvasinātas publiskās personas un to izveidotas iestādes. Savukārt uz valsts budžeta līdzekļiem piecu procentu apmērā 2.1., 2.3., un 2.4.apakšpunktā minētie finansējuma saņēmēji. </w:t>
            </w:r>
          </w:p>
          <w:p w:rsidR="00C62E3C" w:rsidRDefault="00C62E3C" w:rsidP="00C62E3C">
            <w:pPr>
              <w:jc w:val="both"/>
            </w:pPr>
            <w:r>
              <w:t>V</w:t>
            </w:r>
            <w:r w:rsidRPr="000C5F32">
              <w:t xml:space="preserve">alsts budžeta finansējuma proporcijas attiecīgi pa programmām ir noteiktas, balstoties uz </w:t>
            </w:r>
            <w:r>
              <w:t xml:space="preserve">iepriekšējo pieredzi, kā arī ņemot vērā to, ka Eiropas Savienības struktūrfondu 2007.-2013. gada plānošanas periodā ERAF līdzfinansējuma </w:t>
            </w:r>
            <w:r>
              <w:lastRenderedPageBreak/>
              <w:t>likme projektiem ir lielāka nekā iepriekšējā periodā, tas ir 85 procenti. Nacionālais līdzfinansējums ir samazinājies un sastāda 15 procentus no projekta attiecināmajām izmaksām. Programmās, kas īstenojamas ar EKPI atbalstu, līdzfinansējuma likme projektiem ir 90 procenti. Nacionālais līdzfinansējums sastāda 10 procentus.</w:t>
            </w:r>
          </w:p>
          <w:p w:rsidR="00C62E3C" w:rsidRDefault="00C62E3C" w:rsidP="00C62E3C">
            <w:pPr>
              <w:jc w:val="both"/>
            </w:pPr>
            <w:r w:rsidRPr="000C5F32">
              <w:t>Nacionāl</w:t>
            </w:r>
            <w:r>
              <w:t>o</w:t>
            </w:r>
            <w:r w:rsidRPr="000C5F32">
              <w:t xml:space="preserve"> līdzfinansējum</w:t>
            </w:r>
            <w:r>
              <w:t>u veido</w:t>
            </w:r>
            <w:r w:rsidRPr="000C5F32">
              <w:t xml:space="preserve"> valsts budžeta līdzekļi un projekta pieteicēju līdzekļi.</w:t>
            </w:r>
            <w:r>
              <w:t xml:space="preserve"> Ņemot vērā, ka 2007.-2013.gada plānošanas periodā nacionālā līdzfinansējuma likme ir samazinājusies, valsts budžets sedz piecus procentus no nacionālā līdzfinansējuma daļas, atlikušo summu sedz</w:t>
            </w:r>
            <w:r w:rsidRPr="000C5F32">
              <w:t xml:space="preserve"> </w:t>
            </w:r>
            <w:r>
              <w:t xml:space="preserve">Latvijas partneri </w:t>
            </w:r>
            <w:r w:rsidRPr="000C5F32">
              <w:t xml:space="preserve">no saviem līdzekļiem. </w:t>
            </w:r>
          </w:p>
          <w:p w:rsidR="000B2695" w:rsidRPr="000B2695" w:rsidRDefault="000B2695" w:rsidP="000B2695">
            <w:pPr>
              <w:pStyle w:val="ListParagraph"/>
              <w:widowControl w:val="0"/>
              <w:tabs>
                <w:tab w:val="left" w:pos="353"/>
              </w:tabs>
              <w:overflowPunct w:val="0"/>
              <w:autoSpaceDE w:val="0"/>
              <w:autoSpaceDN w:val="0"/>
              <w:adjustRightInd w:val="0"/>
              <w:spacing w:line="245" w:lineRule="auto"/>
              <w:ind w:left="0"/>
              <w:jc w:val="both"/>
              <w:rPr>
                <w:rFonts w:ascii="Times New Roman" w:eastAsia="Times New Roman" w:hAnsi="Times New Roman"/>
                <w:sz w:val="24"/>
                <w:szCs w:val="24"/>
                <w:lang w:eastAsia="lv-LV"/>
              </w:rPr>
            </w:pPr>
          </w:p>
          <w:p w:rsidR="00911CB8" w:rsidRPr="0089117A" w:rsidRDefault="001A1849" w:rsidP="0089117A">
            <w:pPr>
              <w:pStyle w:val="ListParagraph"/>
              <w:widowControl w:val="0"/>
              <w:numPr>
                <w:ilvl w:val="0"/>
                <w:numId w:val="4"/>
              </w:numPr>
              <w:tabs>
                <w:tab w:val="left" w:pos="353"/>
              </w:tabs>
              <w:overflowPunct w:val="0"/>
              <w:autoSpaceDE w:val="0"/>
              <w:autoSpaceDN w:val="0"/>
              <w:adjustRightInd w:val="0"/>
              <w:spacing w:after="0" w:line="240" w:lineRule="auto"/>
              <w:ind w:left="0" w:firstLine="0"/>
              <w:jc w:val="both"/>
              <w:rPr>
                <w:rFonts w:ascii="Times New Roman" w:eastAsia="Times New Roman" w:hAnsi="Times New Roman"/>
                <w:sz w:val="24"/>
                <w:szCs w:val="24"/>
                <w:lang w:eastAsia="lv-LV"/>
              </w:rPr>
            </w:pPr>
            <w:r>
              <w:rPr>
                <w:rFonts w:ascii="Times New Roman" w:hAnsi="Times New Roman"/>
                <w:sz w:val="24"/>
                <w:szCs w:val="24"/>
              </w:rPr>
              <w:t xml:space="preserve">Lai novērstu neprecizitāti spēkā esošo MK noteikumu 8.punktā, nepieciešams svītrot atsauci uz 3.6.apakšpunktā minēto programmu, ņemot vērā, ka programmas finansēšanas avotu proporcijas </w:t>
            </w:r>
            <w:r w:rsidR="00822E73">
              <w:rPr>
                <w:rFonts w:ascii="Times New Roman" w:hAnsi="Times New Roman"/>
                <w:sz w:val="24"/>
                <w:szCs w:val="24"/>
              </w:rPr>
              <w:t>atbilst tikai MK noteikumu 9.punktā minētajām, kā arī 9.punktā jau ir iestrādāta atsauce uz 3.6.apakšpunktā minētajām programmām.</w:t>
            </w:r>
          </w:p>
          <w:p w:rsidR="0089117A" w:rsidRPr="001A1849" w:rsidRDefault="0089117A" w:rsidP="0089117A">
            <w:pPr>
              <w:pStyle w:val="ListParagraph"/>
              <w:widowControl w:val="0"/>
              <w:tabs>
                <w:tab w:val="left" w:pos="353"/>
              </w:tabs>
              <w:overflowPunct w:val="0"/>
              <w:autoSpaceDE w:val="0"/>
              <w:autoSpaceDN w:val="0"/>
              <w:adjustRightInd w:val="0"/>
              <w:spacing w:after="0" w:line="240" w:lineRule="auto"/>
              <w:ind w:left="0"/>
              <w:jc w:val="both"/>
              <w:rPr>
                <w:rFonts w:ascii="Times New Roman" w:eastAsia="Times New Roman" w:hAnsi="Times New Roman"/>
                <w:sz w:val="24"/>
                <w:szCs w:val="24"/>
                <w:lang w:eastAsia="lv-LV"/>
              </w:rPr>
            </w:pPr>
          </w:p>
          <w:p w:rsidR="0008778C" w:rsidRDefault="00403EE7" w:rsidP="00D1535E">
            <w:pPr>
              <w:pStyle w:val="naisf"/>
              <w:numPr>
                <w:ilvl w:val="0"/>
                <w:numId w:val="4"/>
              </w:numPr>
              <w:tabs>
                <w:tab w:val="left" w:pos="353"/>
              </w:tabs>
              <w:spacing w:before="0" w:after="0"/>
              <w:ind w:left="0" w:firstLine="68"/>
            </w:pPr>
            <w:r w:rsidRPr="00A15939">
              <w:t xml:space="preserve">Vienlaikus </w:t>
            </w:r>
            <w:r w:rsidR="00DD340C" w:rsidRPr="00A15939">
              <w:t xml:space="preserve">nepieciešams precizēt MK noteikumu 7.1., 7.2., 8.1, 8.2., 9.1., 9.2.apakšpunktus </w:t>
            </w:r>
            <w:r w:rsidRPr="00A15939">
              <w:t>atbilstoši Eiropas Padomes regulas (EK) Nr.1083/2006 53.panta 3.punktam</w:t>
            </w:r>
            <w:r w:rsidR="00DD340C" w:rsidRPr="00A15939">
              <w:t>, kas nosaka, ka</w:t>
            </w:r>
            <w:r w:rsidRPr="00A15939">
              <w:t xml:space="preserve"> Eiropas Reģionālās attīstības fonda līdzfinansējums projekta daļai, kurā piedalās programmu finansējuma saņēmējs no Latvijas Republikas nedrīkst būt lielāks par 85% no atbilstīgajiem izdevumiem.</w:t>
            </w:r>
            <w:r w:rsidR="00A5681B" w:rsidRPr="00A15939">
              <w:t xml:space="preserve"> Savukārt </w:t>
            </w:r>
            <w:r w:rsidRPr="00A15939">
              <w:t xml:space="preserve">atbilstoši </w:t>
            </w:r>
            <w:r w:rsidR="00846467" w:rsidRPr="00A15939">
              <w:t>Eiropas Komisijas regul</w:t>
            </w:r>
            <w:r w:rsidR="00A5681B" w:rsidRPr="00A15939">
              <w:t>as (EK) Nr.951/2007</w:t>
            </w:r>
            <w:r w:rsidR="00D82BF6" w:rsidRPr="00A15939">
              <w:t xml:space="preserve"> 20.panta 1.punktam</w:t>
            </w:r>
            <w:r w:rsidR="00846467" w:rsidRPr="00A15939">
              <w:t xml:space="preserve"> Latvijas puses finansējumam projekta daļai, kurā piedalās programmu finansējuma saņēmējs  no Latvijas Republikas jābūt vismaz 10% no Kopienas ieguldījuma kopīgā darbības programmā</w:t>
            </w:r>
            <w:r w:rsidR="008364EE" w:rsidRPr="00A15939">
              <w:t xml:space="preserve"> Eiropas Kaimiņattiecību un partnerības instrumenta ietvaros</w:t>
            </w:r>
            <w:r w:rsidR="00A5681B" w:rsidRPr="00A15939">
              <w:t>, līdz ar to nepieciešams precizēt MK noteikumu 10.1. un 10.2.apakšpunktus</w:t>
            </w:r>
            <w:r w:rsidR="00846467" w:rsidRPr="00A15939">
              <w:t>.</w:t>
            </w:r>
          </w:p>
          <w:p w:rsidR="00D1535E" w:rsidRDefault="00D1535E" w:rsidP="00D1535E">
            <w:pPr>
              <w:pStyle w:val="naisf"/>
              <w:tabs>
                <w:tab w:val="left" w:pos="353"/>
              </w:tabs>
              <w:spacing w:before="0" w:after="0"/>
              <w:ind w:firstLine="0"/>
            </w:pPr>
          </w:p>
          <w:p w:rsidR="00D1535E" w:rsidRDefault="00D1535E" w:rsidP="00D1535E">
            <w:pPr>
              <w:pStyle w:val="naisf"/>
              <w:numPr>
                <w:ilvl w:val="0"/>
                <w:numId w:val="4"/>
              </w:numPr>
              <w:tabs>
                <w:tab w:val="left" w:pos="353"/>
              </w:tabs>
              <w:spacing w:before="0" w:after="0"/>
              <w:ind w:left="0" w:firstLine="68"/>
            </w:pPr>
            <w:r>
              <w:t xml:space="preserve">Noteikumu projekts paredz noteikt Latvijas puses finansējuma (valsts budžeta finansējuma) apjoma ierobežojumu attiecībā uz noteikumu 3.punktā minēto programmu finansējuma saņēmēju (valsts budžeta iestādes un no valsts budžeta daļēji finansētas atvasinātas publiskās personas un to izveidotas iestādes) līdzekļu ieguldīšanu projektu īstenošanā, kas finansējumu projektu īstenošanai, tai skaitā arī līdzfinansējumu, pilnā apmērā saņem no valsts budžeta līdzekļiem. </w:t>
            </w:r>
            <w:r w:rsidR="00D10DDC">
              <w:t>Tiek novērsta situācija, ka valsts budžeta līdzekļi projekta īstenošanai pārsniedz Eiropas reģionālās attīstības fonda līdzfinansējuma apjomu.</w:t>
            </w:r>
          </w:p>
          <w:p w:rsidR="0089117A" w:rsidRPr="00A15939" w:rsidRDefault="0089117A" w:rsidP="0089117A">
            <w:pPr>
              <w:pStyle w:val="naisf"/>
              <w:tabs>
                <w:tab w:val="left" w:pos="353"/>
              </w:tabs>
              <w:spacing w:before="0" w:after="0"/>
              <w:ind w:left="68" w:firstLine="0"/>
            </w:pPr>
          </w:p>
          <w:p w:rsidR="00A46A7F" w:rsidRPr="0089117A" w:rsidRDefault="00A46A7F" w:rsidP="0089117A">
            <w:pPr>
              <w:pStyle w:val="ListParagraph"/>
              <w:numPr>
                <w:ilvl w:val="0"/>
                <w:numId w:val="4"/>
              </w:numPr>
              <w:tabs>
                <w:tab w:val="left" w:pos="353"/>
              </w:tabs>
              <w:spacing w:after="0" w:line="240" w:lineRule="auto"/>
              <w:ind w:left="0" w:firstLine="68"/>
              <w:jc w:val="both"/>
              <w:rPr>
                <w:rFonts w:ascii="Times New Roman" w:hAnsi="Times New Roman"/>
                <w:bCs/>
                <w:sz w:val="24"/>
                <w:szCs w:val="24"/>
              </w:rPr>
            </w:pPr>
            <w:r w:rsidRPr="0089117A">
              <w:rPr>
                <w:rFonts w:ascii="Times New Roman" w:hAnsi="Times New Roman"/>
                <w:sz w:val="24"/>
                <w:szCs w:val="24"/>
              </w:rPr>
              <w:lastRenderedPageBreak/>
              <w:t xml:space="preserve">Papildus tehniskās </w:t>
            </w:r>
            <w:r w:rsidRPr="0089117A">
              <w:rPr>
                <w:rFonts w:ascii="Times New Roman" w:hAnsi="Times New Roman"/>
                <w:bCs/>
                <w:sz w:val="24"/>
                <w:szCs w:val="24"/>
              </w:rPr>
              <w:t>izmaiņas esošajā regulējumā nepieciešamas, lai precizētu valsts budžeta finansējuma piešķiršanas, izmaksāšanas un atmaksāšanas kārtību</w:t>
            </w:r>
            <w:r w:rsidRPr="0089117A">
              <w:rPr>
                <w:rFonts w:ascii="Times New Roman" w:hAnsi="Times New Roman"/>
                <w:sz w:val="24"/>
                <w:szCs w:val="24"/>
              </w:rPr>
              <w:t xml:space="preserve"> Eiropas Kaimiņattiecību un partnerības instrumenta programmu projektiem, papildinot MK noteikumu 22., 26., 27.punktus un 28.2., 28.3., 28.4.apakšpunktus ar atsauci uz izdevumu atbilstības p</w:t>
            </w:r>
            <w:r w:rsidR="00A66FEF" w:rsidRPr="0089117A">
              <w:rPr>
                <w:rFonts w:ascii="Times New Roman" w:hAnsi="Times New Roman"/>
                <w:sz w:val="24"/>
                <w:szCs w:val="24"/>
              </w:rPr>
              <w:t xml:space="preserve">ārbaudes </w:t>
            </w:r>
            <w:r w:rsidR="0002349F" w:rsidRPr="0089117A">
              <w:rPr>
                <w:rFonts w:ascii="Times New Roman" w:hAnsi="Times New Roman"/>
                <w:sz w:val="24"/>
                <w:szCs w:val="24"/>
              </w:rPr>
              <w:t xml:space="preserve">(saskaņā ar Eiropas Savienības struktūrfondu 3.mērķa „Eiropas teritoriālā sadarbība” programmu vadības likuma terminoloģiju) </w:t>
            </w:r>
            <w:r w:rsidR="00A66FEF" w:rsidRPr="0089117A">
              <w:rPr>
                <w:rFonts w:ascii="Times New Roman" w:hAnsi="Times New Roman"/>
                <w:sz w:val="24"/>
                <w:szCs w:val="24"/>
              </w:rPr>
              <w:t>atzinumu nepieciešamību</w:t>
            </w:r>
            <w:r w:rsidR="00483CEA" w:rsidRPr="0089117A">
              <w:rPr>
                <w:rFonts w:ascii="Times New Roman" w:hAnsi="Times New Roman"/>
                <w:sz w:val="24"/>
                <w:szCs w:val="24"/>
              </w:rPr>
              <w:t xml:space="preserve"> </w:t>
            </w:r>
            <w:r w:rsidR="00A66FEF" w:rsidRPr="0089117A">
              <w:rPr>
                <w:rFonts w:ascii="Times New Roman" w:hAnsi="Times New Roman"/>
                <w:sz w:val="24"/>
                <w:szCs w:val="24"/>
              </w:rPr>
              <w:t xml:space="preserve">par </w:t>
            </w:r>
            <w:r w:rsidR="00A81200" w:rsidRPr="0089117A">
              <w:rPr>
                <w:rFonts w:ascii="Times New Roman" w:hAnsi="Times New Roman"/>
                <w:sz w:val="24"/>
                <w:szCs w:val="24"/>
              </w:rPr>
              <w:t xml:space="preserve">projektu sagatavošanas un īstenošanas laikā radušos izmaksu </w:t>
            </w:r>
            <w:proofErr w:type="spellStart"/>
            <w:r w:rsidR="00A81200" w:rsidRPr="0089117A">
              <w:rPr>
                <w:rFonts w:ascii="Times New Roman" w:hAnsi="Times New Roman"/>
                <w:sz w:val="24"/>
                <w:szCs w:val="24"/>
              </w:rPr>
              <w:t>attiecināmību</w:t>
            </w:r>
            <w:proofErr w:type="spellEnd"/>
            <w:r w:rsidR="00A66FEF" w:rsidRPr="0089117A">
              <w:rPr>
                <w:rFonts w:ascii="Times New Roman" w:hAnsi="Times New Roman"/>
                <w:sz w:val="24"/>
                <w:szCs w:val="24"/>
              </w:rPr>
              <w:t>.</w:t>
            </w:r>
          </w:p>
          <w:p w:rsidR="00CE2EF5" w:rsidRPr="00292FAE" w:rsidRDefault="00A424C2" w:rsidP="00240AF8">
            <w:pPr>
              <w:pStyle w:val="naisf"/>
              <w:spacing w:before="120" w:after="120"/>
              <w:ind w:firstLine="0"/>
            </w:pPr>
            <w:r>
              <w:t>Ņem</w:t>
            </w:r>
            <w:r w:rsidR="00382DCF">
              <w:t xml:space="preserve">ot vērā augstāk minēto </w:t>
            </w:r>
            <w:r w:rsidR="002016A5" w:rsidRPr="002016A5">
              <w:t>veicami grozījumi</w:t>
            </w:r>
            <w:r w:rsidR="00382DCF">
              <w:t xml:space="preserve"> </w:t>
            </w:r>
            <w:r w:rsidR="001B544C">
              <w:t xml:space="preserve">Ministru kabineta </w:t>
            </w:r>
            <w:smartTag w:uri="schemas-tilde-lv/tildestengine" w:element="date">
              <w:smartTagPr>
                <w:attr w:name="Year" w:val="2009"/>
                <w:attr w:name="Month" w:val="8"/>
                <w:attr w:name="Day" w:val="11"/>
              </w:smartTagPr>
              <w:r w:rsidR="001B544C" w:rsidRPr="001B544C">
                <w:t>2009.gada 11.augusta</w:t>
              </w:r>
            </w:smartTag>
            <w:r w:rsidR="001B544C" w:rsidRPr="001B544C">
              <w:t xml:space="preserve"> noteikumos Nr.890 „Kārtība, kādā piešķir valsts budžeta līdzekļus Eiropas Savienības struktūrfondu 3.mērķa „Eiropas te</w:t>
            </w:r>
            <w:r w:rsidR="002016A5">
              <w:t xml:space="preserve">ritoriālā sadarbība” programmu </w:t>
            </w:r>
            <w:r w:rsidR="001B544C" w:rsidRPr="001B544C">
              <w:t>un Eiropas Kaimiņattiecību un partnerības instrumenta programmu finansējuma saņēmējiem no Latvijas Republikas”</w:t>
            </w:r>
            <w:r w:rsidR="00B45AA3">
              <w:t>.</w:t>
            </w:r>
          </w:p>
        </w:tc>
      </w:tr>
      <w:tr w:rsidR="000115B5" w:rsidRPr="00292FAE" w:rsidTr="0079311E">
        <w:trPr>
          <w:trHeight w:val="947"/>
          <w:tblCellSpacing w:w="0" w:type="dxa"/>
        </w:trPr>
        <w:tc>
          <w:tcPr>
            <w:tcW w:w="567" w:type="dxa"/>
            <w:tcBorders>
              <w:top w:val="outset" w:sz="6" w:space="0" w:color="auto"/>
              <w:left w:val="outset" w:sz="6" w:space="0" w:color="auto"/>
              <w:bottom w:val="outset" w:sz="6" w:space="0" w:color="auto"/>
              <w:right w:val="outset" w:sz="6" w:space="0" w:color="auto"/>
            </w:tcBorders>
          </w:tcPr>
          <w:p w:rsidR="000115B5" w:rsidRPr="00292FAE" w:rsidRDefault="000115B5" w:rsidP="00B22BC5">
            <w:pPr>
              <w:rPr>
                <w:lang w:eastAsia="en-US"/>
              </w:rPr>
            </w:pPr>
            <w:r w:rsidRPr="00292FAE">
              <w:rPr>
                <w:lang w:eastAsia="en-US"/>
              </w:rPr>
              <w:lastRenderedPageBreak/>
              <w:t> 3.</w:t>
            </w:r>
          </w:p>
        </w:tc>
        <w:tc>
          <w:tcPr>
            <w:tcW w:w="2694" w:type="dxa"/>
            <w:tcBorders>
              <w:top w:val="outset" w:sz="6" w:space="0" w:color="auto"/>
              <w:left w:val="outset" w:sz="6" w:space="0" w:color="auto"/>
              <w:bottom w:val="outset" w:sz="6" w:space="0" w:color="auto"/>
              <w:right w:val="outset" w:sz="6" w:space="0" w:color="auto"/>
            </w:tcBorders>
          </w:tcPr>
          <w:p w:rsidR="000115B5" w:rsidRPr="00292FAE" w:rsidRDefault="000115B5" w:rsidP="00B22BC5">
            <w:pPr>
              <w:rPr>
                <w:lang w:eastAsia="en-US"/>
              </w:rPr>
            </w:pPr>
            <w:r w:rsidRPr="00292FAE">
              <w:rPr>
                <w:lang w:eastAsia="en-US"/>
              </w:rPr>
              <w:t> Saistītie politikas ietekmes novērtējumi un pētījumi</w:t>
            </w:r>
          </w:p>
        </w:tc>
        <w:tc>
          <w:tcPr>
            <w:tcW w:w="6095" w:type="dxa"/>
            <w:tcBorders>
              <w:top w:val="outset" w:sz="6" w:space="0" w:color="auto"/>
              <w:left w:val="outset" w:sz="6" w:space="0" w:color="auto"/>
              <w:bottom w:val="outset" w:sz="6" w:space="0" w:color="auto"/>
              <w:right w:val="outset" w:sz="6" w:space="0" w:color="auto"/>
            </w:tcBorders>
          </w:tcPr>
          <w:p w:rsidR="000115B5" w:rsidRPr="00292FAE" w:rsidRDefault="00B33EE7" w:rsidP="00A73D9B">
            <w:pPr>
              <w:rPr>
                <w:lang w:eastAsia="en-US"/>
              </w:rPr>
            </w:pPr>
            <w:r w:rsidRPr="00292FAE">
              <w:rPr>
                <w:lang w:eastAsia="en-US"/>
              </w:rPr>
              <w:t>Politikas ietekmes novērtējumi un pētījumi nav veikti.</w:t>
            </w:r>
          </w:p>
        </w:tc>
      </w:tr>
      <w:tr w:rsidR="00CE2EF5" w:rsidRPr="00292FAE" w:rsidTr="0079311E">
        <w:trPr>
          <w:trHeight w:val="121"/>
          <w:tblCellSpacing w:w="0" w:type="dxa"/>
        </w:trPr>
        <w:tc>
          <w:tcPr>
            <w:tcW w:w="567" w:type="dxa"/>
            <w:tcBorders>
              <w:top w:val="outset" w:sz="6" w:space="0" w:color="auto"/>
              <w:left w:val="outset" w:sz="6" w:space="0" w:color="auto"/>
              <w:bottom w:val="outset" w:sz="6" w:space="0" w:color="auto"/>
              <w:right w:val="outset" w:sz="6" w:space="0" w:color="auto"/>
            </w:tcBorders>
          </w:tcPr>
          <w:p w:rsidR="00CE2EF5" w:rsidRPr="00292FAE" w:rsidRDefault="00CE2EF5" w:rsidP="00B22BC5">
            <w:pPr>
              <w:rPr>
                <w:lang w:eastAsia="en-US"/>
              </w:rPr>
            </w:pPr>
            <w:r w:rsidRPr="00292FAE">
              <w:rPr>
                <w:lang w:eastAsia="en-US"/>
              </w:rPr>
              <w:t> 4.</w:t>
            </w:r>
          </w:p>
        </w:tc>
        <w:tc>
          <w:tcPr>
            <w:tcW w:w="2694" w:type="dxa"/>
            <w:tcBorders>
              <w:top w:val="outset" w:sz="6" w:space="0" w:color="auto"/>
              <w:left w:val="outset" w:sz="6" w:space="0" w:color="auto"/>
              <w:bottom w:val="outset" w:sz="6" w:space="0" w:color="auto"/>
              <w:right w:val="outset" w:sz="6" w:space="0" w:color="auto"/>
            </w:tcBorders>
          </w:tcPr>
          <w:p w:rsidR="00CE2EF5" w:rsidRPr="00292FAE" w:rsidRDefault="00CE2EF5" w:rsidP="00B22BC5">
            <w:pPr>
              <w:rPr>
                <w:lang w:eastAsia="en-US"/>
              </w:rPr>
            </w:pPr>
            <w:r w:rsidRPr="00292FAE">
              <w:rPr>
                <w:lang w:eastAsia="en-US"/>
              </w:rPr>
              <w:t> Tiesiskā regulējuma mērķis un būtība</w:t>
            </w:r>
          </w:p>
        </w:tc>
        <w:tc>
          <w:tcPr>
            <w:tcW w:w="6095" w:type="dxa"/>
            <w:tcBorders>
              <w:top w:val="outset" w:sz="6" w:space="0" w:color="auto"/>
              <w:left w:val="outset" w:sz="6" w:space="0" w:color="auto"/>
              <w:bottom w:val="outset" w:sz="6" w:space="0" w:color="auto"/>
              <w:right w:val="outset" w:sz="6" w:space="0" w:color="auto"/>
            </w:tcBorders>
          </w:tcPr>
          <w:p w:rsidR="00E40E00" w:rsidRPr="00292FAE" w:rsidRDefault="00276AE4" w:rsidP="006B57C7">
            <w:pPr>
              <w:widowControl w:val="0"/>
              <w:overflowPunct w:val="0"/>
              <w:autoSpaceDE w:val="0"/>
              <w:autoSpaceDN w:val="0"/>
              <w:adjustRightInd w:val="0"/>
              <w:spacing w:line="245" w:lineRule="auto"/>
              <w:jc w:val="both"/>
            </w:pPr>
            <w:r w:rsidRPr="00276AE4">
              <w:t>Grozījumi Ministru kabineta noteikumos nepieciešami, lai</w:t>
            </w:r>
            <w:r>
              <w:t xml:space="preserve"> precizētu finansējuma saņēmēju loku </w:t>
            </w:r>
            <w:r w:rsidRPr="00CB4714">
              <w:t xml:space="preserve">atbilstoši </w:t>
            </w:r>
            <w:r w:rsidR="005C4D69">
              <w:t>to institucionālajai piederībai</w:t>
            </w:r>
            <w:r>
              <w:t>, kā arī</w:t>
            </w:r>
            <w:r w:rsidR="00AA6733">
              <w:t>,</w:t>
            </w:r>
            <w:r>
              <w:t xml:space="preserve"> </w:t>
            </w:r>
            <w:r w:rsidR="00AA6733" w:rsidRPr="008A4ED4">
              <w:rPr>
                <w:bCs/>
              </w:rPr>
              <w:t>lai precizētu valsts budžeta</w:t>
            </w:r>
            <w:r w:rsidR="005C4D69">
              <w:rPr>
                <w:bCs/>
              </w:rPr>
              <w:t xml:space="preserve"> līdzekļu</w:t>
            </w:r>
            <w:r w:rsidR="00AA6733" w:rsidRPr="008A4ED4">
              <w:rPr>
                <w:bCs/>
              </w:rPr>
              <w:t xml:space="preserve"> finansējuma piešķiršanas, izmaksāšanas un atmaksāšanas kārtību</w:t>
            </w:r>
            <w:r w:rsidR="00AA6733" w:rsidRPr="00AA6733">
              <w:t xml:space="preserve"> Eiropas Savienības struktūrfondu 3.mērķa „Eiropas teritoriālā sadarbība” programmu un Eiropas Kaimiņattiecību un partnerības instrumenta programmu projektiem</w:t>
            </w:r>
            <w:r w:rsidR="00DB71B8">
              <w:t xml:space="preserve"> atbilstoši Eiropas Padomes regulai (EK) Nr.1083/2006</w:t>
            </w:r>
            <w:r w:rsidR="002C5C8E">
              <w:t xml:space="preserve"> un </w:t>
            </w:r>
            <w:r w:rsidR="00DB71B8">
              <w:t>Eiropas Komisijas regulai (EK) Nr.951/2007</w:t>
            </w:r>
            <w:r w:rsidR="00B40DEC">
              <w:t>. P</w:t>
            </w:r>
            <w:r w:rsidR="00F2083E">
              <w:t>apildus, lai sekmētu</w:t>
            </w:r>
            <w:r w:rsidR="00B40DEC">
              <w:t xml:space="preserve"> robežšķērsošanas vietu attīstību MK noteikumu projektā noteikts, </w:t>
            </w:r>
            <w:r w:rsidR="00B86692">
              <w:t>ka valsts budžeta līdzekļiem desmit procentu apmērā Eiropas Kaimiņattiecību un partnerības instrumenta programmu projektu īstenošanai, kas saistīti ar robežšķērsošanas vietu attīstību var pieteikties šo noteikumu 2.4.apakšpunktā minētie finansējuma saņēmēji, kurus ir pilnvarojusi attiecīgā nozares ministrija.</w:t>
            </w:r>
          </w:p>
        </w:tc>
      </w:tr>
      <w:tr w:rsidR="000115B5" w:rsidRPr="00292FAE" w:rsidTr="0079311E">
        <w:trPr>
          <w:trHeight w:val="476"/>
          <w:tblCellSpacing w:w="0" w:type="dxa"/>
        </w:trPr>
        <w:tc>
          <w:tcPr>
            <w:tcW w:w="567" w:type="dxa"/>
            <w:tcBorders>
              <w:top w:val="outset" w:sz="6" w:space="0" w:color="auto"/>
              <w:left w:val="outset" w:sz="6" w:space="0" w:color="auto"/>
              <w:bottom w:val="outset" w:sz="6" w:space="0" w:color="auto"/>
              <w:right w:val="outset" w:sz="6" w:space="0" w:color="auto"/>
            </w:tcBorders>
          </w:tcPr>
          <w:p w:rsidR="000115B5" w:rsidRPr="00292FAE" w:rsidRDefault="000115B5" w:rsidP="00B22BC5">
            <w:pPr>
              <w:rPr>
                <w:lang w:eastAsia="en-US"/>
              </w:rPr>
            </w:pPr>
            <w:r w:rsidRPr="00292FAE">
              <w:rPr>
                <w:lang w:eastAsia="en-US"/>
              </w:rPr>
              <w:t> 5.</w:t>
            </w:r>
          </w:p>
        </w:tc>
        <w:tc>
          <w:tcPr>
            <w:tcW w:w="2694" w:type="dxa"/>
            <w:tcBorders>
              <w:top w:val="outset" w:sz="6" w:space="0" w:color="auto"/>
              <w:left w:val="outset" w:sz="6" w:space="0" w:color="auto"/>
              <w:bottom w:val="outset" w:sz="6" w:space="0" w:color="auto"/>
              <w:right w:val="outset" w:sz="6" w:space="0" w:color="auto"/>
            </w:tcBorders>
          </w:tcPr>
          <w:p w:rsidR="000115B5" w:rsidRPr="00292FAE" w:rsidRDefault="000115B5" w:rsidP="00B22BC5">
            <w:pPr>
              <w:rPr>
                <w:lang w:eastAsia="en-US"/>
              </w:rPr>
            </w:pPr>
            <w:r w:rsidRPr="00292FAE">
              <w:rPr>
                <w:lang w:eastAsia="en-US"/>
              </w:rPr>
              <w:t> Projekta izstrādē iesaistītās institūcijas</w:t>
            </w:r>
          </w:p>
        </w:tc>
        <w:tc>
          <w:tcPr>
            <w:tcW w:w="6095" w:type="dxa"/>
            <w:tcBorders>
              <w:top w:val="outset" w:sz="6" w:space="0" w:color="auto"/>
              <w:left w:val="outset" w:sz="6" w:space="0" w:color="auto"/>
              <w:bottom w:val="outset" w:sz="6" w:space="0" w:color="auto"/>
              <w:right w:val="outset" w:sz="6" w:space="0" w:color="auto"/>
            </w:tcBorders>
          </w:tcPr>
          <w:p w:rsidR="000115B5" w:rsidRPr="00292FAE" w:rsidRDefault="00900F5B" w:rsidP="00A73D9B">
            <w:pPr>
              <w:jc w:val="both"/>
              <w:rPr>
                <w:lang w:eastAsia="en-US"/>
              </w:rPr>
            </w:pPr>
            <w:r w:rsidRPr="00187ACB">
              <w:rPr>
                <w:lang w:eastAsia="en-US"/>
              </w:rPr>
              <w:t>Izglītības un zinātnes ministrija</w:t>
            </w:r>
            <w:r w:rsidR="00187ACB" w:rsidRPr="00187ACB">
              <w:rPr>
                <w:lang w:eastAsia="en-US"/>
              </w:rPr>
              <w:t>, Finanšu ministrija.</w:t>
            </w:r>
          </w:p>
        </w:tc>
      </w:tr>
      <w:tr w:rsidR="00CE2EF5" w:rsidRPr="00292FAE" w:rsidTr="0079311E">
        <w:trPr>
          <w:trHeight w:val="1101"/>
          <w:tblCellSpacing w:w="0" w:type="dxa"/>
        </w:trPr>
        <w:tc>
          <w:tcPr>
            <w:tcW w:w="567" w:type="dxa"/>
            <w:tcBorders>
              <w:top w:val="outset" w:sz="6" w:space="0" w:color="auto"/>
              <w:left w:val="outset" w:sz="6" w:space="0" w:color="auto"/>
              <w:bottom w:val="outset" w:sz="6" w:space="0" w:color="auto"/>
              <w:right w:val="outset" w:sz="6" w:space="0" w:color="auto"/>
            </w:tcBorders>
          </w:tcPr>
          <w:p w:rsidR="00CE2EF5" w:rsidRPr="00292FAE" w:rsidRDefault="00CE2EF5" w:rsidP="00B22BC5">
            <w:pPr>
              <w:rPr>
                <w:lang w:eastAsia="en-US"/>
              </w:rPr>
            </w:pPr>
            <w:r w:rsidRPr="00292FAE">
              <w:rPr>
                <w:lang w:eastAsia="en-US"/>
              </w:rPr>
              <w:t> 6.</w:t>
            </w:r>
          </w:p>
        </w:tc>
        <w:tc>
          <w:tcPr>
            <w:tcW w:w="2694" w:type="dxa"/>
            <w:tcBorders>
              <w:top w:val="outset" w:sz="6" w:space="0" w:color="auto"/>
              <w:left w:val="outset" w:sz="6" w:space="0" w:color="auto"/>
              <w:bottom w:val="outset" w:sz="6" w:space="0" w:color="auto"/>
              <w:right w:val="outset" w:sz="6" w:space="0" w:color="auto"/>
            </w:tcBorders>
          </w:tcPr>
          <w:p w:rsidR="00CE2EF5" w:rsidRPr="00292FAE" w:rsidRDefault="00CE2EF5" w:rsidP="00B22BC5">
            <w:pPr>
              <w:rPr>
                <w:lang w:eastAsia="en-US"/>
              </w:rPr>
            </w:pPr>
            <w:r w:rsidRPr="00292FAE">
              <w:rPr>
                <w:lang w:eastAsia="en-US"/>
              </w:rPr>
              <w:t>Iemesli, kādēļ netika nodrošināta sabiedrības līdzdalība</w:t>
            </w:r>
          </w:p>
        </w:tc>
        <w:tc>
          <w:tcPr>
            <w:tcW w:w="6095" w:type="dxa"/>
            <w:tcBorders>
              <w:top w:val="outset" w:sz="6" w:space="0" w:color="auto"/>
              <w:left w:val="outset" w:sz="6" w:space="0" w:color="auto"/>
              <w:bottom w:val="outset" w:sz="6" w:space="0" w:color="auto"/>
              <w:right w:val="outset" w:sz="6" w:space="0" w:color="auto"/>
            </w:tcBorders>
          </w:tcPr>
          <w:p w:rsidR="00CE2EF5" w:rsidRPr="00292FAE" w:rsidRDefault="00CE2EF5" w:rsidP="00684777">
            <w:pPr>
              <w:ind w:left="70"/>
              <w:jc w:val="both"/>
              <w:rPr>
                <w:lang w:eastAsia="en-US"/>
              </w:rPr>
            </w:pPr>
            <w:r w:rsidRPr="00292FAE">
              <w:rPr>
                <w:lang w:eastAsia="en-US"/>
              </w:rPr>
              <w:t xml:space="preserve">Ņemot vērā, ka </w:t>
            </w:r>
            <w:r w:rsidR="00AF0D7C">
              <w:rPr>
                <w:lang w:eastAsia="en-US"/>
              </w:rPr>
              <w:t>Ministru kabineta noteikumu projekts</w:t>
            </w:r>
            <w:r w:rsidRPr="00292FAE">
              <w:rPr>
                <w:lang w:eastAsia="en-US"/>
              </w:rPr>
              <w:t xml:space="preserve"> neierobežo sabiedrības intereses, bet gan paredz </w:t>
            </w:r>
            <w:r w:rsidR="002F02E2">
              <w:rPr>
                <w:lang w:eastAsia="en-US"/>
              </w:rPr>
              <w:t>tiesiskā regulējuma</w:t>
            </w:r>
            <w:r w:rsidRPr="00ED05F7">
              <w:rPr>
                <w:lang w:eastAsia="en-US"/>
              </w:rPr>
              <w:t xml:space="preserve"> pilnveidošan</w:t>
            </w:r>
            <w:r w:rsidR="00DF7531" w:rsidRPr="00ED05F7">
              <w:rPr>
                <w:lang w:eastAsia="en-US"/>
              </w:rPr>
              <w:t>u,</w:t>
            </w:r>
            <w:r w:rsidR="00D40DBC">
              <w:rPr>
                <w:lang w:eastAsia="en-US"/>
              </w:rPr>
              <w:t xml:space="preserve"> </w:t>
            </w:r>
            <w:r w:rsidR="00477AF7">
              <w:rPr>
                <w:lang w:eastAsia="en-US"/>
              </w:rPr>
              <w:t>noteikumu projekta</w:t>
            </w:r>
            <w:r w:rsidRPr="00292FAE">
              <w:rPr>
                <w:lang w:eastAsia="en-US"/>
              </w:rPr>
              <w:t xml:space="preserve"> izstrādes gaitā nav veikta sabiedrības iesaiste.</w:t>
            </w:r>
          </w:p>
        </w:tc>
      </w:tr>
      <w:tr w:rsidR="000115B5" w:rsidRPr="00292FAE" w:rsidTr="0079311E">
        <w:trPr>
          <w:tblCellSpacing w:w="0" w:type="dxa"/>
        </w:trPr>
        <w:tc>
          <w:tcPr>
            <w:tcW w:w="567" w:type="dxa"/>
            <w:tcBorders>
              <w:top w:val="outset" w:sz="6" w:space="0" w:color="auto"/>
              <w:left w:val="outset" w:sz="6" w:space="0" w:color="auto"/>
              <w:bottom w:val="outset" w:sz="6" w:space="0" w:color="auto"/>
              <w:right w:val="outset" w:sz="6" w:space="0" w:color="auto"/>
            </w:tcBorders>
          </w:tcPr>
          <w:p w:rsidR="000115B5" w:rsidRPr="00292FAE" w:rsidRDefault="000115B5" w:rsidP="00B22BC5">
            <w:pPr>
              <w:rPr>
                <w:lang w:eastAsia="en-US"/>
              </w:rPr>
            </w:pPr>
            <w:r w:rsidRPr="00292FAE">
              <w:rPr>
                <w:lang w:eastAsia="en-US"/>
              </w:rPr>
              <w:t> 7.</w:t>
            </w:r>
          </w:p>
        </w:tc>
        <w:tc>
          <w:tcPr>
            <w:tcW w:w="2694" w:type="dxa"/>
            <w:tcBorders>
              <w:top w:val="outset" w:sz="6" w:space="0" w:color="auto"/>
              <w:left w:val="outset" w:sz="6" w:space="0" w:color="auto"/>
              <w:bottom w:val="outset" w:sz="6" w:space="0" w:color="auto"/>
              <w:right w:val="outset" w:sz="6" w:space="0" w:color="auto"/>
            </w:tcBorders>
          </w:tcPr>
          <w:p w:rsidR="000115B5" w:rsidRPr="00292FAE" w:rsidRDefault="000115B5" w:rsidP="00B22BC5">
            <w:pPr>
              <w:rPr>
                <w:lang w:eastAsia="en-US"/>
              </w:rPr>
            </w:pPr>
            <w:r w:rsidRPr="00292FAE">
              <w:rPr>
                <w:lang w:eastAsia="en-US"/>
              </w:rPr>
              <w:t> Cita informācija</w:t>
            </w:r>
          </w:p>
        </w:tc>
        <w:tc>
          <w:tcPr>
            <w:tcW w:w="6095" w:type="dxa"/>
            <w:tcBorders>
              <w:top w:val="outset" w:sz="6" w:space="0" w:color="auto"/>
              <w:left w:val="outset" w:sz="6" w:space="0" w:color="auto"/>
              <w:bottom w:val="outset" w:sz="6" w:space="0" w:color="auto"/>
              <w:right w:val="outset" w:sz="6" w:space="0" w:color="auto"/>
            </w:tcBorders>
          </w:tcPr>
          <w:p w:rsidR="000115B5" w:rsidRPr="00292FAE" w:rsidRDefault="00B33EE7" w:rsidP="00B22BC5">
            <w:pPr>
              <w:rPr>
                <w:lang w:eastAsia="en-US"/>
              </w:rPr>
            </w:pPr>
            <w:r w:rsidRPr="00292FAE">
              <w:rPr>
                <w:lang w:eastAsia="en-US"/>
              </w:rPr>
              <w:t>Nav.</w:t>
            </w:r>
          </w:p>
        </w:tc>
      </w:tr>
    </w:tbl>
    <w:p w:rsidR="00917D19" w:rsidRDefault="00917D19" w:rsidP="002016A5">
      <w:pPr>
        <w:jc w:val="both"/>
        <w:rPr>
          <w:b/>
        </w:rPr>
      </w:pPr>
    </w:p>
    <w:p w:rsidR="000115B5" w:rsidRDefault="002016A5" w:rsidP="002016A5">
      <w:pPr>
        <w:jc w:val="both"/>
        <w:rPr>
          <w:b/>
        </w:rPr>
      </w:pPr>
      <w:r>
        <w:rPr>
          <w:b/>
        </w:rPr>
        <w:t>Anotācijas III-</w:t>
      </w:r>
      <w:r w:rsidR="00AB6F99">
        <w:rPr>
          <w:b/>
        </w:rPr>
        <w:t>IV</w:t>
      </w:r>
      <w:r>
        <w:rPr>
          <w:b/>
        </w:rPr>
        <w:t xml:space="preserve"> sadaļa – Ministru kabineta noteikumu projekts šīs jomas neskar.</w:t>
      </w:r>
    </w:p>
    <w:p w:rsidR="00AB6F99" w:rsidRPr="00292FAE" w:rsidRDefault="00AB6F99" w:rsidP="002016A5">
      <w:pPr>
        <w:jc w:val="both"/>
        <w:rPr>
          <w:lang w:eastAsia="en-US"/>
        </w:rPr>
      </w:pPr>
    </w:p>
    <w:tbl>
      <w:tblPr>
        <w:tblW w:w="9356" w:type="dxa"/>
        <w:tblInd w:w="-256"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568"/>
        <w:gridCol w:w="3118"/>
        <w:gridCol w:w="5670"/>
      </w:tblGrid>
      <w:tr w:rsidR="00AB6F99" w:rsidRPr="00BA3C4F" w:rsidTr="00AB6F99">
        <w:tc>
          <w:tcPr>
            <w:tcW w:w="9356" w:type="dxa"/>
            <w:gridSpan w:val="3"/>
            <w:tcBorders>
              <w:top w:val="outset" w:sz="6" w:space="0" w:color="auto"/>
              <w:left w:val="outset" w:sz="6" w:space="0" w:color="auto"/>
              <w:bottom w:val="outset" w:sz="6" w:space="0" w:color="auto"/>
              <w:right w:val="outset" w:sz="6" w:space="0" w:color="auto"/>
            </w:tcBorders>
            <w:vAlign w:val="center"/>
          </w:tcPr>
          <w:p w:rsidR="00AB6F99" w:rsidRPr="00D6388C" w:rsidRDefault="00AB6F99" w:rsidP="005F27BF">
            <w:pPr>
              <w:jc w:val="center"/>
              <w:rPr>
                <w:b/>
              </w:rPr>
            </w:pPr>
            <w:r w:rsidRPr="00D6388C">
              <w:rPr>
                <w:b/>
              </w:rPr>
              <w:t>V. Tiesību akta projekta atbilstība Latvijas Republikas starptautiskajām saistībām</w:t>
            </w:r>
          </w:p>
        </w:tc>
      </w:tr>
      <w:tr w:rsidR="00AB6F99" w:rsidRPr="00863C25" w:rsidTr="00AB6F99">
        <w:tc>
          <w:tcPr>
            <w:tcW w:w="568" w:type="dxa"/>
            <w:tcBorders>
              <w:top w:val="outset" w:sz="6" w:space="0" w:color="auto"/>
              <w:left w:val="outset" w:sz="6" w:space="0" w:color="auto"/>
              <w:bottom w:val="outset" w:sz="6" w:space="0" w:color="auto"/>
              <w:right w:val="outset" w:sz="6" w:space="0" w:color="auto"/>
            </w:tcBorders>
          </w:tcPr>
          <w:p w:rsidR="00AB6F99" w:rsidRPr="00D6388C" w:rsidRDefault="00AB6F99" w:rsidP="005F27BF">
            <w:pPr>
              <w:ind w:left="57"/>
            </w:pPr>
            <w:r w:rsidRPr="00D6388C">
              <w:t>1.</w:t>
            </w:r>
          </w:p>
        </w:tc>
        <w:tc>
          <w:tcPr>
            <w:tcW w:w="3118" w:type="dxa"/>
            <w:tcBorders>
              <w:top w:val="outset" w:sz="6" w:space="0" w:color="auto"/>
              <w:left w:val="outset" w:sz="6" w:space="0" w:color="auto"/>
              <w:bottom w:val="outset" w:sz="6" w:space="0" w:color="auto"/>
              <w:right w:val="outset" w:sz="6" w:space="0" w:color="auto"/>
            </w:tcBorders>
          </w:tcPr>
          <w:p w:rsidR="00AB6F99" w:rsidRPr="00D6388C" w:rsidRDefault="00AB6F99" w:rsidP="005F27BF">
            <w:pPr>
              <w:ind w:left="57"/>
            </w:pPr>
            <w:r w:rsidRPr="00D6388C">
              <w:t>Saistības pret Eiropas Savienību</w:t>
            </w:r>
          </w:p>
        </w:tc>
        <w:tc>
          <w:tcPr>
            <w:tcW w:w="5670" w:type="dxa"/>
            <w:tcBorders>
              <w:top w:val="outset" w:sz="6" w:space="0" w:color="auto"/>
              <w:left w:val="outset" w:sz="6" w:space="0" w:color="auto"/>
              <w:bottom w:val="outset" w:sz="6" w:space="0" w:color="auto"/>
              <w:right w:val="outset" w:sz="6" w:space="0" w:color="auto"/>
            </w:tcBorders>
          </w:tcPr>
          <w:p w:rsidR="00AB6F99" w:rsidRDefault="00D6388C" w:rsidP="00D6388C">
            <w:pPr>
              <w:jc w:val="both"/>
            </w:pPr>
            <w:r>
              <w:t xml:space="preserve">1) </w:t>
            </w:r>
            <w:hyperlink r:id="rId8" w:tgtFrame="_blank" w:history="1">
              <w:r w:rsidRPr="00D6388C">
                <w:t>Eiropas Padomes regula (EK) Nr. 1083/2006, ar ko paredz vispārīgus noteikumus par Eiropas Reģionālās attīstības fondu, Eiropas Sociālo fondu un Kohēzijas fondu</w:t>
              </w:r>
            </w:hyperlink>
            <w:r w:rsidRPr="00D6388C">
              <w:t> (2006. g. 11. jūlijs)</w:t>
            </w:r>
            <w:r>
              <w:t>.</w:t>
            </w:r>
          </w:p>
          <w:p w:rsidR="00D6388C" w:rsidRPr="00D6388C" w:rsidRDefault="00D6388C" w:rsidP="00D6388C">
            <w:pPr>
              <w:jc w:val="both"/>
            </w:pPr>
            <w:r>
              <w:t xml:space="preserve">2) </w:t>
            </w:r>
            <w:hyperlink r:id="rId9" w:tgtFrame="_blank" w:history="1">
              <w:r w:rsidRPr="00D6388C">
                <w:t>Eiropas Komisijas regula (EK) Nr. 951/2007, kas paredz ieviešanas noteikumus Pārrobežu sadarbības programmām finansētām saskaņā ar Eiropas Parlamenta un Padomes regulu (EK) Nr. 1638/2006, ar ko paredz vispārējos noteikumus Eiropas kaimiņattiecību un partnerības instrumenta izveidošana</w:t>
              </w:r>
            </w:hyperlink>
            <w:hyperlink r:id="rId10" w:history="1">
              <w:r w:rsidRPr="00D6388C">
                <w:t>i</w:t>
              </w:r>
            </w:hyperlink>
            <w:r w:rsidRPr="00D6388C">
              <w:t>.</w:t>
            </w:r>
          </w:p>
        </w:tc>
      </w:tr>
      <w:tr w:rsidR="00AB6F99" w:rsidRPr="00863C25" w:rsidTr="00AB6F99">
        <w:tc>
          <w:tcPr>
            <w:tcW w:w="568" w:type="dxa"/>
            <w:tcBorders>
              <w:top w:val="outset" w:sz="6" w:space="0" w:color="auto"/>
              <w:left w:val="outset" w:sz="6" w:space="0" w:color="auto"/>
              <w:bottom w:val="outset" w:sz="6" w:space="0" w:color="auto"/>
              <w:right w:val="outset" w:sz="6" w:space="0" w:color="auto"/>
            </w:tcBorders>
          </w:tcPr>
          <w:p w:rsidR="00AB6F99" w:rsidRPr="00D6388C" w:rsidRDefault="00AB6F99" w:rsidP="005F27BF">
            <w:pPr>
              <w:ind w:left="57"/>
            </w:pPr>
            <w:r w:rsidRPr="00D6388C">
              <w:t>2.</w:t>
            </w:r>
          </w:p>
        </w:tc>
        <w:tc>
          <w:tcPr>
            <w:tcW w:w="3118" w:type="dxa"/>
            <w:tcBorders>
              <w:top w:val="outset" w:sz="6" w:space="0" w:color="auto"/>
              <w:left w:val="outset" w:sz="6" w:space="0" w:color="auto"/>
              <w:bottom w:val="outset" w:sz="6" w:space="0" w:color="auto"/>
              <w:right w:val="outset" w:sz="6" w:space="0" w:color="auto"/>
            </w:tcBorders>
          </w:tcPr>
          <w:p w:rsidR="00AB6F99" w:rsidRPr="00D6388C" w:rsidRDefault="00AB6F99" w:rsidP="005F27BF">
            <w:pPr>
              <w:ind w:left="57"/>
            </w:pPr>
            <w:r w:rsidRPr="00D6388C">
              <w:t>Citas starptautiskās saistības</w:t>
            </w:r>
          </w:p>
        </w:tc>
        <w:tc>
          <w:tcPr>
            <w:tcW w:w="5670" w:type="dxa"/>
            <w:tcBorders>
              <w:top w:val="outset" w:sz="6" w:space="0" w:color="auto"/>
              <w:left w:val="outset" w:sz="6" w:space="0" w:color="auto"/>
              <w:bottom w:val="outset" w:sz="6" w:space="0" w:color="auto"/>
              <w:right w:val="outset" w:sz="6" w:space="0" w:color="auto"/>
            </w:tcBorders>
          </w:tcPr>
          <w:p w:rsidR="00AB6F99" w:rsidRPr="00D6388C" w:rsidRDefault="00D6388C" w:rsidP="005F27BF">
            <w:pPr>
              <w:ind w:left="57"/>
            </w:pPr>
            <w:r w:rsidRPr="00D6388C">
              <w:t>Projekts šo jomu neskar.</w:t>
            </w:r>
          </w:p>
        </w:tc>
      </w:tr>
      <w:tr w:rsidR="00AB6F99" w:rsidRPr="00863C25" w:rsidTr="00AB6F99">
        <w:tc>
          <w:tcPr>
            <w:tcW w:w="568" w:type="dxa"/>
            <w:tcBorders>
              <w:top w:val="outset" w:sz="6" w:space="0" w:color="auto"/>
              <w:left w:val="outset" w:sz="6" w:space="0" w:color="auto"/>
              <w:bottom w:val="outset" w:sz="6" w:space="0" w:color="auto"/>
              <w:right w:val="outset" w:sz="6" w:space="0" w:color="auto"/>
            </w:tcBorders>
          </w:tcPr>
          <w:p w:rsidR="00AB6F99" w:rsidRPr="00D6388C" w:rsidRDefault="00AB6F99" w:rsidP="005F27BF">
            <w:pPr>
              <w:ind w:left="57"/>
            </w:pPr>
            <w:r w:rsidRPr="00D6388C">
              <w:t>3.</w:t>
            </w:r>
          </w:p>
        </w:tc>
        <w:tc>
          <w:tcPr>
            <w:tcW w:w="3118" w:type="dxa"/>
            <w:tcBorders>
              <w:top w:val="outset" w:sz="6" w:space="0" w:color="auto"/>
              <w:left w:val="outset" w:sz="6" w:space="0" w:color="auto"/>
              <w:bottom w:val="outset" w:sz="6" w:space="0" w:color="auto"/>
              <w:right w:val="outset" w:sz="6" w:space="0" w:color="auto"/>
            </w:tcBorders>
          </w:tcPr>
          <w:p w:rsidR="00AB6F99" w:rsidRPr="00D6388C" w:rsidRDefault="00AB6F99" w:rsidP="005F27BF">
            <w:pPr>
              <w:ind w:left="57"/>
            </w:pPr>
            <w:r w:rsidRPr="00D6388C">
              <w:t>Cita informācija</w:t>
            </w:r>
          </w:p>
        </w:tc>
        <w:tc>
          <w:tcPr>
            <w:tcW w:w="5670" w:type="dxa"/>
            <w:tcBorders>
              <w:top w:val="outset" w:sz="6" w:space="0" w:color="auto"/>
              <w:left w:val="outset" w:sz="6" w:space="0" w:color="auto"/>
              <w:bottom w:val="outset" w:sz="6" w:space="0" w:color="auto"/>
              <w:right w:val="outset" w:sz="6" w:space="0" w:color="auto"/>
            </w:tcBorders>
          </w:tcPr>
          <w:p w:rsidR="00AB6F99" w:rsidRPr="00D6388C" w:rsidRDefault="00D6388C" w:rsidP="005F27BF">
            <w:pPr>
              <w:ind w:left="57"/>
            </w:pPr>
            <w:r w:rsidRPr="00D6388C">
              <w:t>Nav</w:t>
            </w:r>
          </w:p>
        </w:tc>
      </w:tr>
    </w:tbl>
    <w:p w:rsidR="00AB6F99" w:rsidRPr="00863C25" w:rsidRDefault="00AB6F99" w:rsidP="00AB6F99">
      <w:pPr>
        <w:rPr>
          <w:highlight w:val="yellow"/>
        </w:rPr>
      </w:pPr>
    </w:p>
    <w:p w:rsidR="00AB6F99" w:rsidRPr="00863C25" w:rsidRDefault="00AB6F99" w:rsidP="00AB6F99">
      <w:pPr>
        <w:rPr>
          <w:sz w:val="2"/>
          <w:szCs w:val="2"/>
          <w:highlight w:val="yellow"/>
        </w:rPr>
      </w:pPr>
    </w:p>
    <w:tbl>
      <w:tblPr>
        <w:tblW w:w="9356" w:type="dxa"/>
        <w:tblInd w:w="-256"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2049"/>
        <w:gridCol w:w="59"/>
        <w:gridCol w:w="1840"/>
        <w:gridCol w:w="12"/>
        <w:gridCol w:w="2698"/>
        <w:gridCol w:w="21"/>
        <w:gridCol w:w="2677"/>
      </w:tblGrid>
      <w:tr w:rsidR="00AB6F99" w:rsidRPr="00863C25" w:rsidTr="00A41831">
        <w:trPr>
          <w:cantSplit/>
          <w:trHeight w:val="523"/>
        </w:trPr>
        <w:tc>
          <w:tcPr>
            <w:tcW w:w="9356" w:type="dxa"/>
            <w:gridSpan w:val="7"/>
            <w:tcBorders>
              <w:top w:val="outset" w:sz="6" w:space="0" w:color="auto"/>
              <w:left w:val="outset" w:sz="6" w:space="0" w:color="auto"/>
              <w:bottom w:val="outset" w:sz="6" w:space="0" w:color="auto"/>
              <w:right w:val="outset" w:sz="6" w:space="0" w:color="auto"/>
            </w:tcBorders>
            <w:vAlign w:val="center"/>
          </w:tcPr>
          <w:p w:rsidR="00AB6F99" w:rsidRPr="00C97AE8" w:rsidRDefault="00AB6F99" w:rsidP="005F27BF">
            <w:pPr>
              <w:ind w:left="57"/>
              <w:jc w:val="center"/>
              <w:rPr>
                <w:b/>
              </w:rPr>
            </w:pPr>
            <w:r w:rsidRPr="00C97AE8">
              <w:rPr>
                <w:b/>
              </w:rPr>
              <w:t>1.tabula</w:t>
            </w:r>
          </w:p>
          <w:p w:rsidR="00AB6F99" w:rsidRPr="00863C25" w:rsidRDefault="00AB6F99" w:rsidP="005F27BF">
            <w:pPr>
              <w:ind w:left="57"/>
              <w:jc w:val="center"/>
              <w:rPr>
                <w:highlight w:val="yellow"/>
              </w:rPr>
            </w:pPr>
            <w:r w:rsidRPr="00C97AE8">
              <w:rPr>
                <w:b/>
              </w:rPr>
              <w:t>Tiesību akta projekta atbilstība ES tiesību aktiem</w:t>
            </w:r>
          </w:p>
        </w:tc>
      </w:tr>
      <w:tr w:rsidR="00AB6F99" w:rsidRPr="00863C25" w:rsidTr="00A41831">
        <w:trPr>
          <w:cantSplit/>
        </w:trPr>
        <w:tc>
          <w:tcPr>
            <w:tcW w:w="2108" w:type="dxa"/>
            <w:gridSpan w:val="2"/>
            <w:tcBorders>
              <w:top w:val="outset" w:sz="6" w:space="0" w:color="auto"/>
              <w:left w:val="outset" w:sz="6" w:space="0" w:color="auto"/>
              <w:bottom w:val="outset" w:sz="6" w:space="0" w:color="auto"/>
              <w:right w:val="outset" w:sz="6" w:space="0" w:color="auto"/>
            </w:tcBorders>
          </w:tcPr>
          <w:p w:rsidR="00AB6F99" w:rsidRPr="00863C25" w:rsidRDefault="00AB6F99" w:rsidP="005F27BF">
            <w:pPr>
              <w:ind w:left="57"/>
              <w:rPr>
                <w:highlight w:val="yellow"/>
              </w:rPr>
            </w:pPr>
            <w:r w:rsidRPr="00C97AE8">
              <w:t>Attiecīgā ES tiesību akta datums, numurs un nosaukums</w:t>
            </w:r>
          </w:p>
        </w:tc>
        <w:tc>
          <w:tcPr>
            <w:tcW w:w="7248" w:type="dxa"/>
            <w:gridSpan w:val="5"/>
            <w:tcBorders>
              <w:top w:val="outset" w:sz="6" w:space="0" w:color="auto"/>
              <w:left w:val="outset" w:sz="6" w:space="0" w:color="auto"/>
              <w:bottom w:val="outset" w:sz="6" w:space="0" w:color="auto"/>
              <w:right w:val="outset" w:sz="6" w:space="0" w:color="auto"/>
            </w:tcBorders>
          </w:tcPr>
          <w:p w:rsidR="00C97AE8" w:rsidRDefault="00C97AE8" w:rsidP="00C97AE8">
            <w:pPr>
              <w:jc w:val="both"/>
            </w:pPr>
            <w:r>
              <w:t xml:space="preserve">1) </w:t>
            </w:r>
            <w:hyperlink r:id="rId11" w:tgtFrame="_blank" w:history="1">
              <w:r w:rsidRPr="00D6388C">
                <w:t>Eiropas Padomes regula (EK) Nr. 1083/2006, ar ko paredz vispārīgus noteikumus par Eiropas Reģionālās attīstības fondu, Eiropas Sociālo fondu un Kohēzijas fondu</w:t>
              </w:r>
            </w:hyperlink>
            <w:r w:rsidRPr="00D6388C">
              <w:t> (2006. g. 11. jūlijs)</w:t>
            </w:r>
            <w:r>
              <w:t>.</w:t>
            </w:r>
          </w:p>
          <w:p w:rsidR="00AB6F99" w:rsidRPr="00863C25" w:rsidRDefault="00C97AE8" w:rsidP="00C97AE8">
            <w:pPr>
              <w:ind w:left="57"/>
              <w:rPr>
                <w:highlight w:val="yellow"/>
              </w:rPr>
            </w:pPr>
            <w:r>
              <w:t xml:space="preserve">2) </w:t>
            </w:r>
            <w:hyperlink r:id="rId12" w:tgtFrame="_blank" w:history="1">
              <w:r w:rsidRPr="00D6388C">
                <w:t>Eiropas Komisijas regula (EK) Nr. 951/2007, kas paredz ieviešanas noteikumus Pārrobežu sadarbības programmām finansētām saskaņā ar Eiropas Parlamenta un Padomes regulu (EK) Nr. 1638/2006, ar ko paredz vispārējos noteikumus Eiropas kaimiņattiecību un partnerības instrumenta izveidošana</w:t>
              </w:r>
            </w:hyperlink>
          </w:p>
        </w:tc>
      </w:tr>
      <w:tr w:rsidR="00AB6F99" w:rsidRPr="00863C25" w:rsidTr="00A41831">
        <w:trPr>
          <w:cantSplit/>
        </w:trPr>
        <w:tc>
          <w:tcPr>
            <w:tcW w:w="2108" w:type="dxa"/>
            <w:gridSpan w:val="2"/>
            <w:tcBorders>
              <w:top w:val="outset" w:sz="6" w:space="0" w:color="auto"/>
              <w:left w:val="outset" w:sz="6" w:space="0" w:color="auto"/>
              <w:bottom w:val="outset" w:sz="6" w:space="0" w:color="auto"/>
              <w:right w:val="outset" w:sz="6" w:space="0" w:color="auto"/>
            </w:tcBorders>
            <w:vAlign w:val="center"/>
          </w:tcPr>
          <w:p w:rsidR="00AB6F99" w:rsidRPr="00D82BF6" w:rsidRDefault="00AB6F99" w:rsidP="005F27BF">
            <w:pPr>
              <w:ind w:left="57"/>
              <w:jc w:val="center"/>
            </w:pPr>
            <w:r w:rsidRPr="00D82BF6">
              <w:t>A</w:t>
            </w:r>
          </w:p>
        </w:tc>
        <w:tc>
          <w:tcPr>
            <w:tcW w:w="1852" w:type="dxa"/>
            <w:gridSpan w:val="2"/>
            <w:tcBorders>
              <w:top w:val="outset" w:sz="6" w:space="0" w:color="auto"/>
              <w:left w:val="outset" w:sz="6" w:space="0" w:color="auto"/>
              <w:bottom w:val="outset" w:sz="6" w:space="0" w:color="auto"/>
              <w:right w:val="outset" w:sz="6" w:space="0" w:color="auto"/>
            </w:tcBorders>
            <w:vAlign w:val="center"/>
          </w:tcPr>
          <w:p w:rsidR="00AB6F99" w:rsidRPr="00D82BF6" w:rsidRDefault="00AB6F99" w:rsidP="005F27BF">
            <w:pPr>
              <w:ind w:left="57"/>
              <w:jc w:val="center"/>
            </w:pPr>
            <w:r w:rsidRPr="00D82BF6">
              <w:t>B</w:t>
            </w:r>
          </w:p>
        </w:tc>
        <w:tc>
          <w:tcPr>
            <w:tcW w:w="2719" w:type="dxa"/>
            <w:gridSpan w:val="2"/>
            <w:tcBorders>
              <w:top w:val="outset" w:sz="6" w:space="0" w:color="auto"/>
              <w:left w:val="outset" w:sz="6" w:space="0" w:color="auto"/>
              <w:bottom w:val="outset" w:sz="6" w:space="0" w:color="auto"/>
              <w:right w:val="outset" w:sz="6" w:space="0" w:color="auto"/>
            </w:tcBorders>
            <w:vAlign w:val="center"/>
          </w:tcPr>
          <w:p w:rsidR="00AB6F99" w:rsidRPr="00D82BF6" w:rsidRDefault="00AB6F99" w:rsidP="005F27BF">
            <w:pPr>
              <w:ind w:left="57"/>
              <w:jc w:val="center"/>
            </w:pPr>
            <w:r w:rsidRPr="00D82BF6">
              <w:t>C</w:t>
            </w:r>
          </w:p>
        </w:tc>
        <w:tc>
          <w:tcPr>
            <w:tcW w:w="2677" w:type="dxa"/>
            <w:tcBorders>
              <w:top w:val="outset" w:sz="6" w:space="0" w:color="auto"/>
              <w:left w:val="outset" w:sz="6" w:space="0" w:color="auto"/>
              <w:bottom w:val="outset" w:sz="6" w:space="0" w:color="auto"/>
              <w:right w:val="outset" w:sz="6" w:space="0" w:color="auto"/>
            </w:tcBorders>
            <w:vAlign w:val="center"/>
          </w:tcPr>
          <w:p w:rsidR="00AB6F99" w:rsidRPr="00863C25" w:rsidRDefault="00AB6F99" w:rsidP="005F27BF">
            <w:pPr>
              <w:ind w:left="57"/>
              <w:jc w:val="center"/>
              <w:rPr>
                <w:highlight w:val="yellow"/>
              </w:rPr>
            </w:pPr>
            <w:r w:rsidRPr="00D82BF6">
              <w:t>D</w:t>
            </w:r>
          </w:p>
        </w:tc>
      </w:tr>
      <w:tr w:rsidR="00D82BF6" w:rsidRPr="00FC1C90" w:rsidTr="00A41831">
        <w:tblPrEx>
          <w:tblCellSpacing w:w="0" w:type="dxa"/>
          <w:tblCellMar>
            <w:top w:w="0" w:type="dxa"/>
            <w:left w:w="0" w:type="dxa"/>
            <w:bottom w:w="0" w:type="dxa"/>
            <w:right w:w="0" w:type="dxa"/>
          </w:tblCellMar>
          <w:tblLook w:val="0000"/>
        </w:tblPrEx>
        <w:trPr>
          <w:trHeight w:val="339"/>
          <w:tblCellSpacing w:w="0" w:type="dxa"/>
        </w:trPr>
        <w:tc>
          <w:tcPr>
            <w:tcW w:w="2049" w:type="dxa"/>
            <w:tcBorders>
              <w:top w:val="outset" w:sz="6" w:space="0" w:color="auto"/>
              <w:left w:val="outset" w:sz="6" w:space="0" w:color="auto"/>
              <w:bottom w:val="outset" w:sz="6" w:space="0" w:color="auto"/>
              <w:right w:val="outset" w:sz="6" w:space="0" w:color="auto"/>
            </w:tcBorders>
          </w:tcPr>
          <w:p w:rsidR="00D82BF6" w:rsidRPr="00FC1C90" w:rsidRDefault="00D82BF6" w:rsidP="005F27BF">
            <w:pPr>
              <w:pStyle w:val="naiskr"/>
              <w:jc w:val="both"/>
            </w:pPr>
            <w:r w:rsidRPr="00FC1C90">
              <w:t>Attiecīgā ES tiesību akta panta numurs (uzskaitot katru tiesību akta vienību – pantu, daļu, punktu, apakšpunktu)</w:t>
            </w:r>
          </w:p>
        </w:tc>
        <w:tc>
          <w:tcPr>
            <w:tcW w:w="1899" w:type="dxa"/>
            <w:gridSpan w:val="2"/>
            <w:tcBorders>
              <w:top w:val="outset" w:sz="6" w:space="0" w:color="auto"/>
              <w:left w:val="outset" w:sz="6" w:space="0" w:color="auto"/>
              <w:bottom w:val="outset" w:sz="6" w:space="0" w:color="auto"/>
              <w:right w:val="outset" w:sz="6" w:space="0" w:color="auto"/>
            </w:tcBorders>
          </w:tcPr>
          <w:p w:rsidR="00D82BF6" w:rsidRPr="00FC1C90" w:rsidRDefault="00D82BF6" w:rsidP="005F27BF">
            <w:pPr>
              <w:pStyle w:val="naiskr"/>
              <w:ind w:left="170" w:right="129"/>
              <w:jc w:val="both"/>
            </w:pPr>
            <w:r w:rsidRPr="00FC1C90">
              <w:t>Projekta vienība, kas pārņem vai ievieš katru šīs tabulas A ailē minēto ES tiesību akta vienību, vai tiesību akts, kur attiecīgā ES tiesību akta vienība pārņemta vai ieviesta</w:t>
            </w:r>
          </w:p>
        </w:tc>
        <w:tc>
          <w:tcPr>
            <w:tcW w:w="2710" w:type="dxa"/>
            <w:gridSpan w:val="2"/>
            <w:tcBorders>
              <w:top w:val="outset" w:sz="6" w:space="0" w:color="auto"/>
              <w:left w:val="outset" w:sz="6" w:space="0" w:color="auto"/>
              <w:bottom w:val="outset" w:sz="6" w:space="0" w:color="auto"/>
              <w:right w:val="outset" w:sz="6" w:space="0" w:color="auto"/>
            </w:tcBorders>
          </w:tcPr>
          <w:p w:rsidR="00D82BF6" w:rsidRPr="00FC1C90" w:rsidRDefault="00D82BF6" w:rsidP="005F27BF">
            <w:pPr>
              <w:pStyle w:val="naiskr"/>
              <w:ind w:left="130" w:right="127" w:firstLine="142"/>
              <w:jc w:val="both"/>
            </w:pPr>
            <w:r w:rsidRPr="00FC1C90">
              <w:t xml:space="preserve">Informācija par to, vai šīs tabulas A ailē minētās ES tiesību akta vienības tiek pārņemtas vai ieviestas pilnībā vai daļēji. </w:t>
            </w:r>
          </w:p>
          <w:p w:rsidR="00D82BF6" w:rsidRPr="00FC1C90" w:rsidRDefault="00D82BF6" w:rsidP="005F27BF">
            <w:pPr>
              <w:pStyle w:val="naiskr"/>
              <w:ind w:left="130" w:right="127" w:firstLine="142"/>
              <w:jc w:val="both"/>
            </w:pPr>
            <w:r w:rsidRPr="00FC1C90">
              <w:t>Ja attiecīgā ES tiesību akta vienība tiek pārņemta vai ieviesta daļēji, sniedz attiecīgu skaidrojumu, kā arī precīzi norāda, kad un kādā veidā ES tiesību akta vienība tiks pārņemta vai ieviesta pilnībā.</w:t>
            </w:r>
          </w:p>
          <w:p w:rsidR="00D82BF6" w:rsidRPr="00FC1C90" w:rsidRDefault="00D82BF6" w:rsidP="005F27BF">
            <w:pPr>
              <w:pStyle w:val="naiskr"/>
              <w:ind w:left="130" w:right="127" w:firstLine="142"/>
              <w:jc w:val="both"/>
            </w:pPr>
            <w:r w:rsidRPr="00FC1C90">
              <w:t>Norāda institūciju, kas ir atbildīga par šo saistību izpildi pilnībā</w:t>
            </w:r>
          </w:p>
        </w:tc>
        <w:tc>
          <w:tcPr>
            <w:tcW w:w="2698" w:type="dxa"/>
            <w:gridSpan w:val="2"/>
            <w:tcBorders>
              <w:top w:val="outset" w:sz="6" w:space="0" w:color="auto"/>
              <w:left w:val="outset" w:sz="6" w:space="0" w:color="auto"/>
              <w:bottom w:val="outset" w:sz="6" w:space="0" w:color="auto"/>
              <w:right w:val="outset" w:sz="6" w:space="0" w:color="auto"/>
            </w:tcBorders>
          </w:tcPr>
          <w:p w:rsidR="00D82BF6" w:rsidRPr="00FC1C90" w:rsidRDefault="00D82BF6" w:rsidP="005F27BF">
            <w:pPr>
              <w:pStyle w:val="naiskr"/>
              <w:ind w:left="130" w:right="127" w:firstLine="142"/>
              <w:jc w:val="both"/>
            </w:pPr>
            <w:r w:rsidRPr="00FC1C90">
              <w:t xml:space="preserve">Informācija par to, vai šīs tabulas B ailē minētās projekta vienības paredz stingrākas prasības nekā šīs tabulas A ailē minētās ES tiesību akta vienības. </w:t>
            </w:r>
          </w:p>
          <w:p w:rsidR="00D82BF6" w:rsidRPr="00FC1C90" w:rsidRDefault="00D82BF6" w:rsidP="005F27BF">
            <w:pPr>
              <w:pStyle w:val="naiskr"/>
              <w:ind w:left="130" w:right="127" w:firstLine="142"/>
              <w:jc w:val="both"/>
            </w:pPr>
            <w:r w:rsidRPr="00FC1C90">
              <w:t>Ja projekts satur stingrākas prasības nekā attiecīgais ES tiesību akts, norāda pamatojumu un samērīgumu.</w:t>
            </w:r>
          </w:p>
          <w:p w:rsidR="00D82BF6" w:rsidRPr="00FC1C90" w:rsidRDefault="00D82BF6" w:rsidP="005F27BF">
            <w:pPr>
              <w:pStyle w:val="naiskr"/>
              <w:ind w:left="130" w:right="127" w:firstLine="142"/>
              <w:jc w:val="both"/>
            </w:pPr>
            <w:r w:rsidRPr="00FC1C90">
              <w:t xml:space="preserve">Norāda iespējamās alternatīvas (t.sk. alternatīvas, kas neparedz tiesiskā regulējuma izstrādi) – </w:t>
            </w:r>
            <w:r w:rsidRPr="00FC1C90">
              <w:lastRenderedPageBreak/>
              <w:t>kādos gadījumos būtu iespējams izvairīties no stingrāku prasību noteikšanas, nekā paredzēts attiecīgajos ES tiesību aktos</w:t>
            </w:r>
          </w:p>
        </w:tc>
      </w:tr>
      <w:tr w:rsidR="00D82BF6" w:rsidRPr="00863C25" w:rsidTr="00A41831">
        <w:trPr>
          <w:cantSplit/>
          <w:trHeight w:val="2068"/>
        </w:trPr>
        <w:tc>
          <w:tcPr>
            <w:tcW w:w="2108" w:type="dxa"/>
            <w:gridSpan w:val="2"/>
            <w:tcBorders>
              <w:top w:val="outset" w:sz="6" w:space="0" w:color="auto"/>
              <w:left w:val="outset" w:sz="6" w:space="0" w:color="auto"/>
              <w:bottom w:val="outset" w:sz="6" w:space="0" w:color="auto"/>
              <w:right w:val="outset" w:sz="6" w:space="0" w:color="auto"/>
            </w:tcBorders>
          </w:tcPr>
          <w:p w:rsidR="00D82BF6" w:rsidRPr="00C97AE8" w:rsidRDefault="00487841" w:rsidP="00980B95">
            <w:pPr>
              <w:pStyle w:val="ListParagraph"/>
              <w:numPr>
                <w:ilvl w:val="0"/>
                <w:numId w:val="7"/>
              </w:numPr>
              <w:tabs>
                <w:tab w:val="left" w:pos="256"/>
              </w:tabs>
              <w:spacing w:after="0" w:line="240" w:lineRule="auto"/>
              <w:ind w:left="0" w:firstLine="0"/>
              <w:rPr>
                <w:rFonts w:ascii="Times New Roman" w:hAnsi="Times New Roman"/>
                <w:sz w:val="24"/>
                <w:szCs w:val="24"/>
              </w:rPr>
            </w:pPr>
            <w:hyperlink r:id="rId13" w:tgtFrame="_blank" w:history="1">
              <w:r w:rsidR="00D82BF6" w:rsidRPr="00C97AE8">
                <w:rPr>
                  <w:rFonts w:ascii="Times New Roman" w:hAnsi="Times New Roman"/>
                  <w:sz w:val="24"/>
                  <w:szCs w:val="24"/>
                </w:rPr>
                <w:t>Eiropas Padomes regulas (EK) Nr. 1083/2006</w:t>
              </w:r>
            </w:hyperlink>
            <w:r w:rsidR="00D82BF6" w:rsidRPr="00C97AE8">
              <w:rPr>
                <w:rFonts w:ascii="Times New Roman" w:hAnsi="Times New Roman"/>
                <w:sz w:val="24"/>
                <w:szCs w:val="24"/>
              </w:rPr>
              <w:t xml:space="preserve"> 53.panta 3.punkts.</w:t>
            </w:r>
          </w:p>
          <w:p w:rsidR="00D82BF6" w:rsidRDefault="00D82BF6" w:rsidP="00980B95">
            <w:pPr>
              <w:spacing w:after="120"/>
              <w:ind w:left="57"/>
            </w:pPr>
          </w:p>
          <w:p w:rsidR="00D82BF6" w:rsidRPr="00863C25" w:rsidRDefault="00D82BF6" w:rsidP="00980B95">
            <w:pPr>
              <w:spacing w:after="120"/>
              <w:ind w:left="57"/>
              <w:rPr>
                <w:spacing w:val="-3"/>
                <w:highlight w:val="yellow"/>
              </w:rPr>
            </w:pPr>
            <w:r>
              <w:t>2) Eiropas Komisijas regulas (EK) Nr.951/2007 20.panta 1.punkts.</w:t>
            </w:r>
            <w:r w:rsidRPr="00863C25">
              <w:rPr>
                <w:spacing w:val="-3"/>
                <w:highlight w:val="yellow"/>
              </w:rPr>
              <w:t xml:space="preserve"> </w:t>
            </w:r>
          </w:p>
        </w:tc>
        <w:tc>
          <w:tcPr>
            <w:tcW w:w="1852" w:type="dxa"/>
            <w:gridSpan w:val="2"/>
            <w:tcBorders>
              <w:top w:val="outset" w:sz="6" w:space="0" w:color="auto"/>
              <w:left w:val="outset" w:sz="6" w:space="0" w:color="auto"/>
              <w:bottom w:val="outset" w:sz="6" w:space="0" w:color="auto"/>
              <w:right w:val="outset" w:sz="6" w:space="0" w:color="auto"/>
            </w:tcBorders>
          </w:tcPr>
          <w:p w:rsidR="00D82BF6" w:rsidRPr="00A41831" w:rsidRDefault="00D82BF6" w:rsidP="00A41831">
            <w:pPr>
              <w:tabs>
                <w:tab w:val="left" w:pos="422"/>
              </w:tabs>
              <w:spacing w:after="120"/>
              <w:ind w:left="57" w:firstLine="76"/>
              <w:rPr>
                <w:spacing w:val="-3"/>
              </w:rPr>
            </w:pPr>
            <w:r w:rsidRPr="00A41831">
              <w:rPr>
                <w:spacing w:val="-3"/>
              </w:rPr>
              <w:t>1) Noteikumu projekta 6.un 7.punkts.</w:t>
            </w:r>
          </w:p>
          <w:p w:rsidR="00D82BF6" w:rsidRPr="00A41831" w:rsidRDefault="00D82BF6" w:rsidP="00A41831">
            <w:pPr>
              <w:tabs>
                <w:tab w:val="left" w:pos="422"/>
              </w:tabs>
              <w:spacing w:after="120"/>
              <w:ind w:left="57" w:firstLine="76"/>
              <w:rPr>
                <w:spacing w:val="-3"/>
              </w:rPr>
            </w:pPr>
          </w:p>
          <w:p w:rsidR="00D82BF6" w:rsidRPr="00A41831" w:rsidRDefault="00D82BF6" w:rsidP="00A41831">
            <w:pPr>
              <w:pStyle w:val="ListParagraph"/>
              <w:numPr>
                <w:ilvl w:val="0"/>
                <w:numId w:val="7"/>
              </w:numPr>
              <w:tabs>
                <w:tab w:val="left" w:pos="422"/>
              </w:tabs>
              <w:spacing w:after="120"/>
              <w:ind w:left="57" w:firstLine="76"/>
              <w:rPr>
                <w:rFonts w:ascii="Times New Roman" w:hAnsi="Times New Roman"/>
                <w:spacing w:val="-3"/>
                <w:sz w:val="24"/>
                <w:szCs w:val="24"/>
              </w:rPr>
            </w:pPr>
            <w:r w:rsidRPr="00A41831">
              <w:rPr>
                <w:rFonts w:ascii="Times New Roman" w:hAnsi="Times New Roman"/>
                <w:spacing w:val="-3"/>
                <w:sz w:val="24"/>
                <w:szCs w:val="24"/>
              </w:rPr>
              <w:t>Noteikumu projekta 8.punkts.</w:t>
            </w:r>
          </w:p>
          <w:p w:rsidR="00D82BF6" w:rsidRPr="00D82BF6" w:rsidRDefault="00D82BF6" w:rsidP="00980B95">
            <w:pPr>
              <w:spacing w:after="120"/>
              <w:ind w:left="57"/>
              <w:rPr>
                <w:spacing w:val="-3"/>
              </w:rPr>
            </w:pPr>
          </w:p>
          <w:p w:rsidR="00D82BF6" w:rsidRPr="00D82BF6" w:rsidRDefault="00D82BF6" w:rsidP="00980B95">
            <w:pPr>
              <w:spacing w:after="120"/>
              <w:ind w:left="57"/>
              <w:rPr>
                <w:spacing w:val="-3"/>
              </w:rPr>
            </w:pPr>
          </w:p>
        </w:tc>
        <w:tc>
          <w:tcPr>
            <w:tcW w:w="2719" w:type="dxa"/>
            <w:gridSpan w:val="2"/>
            <w:tcBorders>
              <w:top w:val="outset" w:sz="6" w:space="0" w:color="auto"/>
              <w:left w:val="outset" w:sz="6" w:space="0" w:color="auto"/>
              <w:bottom w:val="outset" w:sz="6" w:space="0" w:color="auto"/>
              <w:right w:val="outset" w:sz="6" w:space="0" w:color="auto"/>
            </w:tcBorders>
          </w:tcPr>
          <w:p w:rsidR="00A41831" w:rsidRPr="00A41831" w:rsidRDefault="00D82BF6" w:rsidP="00A41831">
            <w:pPr>
              <w:pStyle w:val="ListParagraph"/>
              <w:numPr>
                <w:ilvl w:val="0"/>
                <w:numId w:val="8"/>
              </w:numPr>
              <w:spacing w:after="0" w:line="240" w:lineRule="auto"/>
              <w:rPr>
                <w:spacing w:val="-3"/>
              </w:rPr>
            </w:pPr>
            <w:r w:rsidRPr="00D82BF6">
              <w:rPr>
                <w:rFonts w:ascii="Times New Roman" w:hAnsi="Times New Roman"/>
                <w:spacing w:val="-3"/>
                <w:sz w:val="24"/>
                <w:szCs w:val="24"/>
              </w:rPr>
              <w:t>53.panta 3.punkts tiek ieviests  pilnībā.</w:t>
            </w:r>
          </w:p>
          <w:p w:rsidR="00A41831" w:rsidRPr="00A41831" w:rsidRDefault="00A41831" w:rsidP="00A41831">
            <w:pPr>
              <w:pStyle w:val="ListParagraph"/>
              <w:spacing w:after="0" w:line="240" w:lineRule="auto"/>
              <w:ind w:left="417"/>
              <w:rPr>
                <w:spacing w:val="-3"/>
              </w:rPr>
            </w:pPr>
          </w:p>
          <w:p w:rsidR="00A41831" w:rsidRPr="00A41831" w:rsidRDefault="00A41831" w:rsidP="00A41831">
            <w:pPr>
              <w:rPr>
                <w:spacing w:val="-3"/>
              </w:rPr>
            </w:pPr>
          </w:p>
          <w:p w:rsidR="00D82BF6" w:rsidRPr="00D82BF6" w:rsidRDefault="00D82BF6" w:rsidP="00A41831">
            <w:pPr>
              <w:pStyle w:val="ListParagraph"/>
              <w:numPr>
                <w:ilvl w:val="0"/>
                <w:numId w:val="8"/>
              </w:numPr>
              <w:spacing w:after="0" w:line="240" w:lineRule="auto"/>
              <w:rPr>
                <w:spacing w:val="-3"/>
              </w:rPr>
            </w:pPr>
            <w:r w:rsidRPr="00D82BF6">
              <w:rPr>
                <w:rFonts w:ascii="Times New Roman" w:hAnsi="Times New Roman"/>
                <w:spacing w:val="-3"/>
                <w:sz w:val="24"/>
                <w:szCs w:val="24"/>
              </w:rPr>
              <w:t>20.panta 1.punkts  tiek ieviests  pilnībā.</w:t>
            </w:r>
          </w:p>
        </w:tc>
        <w:tc>
          <w:tcPr>
            <w:tcW w:w="2677" w:type="dxa"/>
            <w:tcBorders>
              <w:top w:val="outset" w:sz="6" w:space="0" w:color="auto"/>
              <w:left w:val="outset" w:sz="6" w:space="0" w:color="auto"/>
              <w:bottom w:val="outset" w:sz="6" w:space="0" w:color="auto"/>
              <w:right w:val="outset" w:sz="6" w:space="0" w:color="auto"/>
            </w:tcBorders>
          </w:tcPr>
          <w:p w:rsidR="00D82BF6" w:rsidRDefault="00D82BF6" w:rsidP="00980B95">
            <w:pPr>
              <w:spacing w:after="120"/>
              <w:ind w:left="57"/>
              <w:rPr>
                <w:spacing w:val="-3"/>
                <w:highlight w:val="yellow"/>
              </w:rPr>
            </w:pPr>
            <w:r>
              <w:t>Projekts neparedz stingrākas prasības.</w:t>
            </w:r>
          </w:p>
          <w:p w:rsidR="00D82BF6" w:rsidRPr="00863C25" w:rsidRDefault="00D82BF6" w:rsidP="00980B95">
            <w:pPr>
              <w:ind w:left="57"/>
              <w:rPr>
                <w:spacing w:val="-3"/>
                <w:highlight w:val="yellow"/>
              </w:rPr>
            </w:pPr>
          </w:p>
        </w:tc>
      </w:tr>
      <w:tr w:rsidR="00D82BF6" w:rsidRPr="00863C25" w:rsidTr="00A41831">
        <w:trPr>
          <w:cantSplit/>
          <w:trHeight w:val="281"/>
        </w:trPr>
        <w:tc>
          <w:tcPr>
            <w:tcW w:w="2108" w:type="dxa"/>
            <w:gridSpan w:val="2"/>
            <w:tcBorders>
              <w:top w:val="outset" w:sz="6" w:space="0" w:color="auto"/>
              <w:left w:val="outset" w:sz="6" w:space="0" w:color="auto"/>
              <w:bottom w:val="outset" w:sz="6" w:space="0" w:color="auto"/>
              <w:right w:val="outset" w:sz="6" w:space="0" w:color="auto"/>
            </w:tcBorders>
          </w:tcPr>
          <w:p w:rsidR="00D82BF6" w:rsidRPr="00A41831" w:rsidRDefault="00D82BF6" w:rsidP="005F27BF">
            <w:pPr>
              <w:ind w:left="57"/>
              <w:rPr>
                <w:spacing w:val="-3"/>
              </w:rPr>
            </w:pPr>
            <w:r w:rsidRPr="00A41831">
              <w:rPr>
                <w:spacing w:val="-3"/>
              </w:rPr>
              <w:t>Kā ir izmantota ES tiesību aktā paredzētā rīcības brīvība dalībvalstij pārņemt vai ieviest noteiktas ES tiesību akta normas?</w:t>
            </w:r>
          </w:p>
          <w:p w:rsidR="00D82BF6" w:rsidRPr="00A41831" w:rsidRDefault="00D82BF6" w:rsidP="005F27BF">
            <w:pPr>
              <w:ind w:left="57"/>
              <w:rPr>
                <w:spacing w:val="-3"/>
              </w:rPr>
            </w:pPr>
            <w:r w:rsidRPr="00A41831">
              <w:rPr>
                <w:spacing w:val="-3"/>
              </w:rPr>
              <w:t>Kādēļ?</w:t>
            </w:r>
          </w:p>
        </w:tc>
        <w:tc>
          <w:tcPr>
            <w:tcW w:w="7248" w:type="dxa"/>
            <w:gridSpan w:val="5"/>
            <w:tcBorders>
              <w:top w:val="outset" w:sz="6" w:space="0" w:color="auto"/>
              <w:left w:val="outset" w:sz="6" w:space="0" w:color="auto"/>
              <w:bottom w:val="outset" w:sz="6" w:space="0" w:color="auto"/>
              <w:right w:val="outset" w:sz="6" w:space="0" w:color="auto"/>
            </w:tcBorders>
          </w:tcPr>
          <w:p w:rsidR="00A41831" w:rsidRPr="00A41831" w:rsidRDefault="00A41831" w:rsidP="005F27BF">
            <w:pPr>
              <w:ind w:left="57"/>
            </w:pPr>
            <w:r w:rsidRPr="00A41831">
              <w:t xml:space="preserve">Lai mazinātu pārpratumus par projektu finansēšanas avotu proporcijām, kas ir jānodrošina </w:t>
            </w:r>
            <w:r w:rsidR="0008074F">
              <w:t xml:space="preserve">projekta daļai, kurā piedalās </w:t>
            </w:r>
            <w:r w:rsidRPr="00A41831">
              <w:t>programmu finansējuma saņēm</w:t>
            </w:r>
            <w:r w:rsidR="0008074F">
              <w:t>ēji</w:t>
            </w:r>
            <w:r w:rsidRPr="00A41831">
              <w:t xml:space="preserve"> no Latvijas Republikas</w:t>
            </w:r>
            <w:r w:rsidR="0008074F">
              <w:t>,</w:t>
            </w:r>
            <w:r w:rsidRPr="00A41831">
              <w:t xml:space="preserve"> ES tiesību aktu normas pārņemtas pilnībā.</w:t>
            </w:r>
          </w:p>
          <w:p w:rsidR="00A41831" w:rsidRPr="00A41831" w:rsidRDefault="00A41831" w:rsidP="005F27BF">
            <w:pPr>
              <w:ind w:left="57"/>
            </w:pPr>
          </w:p>
          <w:p w:rsidR="00D82BF6" w:rsidRPr="00A41831" w:rsidRDefault="00D82BF6" w:rsidP="005F27BF">
            <w:pPr>
              <w:ind w:left="57"/>
            </w:pPr>
          </w:p>
        </w:tc>
      </w:tr>
      <w:tr w:rsidR="00D82BF6" w:rsidRPr="00863C25" w:rsidTr="00A41831">
        <w:trPr>
          <w:cantSplit/>
          <w:trHeight w:val="913"/>
        </w:trPr>
        <w:tc>
          <w:tcPr>
            <w:tcW w:w="2108" w:type="dxa"/>
            <w:gridSpan w:val="2"/>
            <w:tcBorders>
              <w:top w:val="outset" w:sz="6" w:space="0" w:color="auto"/>
              <w:left w:val="outset" w:sz="6" w:space="0" w:color="auto"/>
              <w:bottom w:val="outset" w:sz="6" w:space="0" w:color="auto"/>
              <w:right w:val="outset" w:sz="6" w:space="0" w:color="auto"/>
            </w:tcBorders>
          </w:tcPr>
          <w:p w:rsidR="00D82BF6" w:rsidRPr="00863C25" w:rsidRDefault="00D82BF6" w:rsidP="005F27BF">
            <w:pPr>
              <w:ind w:left="57"/>
              <w:rPr>
                <w:spacing w:val="-3"/>
                <w:highlight w:val="yellow"/>
              </w:rPr>
            </w:pPr>
            <w:r w:rsidRPr="0008074F">
              <w:rPr>
                <w:spacing w:val="-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248" w:type="dxa"/>
            <w:gridSpan w:val="5"/>
            <w:tcBorders>
              <w:top w:val="outset" w:sz="6" w:space="0" w:color="auto"/>
              <w:left w:val="outset" w:sz="6" w:space="0" w:color="auto"/>
              <w:bottom w:val="outset" w:sz="6" w:space="0" w:color="auto"/>
              <w:right w:val="outset" w:sz="6" w:space="0" w:color="auto"/>
            </w:tcBorders>
          </w:tcPr>
          <w:p w:rsidR="00D82BF6" w:rsidRPr="00863C25" w:rsidRDefault="0008074F" w:rsidP="005F27BF">
            <w:pPr>
              <w:ind w:left="57"/>
              <w:rPr>
                <w:highlight w:val="yellow"/>
              </w:rPr>
            </w:pPr>
            <w:r>
              <w:t>Projekts šo jomu neskar.</w:t>
            </w:r>
          </w:p>
        </w:tc>
      </w:tr>
      <w:tr w:rsidR="00D82BF6" w:rsidRPr="00863C25" w:rsidTr="00A41831">
        <w:trPr>
          <w:cantSplit/>
          <w:trHeight w:val="579"/>
        </w:trPr>
        <w:tc>
          <w:tcPr>
            <w:tcW w:w="2108" w:type="dxa"/>
            <w:gridSpan w:val="2"/>
            <w:tcBorders>
              <w:top w:val="outset" w:sz="6" w:space="0" w:color="auto"/>
              <w:left w:val="outset" w:sz="6" w:space="0" w:color="auto"/>
              <w:bottom w:val="outset" w:sz="6" w:space="0" w:color="auto"/>
              <w:right w:val="outset" w:sz="6" w:space="0" w:color="auto"/>
            </w:tcBorders>
          </w:tcPr>
          <w:p w:rsidR="00D82BF6" w:rsidRPr="0008074F" w:rsidRDefault="00D82BF6" w:rsidP="005F27BF">
            <w:pPr>
              <w:ind w:left="57"/>
            </w:pPr>
            <w:r w:rsidRPr="0008074F">
              <w:t>Cita informācija</w:t>
            </w:r>
          </w:p>
        </w:tc>
        <w:tc>
          <w:tcPr>
            <w:tcW w:w="7248" w:type="dxa"/>
            <w:gridSpan w:val="5"/>
            <w:tcBorders>
              <w:top w:val="outset" w:sz="6" w:space="0" w:color="auto"/>
              <w:left w:val="outset" w:sz="6" w:space="0" w:color="auto"/>
              <w:bottom w:val="outset" w:sz="6" w:space="0" w:color="auto"/>
              <w:right w:val="outset" w:sz="6" w:space="0" w:color="auto"/>
            </w:tcBorders>
          </w:tcPr>
          <w:p w:rsidR="00D82BF6" w:rsidRPr="0008074F" w:rsidRDefault="0008074F" w:rsidP="005F27BF">
            <w:pPr>
              <w:ind w:left="57"/>
            </w:pPr>
            <w:r>
              <w:t>Nav</w:t>
            </w:r>
          </w:p>
        </w:tc>
      </w:tr>
    </w:tbl>
    <w:p w:rsidR="00AB6F99" w:rsidRPr="00863C25" w:rsidRDefault="00AB6F99" w:rsidP="00AB6F99">
      <w:pPr>
        <w:rPr>
          <w:highlight w:val="yellow"/>
        </w:rPr>
      </w:pPr>
    </w:p>
    <w:tbl>
      <w:tblPr>
        <w:tblW w:w="9356" w:type="dxa"/>
        <w:tblInd w:w="-256"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9356"/>
      </w:tblGrid>
      <w:tr w:rsidR="00AB6F99" w:rsidRPr="00863C25" w:rsidTr="00AB6F99">
        <w:trPr>
          <w:trHeight w:val="20"/>
        </w:trPr>
        <w:tc>
          <w:tcPr>
            <w:tcW w:w="9356" w:type="dxa"/>
            <w:tcBorders>
              <w:top w:val="outset" w:sz="6" w:space="0" w:color="auto"/>
              <w:left w:val="outset" w:sz="6" w:space="0" w:color="auto"/>
              <w:bottom w:val="outset" w:sz="6" w:space="0" w:color="auto"/>
              <w:right w:val="outset" w:sz="6" w:space="0" w:color="auto"/>
            </w:tcBorders>
            <w:vAlign w:val="center"/>
          </w:tcPr>
          <w:p w:rsidR="00AB6F99" w:rsidRPr="00C97AE8" w:rsidRDefault="00AB6F99" w:rsidP="005F27BF">
            <w:pPr>
              <w:ind w:left="57"/>
              <w:jc w:val="center"/>
              <w:rPr>
                <w:b/>
              </w:rPr>
            </w:pPr>
            <w:r w:rsidRPr="00C97AE8">
              <w:rPr>
                <w:b/>
              </w:rPr>
              <w:t>2.tabula</w:t>
            </w:r>
          </w:p>
          <w:p w:rsidR="00AB6F99" w:rsidRPr="00C97AE8" w:rsidRDefault="00AB6F99" w:rsidP="005F27BF">
            <w:pPr>
              <w:ind w:left="57"/>
              <w:jc w:val="center"/>
              <w:rPr>
                <w:b/>
              </w:rPr>
            </w:pPr>
            <w:r w:rsidRPr="00C97AE8">
              <w:rPr>
                <w:b/>
              </w:rPr>
              <w:t>Ar tiesību akta projektu izpildītās vai uzņemtās saistības, kas izriet no starptautiskajiem tiesību aktiem vai starptautiskas institūcijas vai organizācijas dokumentiem.</w:t>
            </w:r>
          </w:p>
          <w:p w:rsidR="00AB6F99" w:rsidRPr="00C97AE8" w:rsidRDefault="00AB6F99" w:rsidP="005F27BF">
            <w:pPr>
              <w:ind w:left="57"/>
              <w:jc w:val="center"/>
              <w:rPr>
                <w:b/>
              </w:rPr>
            </w:pPr>
            <w:r w:rsidRPr="00C97AE8">
              <w:rPr>
                <w:b/>
              </w:rPr>
              <w:lastRenderedPageBreak/>
              <w:t>Pasākumi šo saistību izpildei</w:t>
            </w:r>
          </w:p>
        </w:tc>
      </w:tr>
      <w:tr w:rsidR="00C97AE8" w:rsidRPr="00863C25" w:rsidTr="00AB6F99">
        <w:trPr>
          <w:trHeight w:val="20"/>
        </w:trPr>
        <w:tc>
          <w:tcPr>
            <w:tcW w:w="9356" w:type="dxa"/>
            <w:tcBorders>
              <w:top w:val="outset" w:sz="6" w:space="0" w:color="auto"/>
              <w:left w:val="outset" w:sz="6" w:space="0" w:color="auto"/>
              <w:bottom w:val="outset" w:sz="6" w:space="0" w:color="auto"/>
              <w:right w:val="outset" w:sz="6" w:space="0" w:color="auto"/>
            </w:tcBorders>
            <w:vAlign w:val="center"/>
          </w:tcPr>
          <w:p w:rsidR="00C97AE8" w:rsidRPr="00C97AE8" w:rsidRDefault="00C97AE8" w:rsidP="005F27BF">
            <w:pPr>
              <w:ind w:left="57"/>
              <w:jc w:val="center"/>
            </w:pPr>
            <w:r w:rsidRPr="00C97AE8">
              <w:lastRenderedPageBreak/>
              <w:t>Projekts šo jomu neskar.</w:t>
            </w:r>
          </w:p>
        </w:tc>
      </w:tr>
    </w:tbl>
    <w:p w:rsidR="00AB6F99" w:rsidRDefault="00AB6F99" w:rsidP="00AB6F99">
      <w:pPr>
        <w:jc w:val="both"/>
        <w:rPr>
          <w:b/>
        </w:rPr>
      </w:pPr>
    </w:p>
    <w:p w:rsidR="00AB6F99" w:rsidRDefault="00AB6F99" w:rsidP="00AB6F99">
      <w:pPr>
        <w:jc w:val="both"/>
        <w:rPr>
          <w:b/>
        </w:rPr>
      </w:pPr>
      <w:r>
        <w:rPr>
          <w:b/>
        </w:rPr>
        <w:t>Anotācijas VI sadaļa – Ministru kabineta noteikumu projekts šo jomu neskar.</w:t>
      </w:r>
    </w:p>
    <w:p w:rsidR="00AB6F99" w:rsidRDefault="00AB6F99" w:rsidP="00B22BC5">
      <w:pPr>
        <w:rPr>
          <w:i/>
          <w:iCs/>
          <w:lang w:eastAsia="en-US"/>
        </w:rPr>
      </w:pPr>
    </w:p>
    <w:p w:rsidR="002C41F6" w:rsidRPr="00292FAE" w:rsidRDefault="002C41F6" w:rsidP="00B22BC5">
      <w:pPr>
        <w:rPr>
          <w:i/>
          <w:iCs/>
          <w:lang w:eastAsia="en-US"/>
        </w:rPr>
      </w:pPr>
    </w:p>
    <w:tbl>
      <w:tblPr>
        <w:tblW w:w="9356" w:type="dxa"/>
        <w:tblCellSpacing w:w="0" w:type="dxa"/>
        <w:tblInd w:w="-212"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tblPr>
      <w:tblGrid>
        <w:gridCol w:w="567"/>
        <w:gridCol w:w="2694"/>
        <w:gridCol w:w="6095"/>
      </w:tblGrid>
      <w:tr w:rsidR="00EE48CB" w:rsidRPr="00292FAE" w:rsidTr="0079311E">
        <w:trPr>
          <w:tblCellSpacing w:w="0" w:type="dxa"/>
        </w:trPr>
        <w:tc>
          <w:tcPr>
            <w:tcW w:w="9356" w:type="dxa"/>
            <w:gridSpan w:val="3"/>
            <w:tcBorders>
              <w:top w:val="outset" w:sz="6" w:space="0" w:color="auto"/>
              <w:left w:val="outset" w:sz="6" w:space="0" w:color="auto"/>
              <w:bottom w:val="outset" w:sz="6" w:space="0" w:color="auto"/>
              <w:right w:val="outset" w:sz="6" w:space="0" w:color="auto"/>
            </w:tcBorders>
          </w:tcPr>
          <w:p w:rsidR="00EE48CB" w:rsidRPr="00292FAE" w:rsidRDefault="00EE48CB" w:rsidP="00B22BC5">
            <w:pPr>
              <w:jc w:val="center"/>
            </w:pPr>
            <w:r w:rsidRPr="00292FAE">
              <w:rPr>
                <w:b/>
                <w:bCs/>
              </w:rPr>
              <w:t xml:space="preserve"> VII. Tiesību </w:t>
            </w:r>
            <w:smartTag w:uri="schemas-tilde-lv/tildestengine" w:element="veidnes">
              <w:smartTagPr>
                <w:attr w:name="baseform" w:val="akt|s"/>
                <w:attr w:name="id" w:val="-1"/>
                <w:attr w:name="text" w:val="akta"/>
              </w:smartTagPr>
              <w:r w:rsidRPr="00292FAE">
                <w:rPr>
                  <w:b/>
                  <w:bCs/>
                </w:rPr>
                <w:t>akta</w:t>
              </w:r>
            </w:smartTag>
            <w:r w:rsidRPr="00292FAE">
              <w:rPr>
                <w:b/>
                <w:bCs/>
              </w:rPr>
              <w:t xml:space="preserve"> projekta izpildes nodrošināšana un tās ietekme uz institūcijām</w:t>
            </w:r>
          </w:p>
        </w:tc>
      </w:tr>
      <w:tr w:rsidR="00EE48CB" w:rsidRPr="00292FAE" w:rsidTr="0079311E">
        <w:trPr>
          <w:trHeight w:val="427"/>
          <w:tblCellSpacing w:w="0" w:type="dxa"/>
        </w:trPr>
        <w:tc>
          <w:tcPr>
            <w:tcW w:w="567" w:type="dxa"/>
            <w:tcBorders>
              <w:top w:val="outset" w:sz="6" w:space="0" w:color="auto"/>
              <w:left w:val="outset" w:sz="6" w:space="0" w:color="auto"/>
              <w:bottom w:val="outset" w:sz="6" w:space="0" w:color="auto"/>
              <w:right w:val="outset" w:sz="6" w:space="0" w:color="auto"/>
            </w:tcBorders>
          </w:tcPr>
          <w:p w:rsidR="00EE48CB" w:rsidRPr="00292FAE" w:rsidRDefault="00EE48CB" w:rsidP="00B22BC5">
            <w:r w:rsidRPr="00292FAE">
              <w:t> 1.</w:t>
            </w:r>
          </w:p>
        </w:tc>
        <w:tc>
          <w:tcPr>
            <w:tcW w:w="2694" w:type="dxa"/>
            <w:tcBorders>
              <w:top w:val="outset" w:sz="6" w:space="0" w:color="auto"/>
              <w:left w:val="outset" w:sz="6" w:space="0" w:color="auto"/>
              <w:bottom w:val="outset" w:sz="6" w:space="0" w:color="auto"/>
              <w:right w:val="outset" w:sz="6" w:space="0" w:color="auto"/>
            </w:tcBorders>
          </w:tcPr>
          <w:p w:rsidR="00EE48CB" w:rsidRPr="00292FAE" w:rsidRDefault="00EE48CB" w:rsidP="00B22BC5">
            <w:r w:rsidRPr="00292FAE">
              <w:t> Projekta izpildē iesaistītās institūcijas</w:t>
            </w:r>
          </w:p>
        </w:tc>
        <w:tc>
          <w:tcPr>
            <w:tcW w:w="6095" w:type="dxa"/>
            <w:tcBorders>
              <w:top w:val="outset" w:sz="6" w:space="0" w:color="auto"/>
              <w:left w:val="outset" w:sz="6" w:space="0" w:color="auto"/>
              <w:bottom w:val="outset" w:sz="6" w:space="0" w:color="auto"/>
              <w:right w:val="outset" w:sz="6" w:space="0" w:color="auto"/>
            </w:tcBorders>
          </w:tcPr>
          <w:p w:rsidR="00EE48CB" w:rsidRPr="00292FAE" w:rsidRDefault="00A87087" w:rsidP="00CE2EF5">
            <w:pPr>
              <w:jc w:val="both"/>
            </w:pPr>
            <w:r w:rsidRPr="00292FAE">
              <w:t>Vides aizsardzības un reģionālās attīstības ministrija</w:t>
            </w:r>
            <w:r w:rsidR="00350034">
              <w:t>.</w:t>
            </w:r>
          </w:p>
        </w:tc>
      </w:tr>
      <w:tr w:rsidR="00CE2EF5" w:rsidRPr="00292FAE" w:rsidTr="0079311E">
        <w:trPr>
          <w:trHeight w:val="463"/>
          <w:tblCellSpacing w:w="0" w:type="dxa"/>
        </w:trPr>
        <w:tc>
          <w:tcPr>
            <w:tcW w:w="567" w:type="dxa"/>
            <w:tcBorders>
              <w:top w:val="outset" w:sz="6" w:space="0" w:color="auto"/>
              <w:left w:val="outset" w:sz="6" w:space="0" w:color="auto"/>
              <w:bottom w:val="outset" w:sz="6" w:space="0" w:color="auto"/>
              <w:right w:val="outset" w:sz="6" w:space="0" w:color="auto"/>
            </w:tcBorders>
          </w:tcPr>
          <w:p w:rsidR="00CE2EF5" w:rsidRPr="00292FAE" w:rsidRDefault="00CE2EF5" w:rsidP="00B22BC5">
            <w:r w:rsidRPr="00292FAE">
              <w:t> 2.</w:t>
            </w:r>
          </w:p>
        </w:tc>
        <w:tc>
          <w:tcPr>
            <w:tcW w:w="2694" w:type="dxa"/>
            <w:tcBorders>
              <w:top w:val="outset" w:sz="6" w:space="0" w:color="auto"/>
              <w:left w:val="outset" w:sz="6" w:space="0" w:color="auto"/>
              <w:bottom w:val="outset" w:sz="6" w:space="0" w:color="auto"/>
              <w:right w:val="outset" w:sz="6" w:space="0" w:color="auto"/>
            </w:tcBorders>
          </w:tcPr>
          <w:p w:rsidR="00CE2EF5" w:rsidRPr="00292FAE" w:rsidRDefault="00CE2EF5" w:rsidP="00B22BC5">
            <w:r w:rsidRPr="00292FAE">
              <w:t> Projekta izpildes ietekme uz pārvaldes funkcijām</w:t>
            </w:r>
          </w:p>
        </w:tc>
        <w:tc>
          <w:tcPr>
            <w:tcW w:w="6095" w:type="dxa"/>
            <w:tcBorders>
              <w:top w:val="outset" w:sz="6" w:space="0" w:color="auto"/>
              <w:left w:val="outset" w:sz="6" w:space="0" w:color="auto"/>
              <w:bottom w:val="outset" w:sz="6" w:space="0" w:color="auto"/>
              <w:right w:val="outset" w:sz="6" w:space="0" w:color="auto"/>
            </w:tcBorders>
          </w:tcPr>
          <w:p w:rsidR="00CE2EF5" w:rsidRPr="00292FAE" w:rsidRDefault="00B12940" w:rsidP="00240AF8">
            <w:pPr>
              <w:ind w:right="70"/>
              <w:jc w:val="both"/>
            </w:pPr>
            <w:r w:rsidRPr="00ED05F7">
              <w:rPr>
                <w:lang w:eastAsia="en-US"/>
              </w:rPr>
              <w:t>Ministru kabineta noteikumu projektā noteiktās funkcijas tiks īstenotas institūciju esošo kompetenču ietvaros.</w:t>
            </w:r>
          </w:p>
        </w:tc>
      </w:tr>
      <w:tr w:rsidR="00BA51CF" w:rsidRPr="00292FAE" w:rsidTr="0079311E">
        <w:trPr>
          <w:trHeight w:val="725"/>
          <w:tblCellSpacing w:w="0" w:type="dxa"/>
        </w:trPr>
        <w:tc>
          <w:tcPr>
            <w:tcW w:w="567" w:type="dxa"/>
            <w:tcBorders>
              <w:top w:val="outset" w:sz="6" w:space="0" w:color="auto"/>
              <w:left w:val="outset" w:sz="6" w:space="0" w:color="auto"/>
              <w:bottom w:val="outset" w:sz="6" w:space="0" w:color="auto"/>
              <w:right w:val="outset" w:sz="6" w:space="0" w:color="auto"/>
            </w:tcBorders>
          </w:tcPr>
          <w:p w:rsidR="00BA51CF" w:rsidRPr="00292FAE" w:rsidRDefault="00BA51CF" w:rsidP="00B22BC5">
            <w:r w:rsidRPr="00292FAE">
              <w:t> 3.</w:t>
            </w:r>
          </w:p>
        </w:tc>
        <w:tc>
          <w:tcPr>
            <w:tcW w:w="2694" w:type="dxa"/>
            <w:tcBorders>
              <w:top w:val="outset" w:sz="6" w:space="0" w:color="auto"/>
              <w:left w:val="outset" w:sz="6" w:space="0" w:color="auto"/>
              <w:bottom w:val="outset" w:sz="6" w:space="0" w:color="auto"/>
              <w:right w:val="outset" w:sz="6" w:space="0" w:color="auto"/>
            </w:tcBorders>
          </w:tcPr>
          <w:p w:rsidR="00BA51CF" w:rsidRPr="00292FAE" w:rsidRDefault="00BA51CF" w:rsidP="00B22BC5">
            <w:r w:rsidRPr="00292FAE">
              <w:t> Projekta izpildes ietekme uz pārvaldes institucionālo struktūru.</w:t>
            </w:r>
          </w:p>
          <w:p w:rsidR="00BA51CF" w:rsidRPr="00292FAE" w:rsidRDefault="00BA51CF" w:rsidP="00B22BC5">
            <w:r w:rsidRPr="00292FAE">
              <w:t>Jaunu institūciju izveide</w:t>
            </w:r>
          </w:p>
        </w:tc>
        <w:tc>
          <w:tcPr>
            <w:tcW w:w="6095" w:type="dxa"/>
            <w:tcBorders>
              <w:top w:val="outset" w:sz="6" w:space="0" w:color="auto"/>
              <w:left w:val="outset" w:sz="6" w:space="0" w:color="auto"/>
              <w:bottom w:val="outset" w:sz="6" w:space="0" w:color="auto"/>
              <w:right w:val="outset" w:sz="6" w:space="0" w:color="auto"/>
            </w:tcBorders>
          </w:tcPr>
          <w:p w:rsidR="00BA51CF" w:rsidRPr="00292FAE" w:rsidRDefault="00AF0D7C" w:rsidP="00CE2EF5">
            <w:pPr>
              <w:jc w:val="both"/>
            </w:pPr>
            <w:r>
              <w:t>Ministru kabineta noteikumu projekts</w:t>
            </w:r>
            <w:r w:rsidR="00CE2EF5" w:rsidRPr="00292FAE">
              <w:t xml:space="preserve"> neparedz jaunu valsts pārvaldes institūciju izveidi.</w:t>
            </w:r>
            <w:r w:rsidR="00BA51CF" w:rsidRPr="00292FAE">
              <w:t xml:space="preserve"> </w:t>
            </w:r>
          </w:p>
        </w:tc>
      </w:tr>
      <w:tr w:rsidR="00EE48CB" w:rsidRPr="00292FAE" w:rsidTr="0079311E">
        <w:trPr>
          <w:trHeight w:val="780"/>
          <w:tblCellSpacing w:w="0" w:type="dxa"/>
        </w:trPr>
        <w:tc>
          <w:tcPr>
            <w:tcW w:w="567" w:type="dxa"/>
            <w:tcBorders>
              <w:top w:val="outset" w:sz="6" w:space="0" w:color="auto"/>
              <w:left w:val="outset" w:sz="6" w:space="0" w:color="auto"/>
              <w:bottom w:val="outset" w:sz="6" w:space="0" w:color="auto"/>
              <w:right w:val="outset" w:sz="6" w:space="0" w:color="auto"/>
            </w:tcBorders>
          </w:tcPr>
          <w:p w:rsidR="00EE48CB" w:rsidRPr="00292FAE" w:rsidRDefault="00EE48CB" w:rsidP="00B22BC5">
            <w:r w:rsidRPr="00292FAE">
              <w:t> 4.</w:t>
            </w:r>
          </w:p>
        </w:tc>
        <w:tc>
          <w:tcPr>
            <w:tcW w:w="2694" w:type="dxa"/>
            <w:tcBorders>
              <w:top w:val="outset" w:sz="6" w:space="0" w:color="auto"/>
              <w:left w:val="outset" w:sz="6" w:space="0" w:color="auto"/>
              <w:bottom w:val="outset" w:sz="6" w:space="0" w:color="auto"/>
              <w:right w:val="outset" w:sz="6" w:space="0" w:color="auto"/>
            </w:tcBorders>
          </w:tcPr>
          <w:p w:rsidR="00EE48CB" w:rsidRPr="00292FAE" w:rsidRDefault="00EE48CB" w:rsidP="00B22BC5">
            <w:r w:rsidRPr="00292FAE">
              <w:t> Projekta izpildes ietekme uz pārvaldes institucionālo struktūru.</w:t>
            </w:r>
          </w:p>
          <w:p w:rsidR="00EE48CB" w:rsidRPr="00292FAE" w:rsidRDefault="00EE48CB" w:rsidP="00B22BC5">
            <w:r w:rsidRPr="00292FAE">
              <w:t>Esošu institūciju likvidācija</w:t>
            </w:r>
          </w:p>
        </w:tc>
        <w:tc>
          <w:tcPr>
            <w:tcW w:w="6095" w:type="dxa"/>
            <w:tcBorders>
              <w:top w:val="outset" w:sz="6" w:space="0" w:color="auto"/>
              <w:left w:val="outset" w:sz="6" w:space="0" w:color="auto"/>
              <w:bottom w:val="outset" w:sz="6" w:space="0" w:color="auto"/>
              <w:right w:val="outset" w:sz="6" w:space="0" w:color="auto"/>
            </w:tcBorders>
          </w:tcPr>
          <w:p w:rsidR="00EE48CB" w:rsidRPr="00292FAE" w:rsidRDefault="00AF0D7C" w:rsidP="00CE2EF5">
            <w:pPr>
              <w:jc w:val="both"/>
            </w:pPr>
            <w:r>
              <w:t>Ministru kabineta noteikumu projekts</w:t>
            </w:r>
            <w:r w:rsidRPr="00292FAE">
              <w:t xml:space="preserve"> </w:t>
            </w:r>
            <w:r w:rsidR="00CE2EF5" w:rsidRPr="00292FAE">
              <w:t>neparedz esošo valsts pārvaldes institūciju likvidāciju</w:t>
            </w:r>
            <w:r w:rsidR="00BA51CF" w:rsidRPr="00292FAE">
              <w:t>.</w:t>
            </w:r>
          </w:p>
        </w:tc>
      </w:tr>
      <w:tr w:rsidR="00BA51CF" w:rsidRPr="00292FAE" w:rsidTr="0079311E">
        <w:trPr>
          <w:trHeight w:val="703"/>
          <w:tblCellSpacing w:w="0" w:type="dxa"/>
        </w:trPr>
        <w:tc>
          <w:tcPr>
            <w:tcW w:w="567" w:type="dxa"/>
            <w:tcBorders>
              <w:top w:val="outset" w:sz="6" w:space="0" w:color="auto"/>
              <w:left w:val="outset" w:sz="6" w:space="0" w:color="auto"/>
              <w:bottom w:val="outset" w:sz="6" w:space="0" w:color="auto"/>
              <w:right w:val="outset" w:sz="6" w:space="0" w:color="auto"/>
            </w:tcBorders>
          </w:tcPr>
          <w:p w:rsidR="00BA51CF" w:rsidRPr="00292FAE" w:rsidRDefault="00BF0A22" w:rsidP="00B22BC5">
            <w:r w:rsidRPr="00292FAE">
              <w:t>5.</w:t>
            </w:r>
          </w:p>
        </w:tc>
        <w:tc>
          <w:tcPr>
            <w:tcW w:w="2694" w:type="dxa"/>
            <w:tcBorders>
              <w:top w:val="outset" w:sz="6" w:space="0" w:color="auto"/>
              <w:left w:val="outset" w:sz="6" w:space="0" w:color="auto"/>
              <w:bottom w:val="outset" w:sz="6" w:space="0" w:color="auto"/>
              <w:right w:val="outset" w:sz="6" w:space="0" w:color="auto"/>
            </w:tcBorders>
          </w:tcPr>
          <w:p w:rsidR="00BA51CF" w:rsidRPr="00292FAE" w:rsidRDefault="00BA51CF" w:rsidP="00B22BC5">
            <w:r w:rsidRPr="00292FAE">
              <w:t> Projekta izpildes ietekme uz pārvaldes institucionālo struktūru.</w:t>
            </w:r>
          </w:p>
          <w:p w:rsidR="00BA51CF" w:rsidRPr="00292FAE" w:rsidRDefault="00BA51CF" w:rsidP="00B22BC5">
            <w:r w:rsidRPr="00292FAE">
              <w:t>Esošu institūciju reorganizācija</w:t>
            </w:r>
          </w:p>
        </w:tc>
        <w:tc>
          <w:tcPr>
            <w:tcW w:w="6095" w:type="dxa"/>
            <w:tcBorders>
              <w:top w:val="outset" w:sz="6" w:space="0" w:color="auto"/>
              <w:left w:val="outset" w:sz="6" w:space="0" w:color="auto"/>
              <w:bottom w:val="outset" w:sz="6" w:space="0" w:color="auto"/>
              <w:right w:val="outset" w:sz="6" w:space="0" w:color="auto"/>
            </w:tcBorders>
          </w:tcPr>
          <w:p w:rsidR="00BA51CF" w:rsidRPr="00292FAE" w:rsidRDefault="00AF0D7C" w:rsidP="00CE2EF5">
            <w:pPr>
              <w:jc w:val="both"/>
            </w:pPr>
            <w:r>
              <w:t>Ministru kabineta noteikumu projekts</w:t>
            </w:r>
            <w:r w:rsidR="00BA51CF" w:rsidRPr="00292FAE">
              <w:t xml:space="preserve"> </w:t>
            </w:r>
            <w:r w:rsidR="00CE2EF5" w:rsidRPr="00292FAE">
              <w:t>neparedz esošo valsts pārvaldes institūciju reorganizāciju</w:t>
            </w:r>
            <w:r w:rsidR="00BA51CF" w:rsidRPr="00292FAE">
              <w:t>.</w:t>
            </w:r>
          </w:p>
        </w:tc>
      </w:tr>
      <w:tr w:rsidR="00EE48CB" w:rsidRPr="00EE48CB" w:rsidTr="0079311E">
        <w:trPr>
          <w:trHeight w:val="289"/>
          <w:tblCellSpacing w:w="0" w:type="dxa"/>
        </w:trPr>
        <w:tc>
          <w:tcPr>
            <w:tcW w:w="567" w:type="dxa"/>
            <w:tcBorders>
              <w:top w:val="outset" w:sz="6" w:space="0" w:color="auto"/>
              <w:left w:val="outset" w:sz="6" w:space="0" w:color="auto"/>
              <w:bottom w:val="outset" w:sz="6" w:space="0" w:color="auto"/>
              <w:right w:val="outset" w:sz="6" w:space="0" w:color="auto"/>
            </w:tcBorders>
          </w:tcPr>
          <w:p w:rsidR="00EE48CB" w:rsidRPr="00292FAE" w:rsidRDefault="00EE48CB" w:rsidP="00B22BC5">
            <w:r w:rsidRPr="00292FAE">
              <w:t> 6.</w:t>
            </w:r>
          </w:p>
        </w:tc>
        <w:tc>
          <w:tcPr>
            <w:tcW w:w="2694" w:type="dxa"/>
            <w:tcBorders>
              <w:top w:val="outset" w:sz="6" w:space="0" w:color="auto"/>
              <w:left w:val="outset" w:sz="6" w:space="0" w:color="auto"/>
              <w:bottom w:val="outset" w:sz="6" w:space="0" w:color="auto"/>
              <w:right w:val="outset" w:sz="6" w:space="0" w:color="auto"/>
            </w:tcBorders>
          </w:tcPr>
          <w:p w:rsidR="00EE48CB" w:rsidRPr="00292FAE" w:rsidRDefault="00EE48CB" w:rsidP="00B22BC5">
            <w:r w:rsidRPr="00292FAE">
              <w:t> Cita informācija</w:t>
            </w:r>
          </w:p>
        </w:tc>
        <w:tc>
          <w:tcPr>
            <w:tcW w:w="6095" w:type="dxa"/>
            <w:tcBorders>
              <w:top w:val="outset" w:sz="6" w:space="0" w:color="auto"/>
              <w:left w:val="outset" w:sz="6" w:space="0" w:color="auto"/>
              <w:bottom w:val="outset" w:sz="6" w:space="0" w:color="auto"/>
              <w:right w:val="outset" w:sz="6" w:space="0" w:color="auto"/>
            </w:tcBorders>
          </w:tcPr>
          <w:p w:rsidR="00EE48CB" w:rsidRPr="00EE48CB" w:rsidRDefault="00BA51CF" w:rsidP="00B22BC5">
            <w:r w:rsidRPr="00292FAE">
              <w:t>Nav.</w:t>
            </w:r>
          </w:p>
        </w:tc>
      </w:tr>
    </w:tbl>
    <w:p w:rsidR="00B33EE7" w:rsidRDefault="00B33EE7" w:rsidP="00B22BC5">
      <w:pPr>
        <w:rPr>
          <w:lang w:eastAsia="en-US"/>
        </w:rPr>
      </w:pPr>
    </w:p>
    <w:p w:rsidR="00385B2E" w:rsidRDefault="00385B2E" w:rsidP="00B22BC5">
      <w:pPr>
        <w:jc w:val="both"/>
      </w:pPr>
    </w:p>
    <w:p w:rsidR="00DA7A57" w:rsidRDefault="00DA7A57" w:rsidP="00A70BBB">
      <w:pPr>
        <w:pStyle w:val="BodyTextIndent"/>
        <w:tabs>
          <w:tab w:val="left" w:pos="142"/>
          <w:tab w:val="left" w:pos="6840"/>
          <w:tab w:val="left" w:pos="7020"/>
        </w:tabs>
        <w:spacing w:after="0"/>
        <w:ind w:left="0"/>
      </w:pPr>
    </w:p>
    <w:p w:rsidR="00DA7A57" w:rsidRDefault="00DA7A57" w:rsidP="00A70BBB">
      <w:pPr>
        <w:pStyle w:val="BodyTextIndent"/>
        <w:tabs>
          <w:tab w:val="left" w:pos="142"/>
          <w:tab w:val="left" w:pos="6840"/>
          <w:tab w:val="left" w:pos="7020"/>
        </w:tabs>
        <w:spacing w:after="0"/>
        <w:ind w:left="0"/>
      </w:pPr>
    </w:p>
    <w:p w:rsidR="00BF0A22" w:rsidRPr="00B55706" w:rsidRDefault="00BF0A22" w:rsidP="00DA7A57">
      <w:pPr>
        <w:pStyle w:val="BodyTextIndent"/>
        <w:tabs>
          <w:tab w:val="left" w:pos="142"/>
          <w:tab w:val="left" w:pos="6840"/>
          <w:tab w:val="left" w:pos="7020"/>
        </w:tabs>
        <w:spacing w:after="0"/>
        <w:ind w:left="-284" w:right="-141"/>
      </w:pPr>
      <w:r w:rsidRPr="00B55706">
        <w:t>Vides</w:t>
      </w:r>
      <w:r w:rsidR="00A70BBB" w:rsidRPr="00B55706">
        <w:t xml:space="preserve"> aizsardzības un reģionālās attīstības</w:t>
      </w:r>
      <w:r w:rsidR="00DA7A57">
        <w:t xml:space="preserve"> ministrs</w:t>
      </w:r>
      <w:r w:rsidRPr="00B55706">
        <w:tab/>
      </w:r>
      <w:r w:rsidR="00A70BBB" w:rsidRPr="00B55706">
        <w:t xml:space="preserve">           </w:t>
      </w:r>
      <w:r w:rsidR="00BF24E3">
        <w:t xml:space="preserve">     </w:t>
      </w:r>
      <w:r w:rsidR="00DA7A57">
        <w:t xml:space="preserve">   </w:t>
      </w:r>
      <w:r w:rsidR="00BF24E3">
        <w:t xml:space="preserve"> </w:t>
      </w:r>
      <w:proofErr w:type="spellStart"/>
      <w:r w:rsidR="00BF24E3">
        <w:t>E.Sprūdžs</w:t>
      </w:r>
      <w:proofErr w:type="spellEnd"/>
    </w:p>
    <w:p w:rsidR="00BF0A22" w:rsidRPr="00B55706" w:rsidRDefault="00BF0A22" w:rsidP="00DA7A57">
      <w:pPr>
        <w:tabs>
          <w:tab w:val="left" w:pos="540"/>
          <w:tab w:val="left" w:pos="7020"/>
        </w:tabs>
        <w:ind w:left="-284" w:right="-141"/>
      </w:pPr>
    </w:p>
    <w:p w:rsidR="00BF0A22" w:rsidRPr="00B55706" w:rsidRDefault="00BF0A22" w:rsidP="00DA7A57">
      <w:pPr>
        <w:tabs>
          <w:tab w:val="left" w:pos="0"/>
          <w:tab w:val="left" w:pos="7020"/>
        </w:tabs>
        <w:ind w:left="-284" w:right="-141"/>
      </w:pPr>
      <w:r w:rsidRPr="00B55706">
        <w:t>Vīza:</w:t>
      </w:r>
    </w:p>
    <w:p w:rsidR="00A70BBB" w:rsidRPr="00B55706" w:rsidRDefault="00BF0A22" w:rsidP="00DA7A57">
      <w:pPr>
        <w:tabs>
          <w:tab w:val="left" w:pos="0"/>
          <w:tab w:val="left" w:pos="7020"/>
        </w:tabs>
        <w:ind w:left="-284" w:right="-141"/>
      </w:pPr>
      <w:r w:rsidRPr="00B55706">
        <w:t>Vides</w:t>
      </w:r>
      <w:r w:rsidR="00A70BBB" w:rsidRPr="00B55706">
        <w:t xml:space="preserve"> aizsardzības un reģionālās attīstības ministrijas</w:t>
      </w:r>
    </w:p>
    <w:p w:rsidR="00B55706" w:rsidRDefault="00BF0A22" w:rsidP="00DA7A57">
      <w:pPr>
        <w:tabs>
          <w:tab w:val="left" w:pos="540"/>
          <w:tab w:val="left" w:pos="7020"/>
        </w:tabs>
        <w:ind w:left="-284" w:right="-141"/>
      </w:pPr>
      <w:r w:rsidRPr="00B55706">
        <w:t>valsts sekretārs</w:t>
      </w:r>
      <w:r w:rsidRPr="00B55706">
        <w:tab/>
      </w:r>
      <w:r w:rsidR="00FD391E">
        <w:t xml:space="preserve">         </w:t>
      </w:r>
      <w:r w:rsidR="00DA7A57">
        <w:t xml:space="preserve">   </w:t>
      </w:r>
      <w:r w:rsidR="00FD391E">
        <w:t xml:space="preserve">  </w:t>
      </w:r>
      <w:proofErr w:type="spellStart"/>
      <w:r w:rsidR="00FD391E">
        <w:t>A.Antonovs</w:t>
      </w:r>
      <w:proofErr w:type="spellEnd"/>
    </w:p>
    <w:p w:rsidR="001B544C" w:rsidRPr="00B55706" w:rsidRDefault="001B544C" w:rsidP="00DA7A57">
      <w:pPr>
        <w:pStyle w:val="BodyTextIndent3"/>
        <w:spacing w:after="0"/>
        <w:ind w:left="-284" w:right="-141"/>
        <w:rPr>
          <w:sz w:val="20"/>
          <w:szCs w:val="20"/>
          <w:lang w:val="lv-LV"/>
        </w:rPr>
      </w:pPr>
    </w:p>
    <w:p w:rsidR="00832ADE" w:rsidRDefault="00832ADE" w:rsidP="00DA7A57">
      <w:pPr>
        <w:pStyle w:val="BodyTextIndent3"/>
        <w:spacing w:after="0"/>
        <w:ind w:left="-284" w:right="-141"/>
        <w:rPr>
          <w:sz w:val="20"/>
          <w:szCs w:val="20"/>
          <w:lang w:val="lv-LV"/>
        </w:rPr>
      </w:pPr>
    </w:p>
    <w:p w:rsidR="0079311E" w:rsidRDefault="0079311E" w:rsidP="00DA7A57">
      <w:pPr>
        <w:pStyle w:val="BodyTextIndent3"/>
        <w:spacing w:after="0"/>
        <w:ind w:left="-284" w:right="-141"/>
        <w:rPr>
          <w:sz w:val="20"/>
          <w:szCs w:val="20"/>
          <w:lang w:val="lv-LV"/>
        </w:rPr>
      </w:pPr>
    </w:p>
    <w:p w:rsidR="00DA7A57" w:rsidRDefault="00DA7A57" w:rsidP="00BF0A22">
      <w:pPr>
        <w:pStyle w:val="BodyTextIndent3"/>
        <w:spacing w:after="0"/>
        <w:ind w:left="0"/>
        <w:rPr>
          <w:sz w:val="20"/>
          <w:szCs w:val="20"/>
          <w:lang w:val="lv-LV"/>
        </w:rPr>
      </w:pPr>
    </w:p>
    <w:p w:rsidR="0079311E" w:rsidRDefault="0079311E" w:rsidP="00BF0A22">
      <w:pPr>
        <w:pStyle w:val="BodyTextIndent3"/>
        <w:spacing w:after="0"/>
        <w:ind w:left="0"/>
        <w:rPr>
          <w:sz w:val="20"/>
          <w:szCs w:val="20"/>
          <w:lang w:val="lv-LV"/>
        </w:rPr>
      </w:pPr>
    </w:p>
    <w:p w:rsidR="0079311E" w:rsidRDefault="0079311E" w:rsidP="00BF0A22">
      <w:pPr>
        <w:pStyle w:val="BodyTextIndent3"/>
        <w:spacing w:after="0"/>
        <w:ind w:left="0"/>
        <w:rPr>
          <w:sz w:val="20"/>
          <w:szCs w:val="20"/>
          <w:lang w:val="lv-LV"/>
        </w:rPr>
      </w:pPr>
    </w:p>
    <w:p w:rsidR="0079311E" w:rsidRDefault="0079311E" w:rsidP="00BF0A22">
      <w:pPr>
        <w:pStyle w:val="BodyTextIndent3"/>
        <w:spacing w:after="0"/>
        <w:ind w:left="0"/>
        <w:rPr>
          <w:sz w:val="20"/>
          <w:szCs w:val="20"/>
          <w:lang w:val="lv-LV"/>
        </w:rPr>
      </w:pPr>
    </w:p>
    <w:p w:rsidR="00832ADE" w:rsidRDefault="00832ADE" w:rsidP="00BF0A22">
      <w:pPr>
        <w:pStyle w:val="BodyTextIndent3"/>
        <w:spacing w:after="0"/>
        <w:ind w:left="0"/>
        <w:rPr>
          <w:sz w:val="20"/>
          <w:szCs w:val="20"/>
          <w:lang w:val="lv-LV"/>
        </w:rPr>
      </w:pPr>
    </w:p>
    <w:p w:rsidR="00BF0A22" w:rsidRPr="004D635C" w:rsidRDefault="00643BD6" w:rsidP="00BF0A22">
      <w:pPr>
        <w:pStyle w:val="BodyTextIndent3"/>
        <w:spacing w:after="0"/>
        <w:ind w:left="0"/>
        <w:rPr>
          <w:sz w:val="20"/>
          <w:szCs w:val="20"/>
          <w:lang w:val="lv-LV"/>
        </w:rPr>
      </w:pPr>
      <w:r>
        <w:rPr>
          <w:sz w:val="20"/>
          <w:szCs w:val="20"/>
          <w:lang w:val="lv-LV"/>
        </w:rPr>
        <w:t>25</w:t>
      </w:r>
      <w:r w:rsidR="0008778C" w:rsidRPr="004D635C">
        <w:rPr>
          <w:sz w:val="20"/>
          <w:szCs w:val="20"/>
          <w:lang w:val="lv-LV"/>
        </w:rPr>
        <w:t>.07</w:t>
      </w:r>
      <w:r w:rsidR="006104E8" w:rsidRPr="004D635C">
        <w:rPr>
          <w:sz w:val="20"/>
          <w:szCs w:val="20"/>
          <w:lang w:val="lv-LV"/>
        </w:rPr>
        <w:t>.</w:t>
      </w:r>
      <w:r w:rsidR="00BF24E3" w:rsidRPr="004D635C">
        <w:rPr>
          <w:sz w:val="20"/>
          <w:szCs w:val="20"/>
          <w:lang w:val="lv-LV"/>
        </w:rPr>
        <w:t>2012</w:t>
      </w:r>
      <w:r w:rsidR="00BF0A22" w:rsidRPr="004D635C">
        <w:rPr>
          <w:sz w:val="20"/>
          <w:szCs w:val="20"/>
          <w:lang w:val="lv-LV"/>
        </w:rPr>
        <w:t xml:space="preserve">. </w:t>
      </w:r>
      <w:r w:rsidR="008C543B" w:rsidRPr="004D635C">
        <w:rPr>
          <w:sz w:val="20"/>
          <w:szCs w:val="20"/>
          <w:lang w:val="lv-LV"/>
        </w:rPr>
        <w:t>10:51</w:t>
      </w:r>
    </w:p>
    <w:p w:rsidR="00BF0A22" w:rsidRPr="008A4ED4" w:rsidRDefault="00DA7A57" w:rsidP="00BF0A22">
      <w:pPr>
        <w:pStyle w:val="BodyTextIndent3"/>
        <w:spacing w:after="0"/>
        <w:ind w:left="0"/>
        <w:rPr>
          <w:sz w:val="20"/>
          <w:szCs w:val="20"/>
          <w:lang w:val="lv-LV"/>
        </w:rPr>
      </w:pPr>
      <w:r w:rsidRPr="004D635C">
        <w:rPr>
          <w:sz w:val="20"/>
          <w:szCs w:val="20"/>
          <w:lang w:val="lv-LV"/>
        </w:rPr>
        <w:t xml:space="preserve">1 </w:t>
      </w:r>
      <w:r w:rsidR="004D635C" w:rsidRPr="004D635C">
        <w:rPr>
          <w:sz w:val="20"/>
          <w:szCs w:val="20"/>
          <w:lang w:val="lv-LV"/>
        </w:rPr>
        <w:t>794</w:t>
      </w:r>
    </w:p>
    <w:p w:rsidR="00BF0A22" w:rsidRPr="00B55706" w:rsidRDefault="00A70BBB" w:rsidP="00BF0A22">
      <w:pPr>
        <w:jc w:val="both"/>
        <w:rPr>
          <w:bCs/>
          <w:sz w:val="20"/>
          <w:szCs w:val="20"/>
        </w:rPr>
      </w:pPr>
      <w:r w:rsidRPr="008A4ED4">
        <w:rPr>
          <w:bCs/>
          <w:sz w:val="20"/>
          <w:szCs w:val="20"/>
        </w:rPr>
        <w:t>I.Gruševa</w:t>
      </w:r>
    </w:p>
    <w:p w:rsidR="00724552" w:rsidRPr="002016A5" w:rsidRDefault="00BF0A22" w:rsidP="00B22BC5">
      <w:pPr>
        <w:rPr>
          <w:sz w:val="20"/>
          <w:szCs w:val="20"/>
        </w:rPr>
      </w:pPr>
      <w:smartTag w:uri="schemas-tilde-lv/tildestengine" w:element="phone">
        <w:smartTagPr>
          <w:attr w:name="phone_prefix" w:val="6"/>
          <w:attr w:name="phone_number" w:val="7026472"/>
        </w:smartTagPr>
        <w:r w:rsidRPr="00B55706">
          <w:rPr>
            <w:sz w:val="20"/>
            <w:szCs w:val="20"/>
          </w:rPr>
          <w:t>67026</w:t>
        </w:r>
        <w:r w:rsidR="00A70BBB" w:rsidRPr="00B55706">
          <w:rPr>
            <w:sz w:val="20"/>
            <w:szCs w:val="20"/>
          </w:rPr>
          <w:t>472</w:t>
        </w:r>
      </w:smartTag>
      <w:r w:rsidRPr="00B55706">
        <w:rPr>
          <w:sz w:val="20"/>
          <w:szCs w:val="20"/>
        </w:rPr>
        <w:t xml:space="preserve">, </w:t>
      </w:r>
      <w:hyperlink r:id="rId14" w:history="1">
        <w:r w:rsidR="00A70BBB" w:rsidRPr="00B55706">
          <w:rPr>
            <w:rStyle w:val="Hyperlink"/>
            <w:sz w:val="20"/>
            <w:szCs w:val="20"/>
          </w:rPr>
          <w:t>ilga.gruseva@varam.gov.lv</w:t>
        </w:r>
      </w:hyperlink>
    </w:p>
    <w:sectPr w:rsidR="00724552" w:rsidRPr="002016A5" w:rsidSect="0079311E">
      <w:headerReference w:type="default" r:id="rId15"/>
      <w:footerReference w:type="default" r:id="rId16"/>
      <w:footerReference w:type="first" r:id="rId17"/>
      <w:pgSz w:w="11907" w:h="16839" w:code="9"/>
      <w:pgMar w:top="1080" w:right="1275"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BC1" w:rsidRDefault="00641BC1" w:rsidP="006003E3">
      <w:r>
        <w:separator/>
      </w:r>
    </w:p>
  </w:endnote>
  <w:endnote w:type="continuationSeparator" w:id="0">
    <w:p w:rsidR="00641BC1" w:rsidRDefault="00641BC1" w:rsidP="006003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EA8" w:rsidRPr="001B544C" w:rsidRDefault="00F1308C" w:rsidP="001B544C">
    <w:pPr>
      <w:jc w:val="both"/>
      <w:rPr>
        <w:sz w:val="20"/>
        <w:szCs w:val="20"/>
      </w:rPr>
    </w:pPr>
    <w:r w:rsidRPr="0008778C">
      <w:rPr>
        <w:sz w:val="20"/>
        <w:szCs w:val="20"/>
      </w:rPr>
      <w:t>VARAManot_</w:t>
    </w:r>
    <w:r w:rsidR="00643BD6">
      <w:rPr>
        <w:sz w:val="20"/>
        <w:szCs w:val="20"/>
      </w:rPr>
      <w:t>25</w:t>
    </w:r>
    <w:r w:rsidR="0008778C" w:rsidRPr="0008778C">
      <w:rPr>
        <w:sz w:val="20"/>
        <w:szCs w:val="20"/>
      </w:rPr>
      <w:t>07</w:t>
    </w:r>
    <w:r w:rsidR="00BF24E3" w:rsidRPr="0008778C">
      <w:rPr>
        <w:sz w:val="20"/>
        <w:szCs w:val="20"/>
      </w:rPr>
      <w:t>12</w:t>
    </w:r>
    <w:r w:rsidR="00096EA8" w:rsidRPr="0008778C">
      <w:rPr>
        <w:sz w:val="20"/>
        <w:szCs w:val="20"/>
      </w:rPr>
      <w:t xml:space="preserve">_890; Ministru kabineta noteikumu projekta „Grozījumi Ministru kabineta </w:t>
    </w:r>
    <w:smartTag w:uri="schemas-tilde-lv/tildestengine" w:element="date">
      <w:smartTagPr>
        <w:attr w:name="Day" w:val="11"/>
        <w:attr w:name="Month" w:val="8"/>
        <w:attr w:name="Year" w:val="2009"/>
      </w:smartTagPr>
      <w:r w:rsidR="00096EA8" w:rsidRPr="0008778C">
        <w:rPr>
          <w:sz w:val="20"/>
          <w:szCs w:val="20"/>
        </w:rPr>
        <w:t>2009.gada</w:t>
      </w:r>
      <w:r w:rsidR="00096EA8" w:rsidRPr="001B544C">
        <w:rPr>
          <w:sz w:val="20"/>
          <w:szCs w:val="20"/>
        </w:rPr>
        <w:t xml:space="preserve"> 11.augusta</w:t>
      </w:r>
    </w:smartTag>
    <w:r w:rsidR="00096EA8" w:rsidRPr="001B544C">
      <w:rPr>
        <w:sz w:val="20"/>
        <w:szCs w:val="20"/>
      </w:rPr>
      <w:t xml:space="preserve"> noteikumos Nr.890 „Kārtība, kādā piešķir valsts budžeta līdzekļus Eiropas Savienības struktūrfondu 3.mērķa „Eiropas te</w:t>
    </w:r>
    <w:r w:rsidR="00096EA8">
      <w:rPr>
        <w:sz w:val="20"/>
        <w:szCs w:val="20"/>
      </w:rPr>
      <w:t xml:space="preserve">ritoriālā sadarbība” programmu </w:t>
    </w:r>
    <w:r w:rsidR="00096EA8" w:rsidRPr="001B544C">
      <w:rPr>
        <w:sz w:val="20"/>
        <w:szCs w:val="20"/>
      </w:rPr>
      <w:t xml:space="preserve">un Eiropas Kaimiņattiecību un partnerības instrumenta programmu finansējuma saņēmējiem no Latvijas Republikas”” sākotnējās ietekmes novērtējuma </w:t>
    </w:r>
    <w:smartTag w:uri="schemas-tilde-lv/tildestengine" w:element="veidnes">
      <w:smartTagPr>
        <w:attr w:name="baseform" w:val="ziņojum|s"/>
        <w:attr w:name="id" w:val="-1"/>
        <w:attr w:name="text" w:val="ziņojums"/>
      </w:smartTagPr>
      <w:r w:rsidR="00096EA8" w:rsidRPr="001B544C">
        <w:rPr>
          <w:sz w:val="20"/>
          <w:szCs w:val="20"/>
        </w:rPr>
        <w:t>ziņojums</w:t>
      </w:r>
    </w:smartTag>
    <w:r w:rsidR="00096EA8" w:rsidRPr="001B544C">
      <w:rPr>
        <w:sz w:val="20"/>
        <w:szCs w:val="20"/>
      </w:rPr>
      <w:t xml:space="preserve"> (anotācija)</w:t>
    </w:r>
  </w:p>
  <w:p w:rsidR="00096EA8" w:rsidRPr="00724552" w:rsidRDefault="00096EA8" w:rsidP="00724552">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EA8" w:rsidRPr="001B544C" w:rsidRDefault="00643BD6" w:rsidP="001B544C">
    <w:pPr>
      <w:jc w:val="both"/>
      <w:rPr>
        <w:sz w:val="20"/>
        <w:szCs w:val="20"/>
      </w:rPr>
    </w:pPr>
    <w:r>
      <w:rPr>
        <w:sz w:val="20"/>
        <w:szCs w:val="20"/>
      </w:rPr>
      <w:t>VARAManot_25</w:t>
    </w:r>
    <w:r w:rsidR="0008778C" w:rsidRPr="0008778C">
      <w:rPr>
        <w:sz w:val="20"/>
        <w:szCs w:val="20"/>
      </w:rPr>
      <w:t>07</w:t>
    </w:r>
    <w:r w:rsidR="00BF24E3" w:rsidRPr="0008778C">
      <w:rPr>
        <w:sz w:val="20"/>
        <w:szCs w:val="20"/>
      </w:rPr>
      <w:t>12</w:t>
    </w:r>
    <w:r w:rsidR="00096EA8" w:rsidRPr="0008778C">
      <w:rPr>
        <w:sz w:val="20"/>
        <w:szCs w:val="20"/>
      </w:rPr>
      <w:t xml:space="preserve">_890; Ministru kabineta noteikumu projekta „Grozījumi Ministru kabineta </w:t>
    </w:r>
    <w:smartTag w:uri="schemas-tilde-lv/tildestengine" w:element="date">
      <w:smartTagPr>
        <w:attr w:name="Day" w:val="11"/>
        <w:attr w:name="Month" w:val="8"/>
        <w:attr w:name="Year" w:val="2009"/>
      </w:smartTagPr>
      <w:r w:rsidR="00096EA8" w:rsidRPr="0008778C">
        <w:rPr>
          <w:sz w:val="20"/>
          <w:szCs w:val="20"/>
        </w:rPr>
        <w:t>2009.gada</w:t>
      </w:r>
      <w:r w:rsidR="00096EA8" w:rsidRPr="001B544C">
        <w:rPr>
          <w:sz w:val="20"/>
          <w:szCs w:val="20"/>
        </w:rPr>
        <w:t xml:space="preserve"> 11.augusta</w:t>
      </w:r>
    </w:smartTag>
    <w:r w:rsidR="00096EA8" w:rsidRPr="001B544C">
      <w:rPr>
        <w:sz w:val="20"/>
        <w:szCs w:val="20"/>
      </w:rPr>
      <w:t xml:space="preserve"> noteikumos Nr.890 „Kārtība, kādā piešķir valsts budžeta līdzekļus Eiropas Savienības struktūrfondu 3.mērķa „Eiropas teritoriālā sadarbība” programmu  un Eiropas Kaimiņattiecību un partnerības instrumenta programmu finansējuma saņēmējiem no Latvijas Republikas”” sākotnējās ietekmes novērtējuma </w:t>
    </w:r>
    <w:smartTag w:uri="schemas-tilde-lv/tildestengine" w:element="veidnes">
      <w:smartTagPr>
        <w:attr w:name="baseform" w:val="ziņojum|s"/>
        <w:attr w:name="id" w:val="-1"/>
        <w:attr w:name="text" w:val="ziņojums"/>
      </w:smartTagPr>
      <w:r w:rsidR="00096EA8" w:rsidRPr="001B544C">
        <w:rPr>
          <w:sz w:val="20"/>
          <w:szCs w:val="20"/>
        </w:rPr>
        <w:t>ziņojums</w:t>
      </w:r>
    </w:smartTag>
    <w:r w:rsidR="00096EA8" w:rsidRPr="001B544C">
      <w:rPr>
        <w:sz w:val="20"/>
        <w:szCs w:val="20"/>
      </w:rPr>
      <w:t xml:space="preserve"> (anotācija)</w:t>
    </w:r>
  </w:p>
  <w:p w:rsidR="00096EA8" w:rsidRPr="001B544C" w:rsidRDefault="00096EA8" w:rsidP="001B544C">
    <w:pPr>
      <w:jc w:val="both"/>
      <w:rPr>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BC1" w:rsidRDefault="00641BC1" w:rsidP="006003E3">
      <w:r>
        <w:separator/>
      </w:r>
    </w:p>
  </w:footnote>
  <w:footnote w:type="continuationSeparator" w:id="0">
    <w:p w:rsidR="00641BC1" w:rsidRDefault="00641BC1" w:rsidP="006003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EA8" w:rsidRDefault="00487841">
    <w:pPr>
      <w:pStyle w:val="Header"/>
      <w:jc w:val="center"/>
    </w:pPr>
    <w:fldSimple w:instr=" PAGE   \* MERGEFORMAT ">
      <w:r w:rsidR="00643BD6">
        <w:rPr>
          <w:noProof/>
        </w:rPr>
        <w:t>7</w:t>
      </w:r>
    </w:fldSimple>
  </w:p>
  <w:p w:rsidR="00096EA8" w:rsidRDefault="00096E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56405"/>
    <w:multiLevelType w:val="multilevel"/>
    <w:tmpl w:val="B7EC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6414CB"/>
    <w:multiLevelType w:val="multilevel"/>
    <w:tmpl w:val="A2F8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261BC9"/>
    <w:multiLevelType w:val="multilevel"/>
    <w:tmpl w:val="42CAB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7D455B"/>
    <w:multiLevelType w:val="hybridMultilevel"/>
    <w:tmpl w:val="0F48A1C8"/>
    <w:lvl w:ilvl="0" w:tplc="1C368F46">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DC108F5"/>
    <w:multiLevelType w:val="multilevel"/>
    <w:tmpl w:val="AA1E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3B1601"/>
    <w:multiLevelType w:val="hybridMultilevel"/>
    <w:tmpl w:val="D1182E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8DD02AF"/>
    <w:multiLevelType w:val="hybridMultilevel"/>
    <w:tmpl w:val="38D0FD30"/>
    <w:lvl w:ilvl="0" w:tplc="46B044B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7">
    <w:nsid w:val="7C8F5FCE"/>
    <w:multiLevelType w:val="hybridMultilevel"/>
    <w:tmpl w:val="C406A268"/>
    <w:lvl w:ilvl="0" w:tplc="0A304858">
      <w:start w:val="1"/>
      <w:numFmt w:val="decimal"/>
      <w:lvlText w:val="%1)"/>
      <w:lvlJc w:val="left"/>
      <w:pPr>
        <w:ind w:left="417" w:hanging="360"/>
      </w:pPr>
      <w:rPr>
        <w:rFonts w:ascii="Times New Roman" w:hAnsi="Times New Roman" w:cs="Times New Roman"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num w:numId="1">
    <w:abstractNumId w:val="1"/>
  </w:num>
  <w:num w:numId="2">
    <w:abstractNumId w:val="4"/>
  </w:num>
  <w:num w:numId="3">
    <w:abstractNumId w:val="5"/>
  </w:num>
  <w:num w:numId="4">
    <w:abstractNumId w:val="3"/>
  </w:num>
  <w:num w:numId="5">
    <w:abstractNumId w:val="0"/>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565E8"/>
    <w:rsid w:val="000115B5"/>
    <w:rsid w:val="0002349F"/>
    <w:rsid w:val="00023A03"/>
    <w:rsid w:val="00027123"/>
    <w:rsid w:val="0004586A"/>
    <w:rsid w:val="000460DF"/>
    <w:rsid w:val="00046AF7"/>
    <w:rsid w:val="00054BB5"/>
    <w:rsid w:val="00061636"/>
    <w:rsid w:val="00074A22"/>
    <w:rsid w:val="0008074F"/>
    <w:rsid w:val="0008778C"/>
    <w:rsid w:val="00092B11"/>
    <w:rsid w:val="00096EA8"/>
    <w:rsid w:val="000B0CAA"/>
    <w:rsid w:val="000B22EF"/>
    <w:rsid w:val="000B2695"/>
    <w:rsid w:val="000B7526"/>
    <w:rsid w:val="000C2E55"/>
    <w:rsid w:val="000C4D86"/>
    <w:rsid w:val="000D044D"/>
    <w:rsid w:val="000D094E"/>
    <w:rsid w:val="000D474D"/>
    <w:rsid w:val="000D5B9B"/>
    <w:rsid w:val="000D5E06"/>
    <w:rsid w:val="000E1A13"/>
    <w:rsid w:val="000F555C"/>
    <w:rsid w:val="00103C97"/>
    <w:rsid w:val="001055EA"/>
    <w:rsid w:val="00107E3E"/>
    <w:rsid w:val="0011638E"/>
    <w:rsid w:val="0013157F"/>
    <w:rsid w:val="0014025A"/>
    <w:rsid w:val="00140B2B"/>
    <w:rsid w:val="00141201"/>
    <w:rsid w:val="00151E10"/>
    <w:rsid w:val="001528BF"/>
    <w:rsid w:val="001605CE"/>
    <w:rsid w:val="00161A88"/>
    <w:rsid w:val="00162167"/>
    <w:rsid w:val="00167BEA"/>
    <w:rsid w:val="00180511"/>
    <w:rsid w:val="00180760"/>
    <w:rsid w:val="001820CC"/>
    <w:rsid w:val="001826AB"/>
    <w:rsid w:val="00183F17"/>
    <w:rsid w:val="00187ACB"/>
    <w:rsid w:val="001A163E"/>
    <w:rsid w:val="001A1849"/>
    <w:rsid w:val="001A6A19"/>
    <w:rsid w:val="001A7D46"/>
    <w:rsid w:val="001B1193"/>
    <w:rsid w:val="001B544C"/>
    <w:rsid w:val="001C064E"/>
    <w:rsid w:val="001C18F7"/>
    <w:rsid w:val="001E0994"/>
    <w:rsid w:val="001E7C86"/>
    <w:rsid w:val="001E7DC0"/>
    <w:rsid w:val="002016A5"/>
    <w:rsid w:val="00210133"/>
    <w:rsid w:val="00210BD4"/>
    <w:rsid w:val="00213AD8"/>
    <w:rsid w:val="002140B6"/>
    <w:rsid w:val="00214899"/>
    <w:rsid w:val="0021642F"/>
    <w:rsid w:val="00222754"/>
    <w:rsid w:val="00223F36"/>
    <w:rsid w:val="00240126"/>
    <w:rsid w:val="00240AF8"/>
    <w:rsid w:val="002416E9"/>
    <w:rsid w:val="00251424"/>
    <w:rsid w:val="00254299"/>
    <w:rsid w:val="00276AE4"/>
    <w:rsid w:val="00277B6E"/>
    <w:rsid w:val="002815E1"/>
    <w:rsid w:val="0028601E"/>
    <w:rsid w:val="00292FAE"/>
    <w:rsid w:val="002941DA"/>
    <w:rsid w:val="002A4796"/>
    <w:rsid w:val="002A4B27"/>
    <w:rsid w:val="002B261A"/>
    <w:rsid w:val="002C41F6"/>
    <w:rsid w:val="002C5C8E"/>
    <w:rsid w:val="002D1083"/>
    <w:rsid w:val="002F02E2"/>
    <w:rsid w:val="003016D5"/>
    <w:rsid w:val="00307925"/>
    <w:rsid w:val="00307B95"/>
    <w:rsid w:val="00312582"/>
    <w:rsid w:val="00325007"/>
    <w:rsid w:val="00337A32"/>
    <w:rsid w:val="0034417B"/>
    <w:rsid w:val="0034769F"/>
    <w:rsid w:val="00350034"/>
    <w:rsid w:val="00350515"/>
    <w:rsid w:val="00350620"/>
    <w:rsid w:val="0035099C"/>
    <w:rsid w:val="00350D84"/>
    <w:rsid w:val="00360FF5"/>
    <w:rsid w:val="00382DCF"/>
    <w:rsid w:val="0038562C"/>
    <w:rsid w:val="00385B2E"/>
    <w:rsid w:val="003B7BE5"/>
    <w:rsid w:val="003C3A73"/>
    <w:rsid w:val="003E02B8"/>
    <w:rsid w:val="003E4141"/>
    <w:rsid w:val="003F0866"/>
    <w:rsid w:val="00403EE7"/>
    <w:rsid w:val="004049B6"/>
    <w:rsid w:val="00414AF0"/>
    <w:rsid w:val="0041541C"/>
    <w:rsid w:val="00426EE1"/>
    <w:rsid w:val="004358BC"/>
    <w:rsid w:val="00440947"/>
    <w:rsid w:val="0045034C"/>
    <w:rsid w:val="004633A5"/>
    <w:rsid w:val="00467203"/>
    <w:rsid w:val="00467D4E"/>
    <w:rsid w:val="00471DB0"/>
    <w:rsid w:val="0047258D"/>
    <w:rsid w:val="00473089"/>
    <w:rsid w:val="00477AF7"/>
    <w:rsid w:val="00480C2D"/>
    <w:rsid w:val="00483089"/>
    <w:rsid w:val="00483CEA"/>
    <w:rsid w:val="00487841"/>
    <w:rsid w:val="00494A3F"/>
    <w:rsid w:val="00497EC5"/>
    <w:rsid w:val="004B7000"/>
    <w:rsid w:val="004C2C83"/>
    <w:rsid w:val="004C3708"/>
    <w:rsid w:val="004D318E"/>
    <w:rsid w:val="004D4B6F"/>
    <w:rsid w:val="004D59C9"/>
    <w:rsid w:val="004D635C"/>
    <w:rsid w:val="004E1B81"/>
    <w:rsid w:val="004F626E"/>
    <w:rsid w:val="00503ABB"/>
    <w:rsid w:val="005103B7"/>
    <w:rsid w:val="00522227"/>
    <w:rsid w:val="00526B5A"/>
    <w:rsid w:val="00527CFB"/>
    <w:rsid w:val="0053024C"/>
    <w:rsid w:val="00530CFE"/>
    <w:rsid w:val="0053127F"/>
    <w:rsid w:val="00531AD4"/>
    <w:rsid w:val="00535127"/>
    <w:rsid w:val="00545D8D"/>
    <w:rsid w:val="00551BF5"/>
    <w:rsid w:val="00552840"/>
    <w:rsid w:val="00557E6A"/>
    <w:rsid w:val="00557F66"/>
    <w:rsid w:val="00560ED4"/>
    <w:rsid w:val="00564786"/>
    <w:rsid w:val="00572D8A"/>
    <w:rsid w:val="0058578C"/>
    <w:rsid w:val="00594BA2"/>
    <w:rsid w:val="005954AB"/>
    <w:rsid w:val="005B457B"/>
    <w:rsid w:val="005C4D69"/>
    <w:rsid w:val="005C6BDF"/>
    <w:rsid w:val="005D02D3"/>
    <w:rsid w:val="005D56CB"/>
    <w:rsid w:val="005E022D"/>
    <w:rsid w:val="006003E3"/>
    <w:rsid w:val="006104E8"/>
    <w:rsid w:val="00610E66"/>
    <w:rsid w:val="00616536"/>
    <w:rsid w:val="006231F7"/>
    <w:rsid w:val="00624B92"/>
    <w:rsid w:val="00625258"/>
    <w:rsid w:val="00641BC1"/>
    <w:rsid w:val="00643BD6"/>
    <w:rsid w:val="0064551D"/>
    <w:rsid w:val="00650985"/>
    <w:rsid w:val="006565DE"/>
    <w:rsid w:val="00661920"/>
    <w:rsid w:val="00671CD1"/>
    <w:rsid w:val="006734E5"/>
    <w:rsid w:val="006778EB"/>
    <w:rsid w:val="00684777"/>
    <w:rsid w:val="00691DD8"/>
    <w:rsid w:val="006A108B"/>
    <w:rsid w:val="006B0E07"/>
    <w:rsid w:val="006B55BA"/>
    <w:rsid w:val="006B57C7"/>
    <w:rsid w:val="006B6EC3"/>
    <w:rsid w:val="006D265E"/>
    <w:rsid w:val="006D5192"/>
    <w:rsid w:val="006E11BF"/>
    <w:rsid w:val="006E421A"/>
    <w:rsid w:val="006E7752"/>
    <w:rsid w:val="006F03DD"/>
    <w:rsid w:val="006F1D0C"/>
    <w:rsid w:val="007074F6"/>
    <w:rsid w:val="00711F32"/>
    <w:rsid w:val="00716CB7"/>
    <w:rsid w:val="0072225F"/>
    <w:rsid w:val="00722BAE"/>
    <w:rsid w:val="00724552"/>
    <w:rsid w:val="00727705"/>
    <w:rsid w:val="007313DD"/>
    <w:rsid w:val="00750C71"/>
    <w:rsid w:val="00754B67"/>
    <w:rsid w:val="007566D2"/>
    <w:rsid w:val="0076519B"/>
    <w:rsid w:val="0077536D"/>
    <w:rsid w:val="00775B2A"/>
    <w:rsid w:val="00780FBE"/>
    <w:rsid w:val="00783194"/>
    <w:rsid w:val="0079311E"/>
    <w:rsid w:val="0079499C"/>
    <w:rsid w:val="00797DAD"/>
    <w:rsid w:val="007A25B7"/>
    <w:rsid w:val="007A3713"/>
    <w:rsid w:val="007C03E8"/>
    <w:rsid w:val="007C1BCA"/>
    <w:rsid w:val="007E17E2"/>
    <w:rsid w:val="007E6EA1"/>
    <w:rsid w:val="007F582D"/>
    <w:rsid w:val="007F7BDB"/>
    <w:rsid w:val="008104DE"/>
    <w:rsid w:val="00814EC1"/>
    <w:rsid w:val="008150CC"/>
    <w:rsid w:val="008155AB"/>
    <w:rsid w:val="008201F4"/>
    <w:rsid w:val="00822862"/>
    <w:rsid w:val="00822E73"/>
    <w:rsid w:val="00823C0C"/>
    <w:rsid w:val="00823CFD"/>
    <w:rsid w:val="00832ADE"/>
    <w:rsid w:val="008364EE"/>
    <w:rsid w:val="00837D8F"/>
    <w:rsid w:val="00840A11"/>
    <w:rsid w:val="00841284"/>
    <w:rsid w:val="00846467"/>
    <w:rsid w:val="00863C25"/>
    <w:rsid w:val="00866972"/>
    <w:rsid w:val="008749D1"/>
    <w:rsid w:val="008837DB"/>
    <w:rsid w:val="008848E6"/>
    <w:rsid w:val="0089117A"/>
    <w:rsid w:val="00892CEE"/>
    <w:rsid w:val="0089381D"/>
    <w:rsid w:val="00894AB8"/>
    <w:rsid w:val="008A45D2"/>
    <w:rsid w:val="008A4ED4"/>
    <w:rsid w:val="008A7C83"/>
    <w:rsid w:val="008C543B"/>
    <w:rsid w:val="008C7E26"/>
    <w:rsid w:val="008D2D19"/>
    <w:rsid w:val="008D35F7"/>
    <w:rsid w:val="008D38C8"/>
    <w:rsid w:val="008D43F6"/>
    <w:rsid w:val="008D5994"/>
    <w:rsid w:val="008E1BB1"/>
    <w:rsid w:val="008F5B3F"/>
    <w:rsid w:val="008F66BB"/>
    <w:rsid w:val="00900F5B"/>
    <w:rsid w:val="00904EEA"/>
    <w:rsid w:val="00911CB8"/>
    <w:rsid w:val="00917D19"/>
    <w:rsid w:val="00936254"/>
    <w:rsid w:val="00936694"/>
    <w:rsid w:val="009508D7"/>
    <w:rsid w:val="009529CF"/>
    <w:rsid w:val="009537D8"/>
    <w:rsid w:val="00956276"/>
    <w:rsid w:val="009578A8"/>
    <w:rsid w:val="009611F4"/>
    <w:rsid w:val="00970822"/>
    <w:rsid w:val="009758B9"/>
    <w:rsid w:val="009825D8"/>
    <w:rsid w:val="00984B9B"/>
    <w:rsid w:val="00986245"/>
    <w:rsid w:val="00994D8C"/>
    <w:rsid w:val="0099577A"/>
    <w:rsid w:val="009973BE"/>
    <w:rsid w:val="009A1641"/>
    <w:rsid w:val="009B62CF"/>
    <w:rsid w:val="009D6817"/>
    <w:rsid w:val="00A04376"/>
    <w:rsid w:val="00A138B3"/>
    <w:rsid w:val="00A15939"/>
    <w:rsid w:val="00A208AC"/>
    <w:rsid w:val="00A320CE"/>
    <w:rsid w:val="00A347FE"/>
    <w:rsid w:val="00A41831"/>
    <w:rsid w:val="00A424C2"/>
    <w:rsid w:val="00A42D1A"/>
    <w:rsid w:val="00A46A7F"/>
    <w:rsid w:val="00A565E8"/>
    <w:rsid w:val="00A5681B"/>
    <w:rsid w:val="00A66FEF"/>
    <w:rsid w:val="00A70BBB"/>
    <w:rsid w:val="00A73018"/>
    <w:rsid w:val="00A73D9B"/>
    <w:rsid w:val="00A76A35"/>
    <w:rsid w:val="00A81200"/>
    <w:rsid w:val="00A86981"/>
    <w:rsid w:val="00A87087"/>
    <w:rsid w:val="00A9289D"/>
    <w:rsid w:val="00A955E2"/>
    <w:rsid w:val="00AA0113"/>
    <w:rsid w:val="00AA07E4"/>
    <w:rsid w:val="00AA6733"/>
    <w:rsid w:val="00AB3CF7"/>
    <w:rsid w:val="00AB6F99"/>
    <w:rsid w:val="00AC723D"/>
    <w:rsid w:val="00AD1A88"/>
    <w:rsid w:val="00AD7690"/>
    <w:rsid w:val="00AE1467"/>
    <w:rsid w:val="00AE189F"/>
    <w:rsid w:val="00AF0D7C"/>
    <w:rsid w:val="00AF2C08"/>
    <w:rsid w:val="00AF4C81"/>
    <w:rsid w:val="00AF773F"/>
    <w:rsid w:val="00B06DBD"/>
    <w:rsid w:val="00B12940"/>
    <w:rsid w:val="00B138D3"/>
    <w:rsid w:val="00B17FC5"/>
    <w:rsid w:val="00B22BC5"/>
    <w:rsid w:val="00B2711C"/>
    <w:rsid w:val="00B33EE7"/>
    <w:rsid w:val="00B40DEC"/>
    <w:rsid w:val="00B45AA3"/>
    <w:rsid w:val="00B55706"/>
    <w:rsid w:val="00B65640"/>
    <w:rsid w:val="00B76132"/>
    <w:rsid w:val="00B84928"/>
    <w:rsid w:val="00B86692"/>
    <w:rsid w:val="00B868A9"/>
    <w:rsid w:val="00B90F38"/>
    <w:rsid w:val="00B90FBB"/>
    <w:rsid w:val="00BA1CE6"/>
    <w:rsid w:val="00BA51CF"/>
    <w:rsid w:val="00BB64CA"/>
    <w:rsid w:val="00BC15B9"/>
    <w:rsid w:val="00BD0389"/>
    <w:rsid w:val="00BD091C"/>
    <w:rsid w:val="00BD3183"/>
    <w:rsid w:val="00BE38C5"/>
    <w:rsid w:val="00BE3E81"/>
    <w:rsid w:val="00BE56E1"/>
    <w:rsid w:val="00BF0A22"/>
    <w:rsid w:val="00BF14EB"/>
    <w:rsid w:val="00BF214E"/>
    <w:rsid w:val="00BF24E3"/>
    <w:rsid w:val="00C045E5"/>
    <w:rsid w:val="00C06D70"/>
    <w:rsid w:val="00C14FE3"/>
    <w:rsid w:val="00C17657"/>
    <w:rsid w:val="00C31C16"/>
    <w:rsid w:val="00C4011B"/>
    <w:rsid w:val="00C5475A"/>
    <w:rsid w:val="00C567D2"/>
    <w:rsid w:val="00C61207"/>
    <w:rsid w:val="00C62E3C"/>
    <w:rsid w:val="00C77B0A"/>
    <w:rsid w:val="00C8132B"/>
    <w:rsid w:val="00C8497A"/>
    <w:rsid w:val="00C86A78"/>
    <w:rsid w:val="00C97AE8"/>
    <w:rsid w:val="00CB45EF"/>
    <w:rsid w:val="00CB4714"/>
    <w:rsid w:val="00CB795C"/>
    <w:rsid w:val="00CC08F0"/>
    <w:rsid w:val="00CC0DD5"/>
    <w:rsid w:val="00CC50D2"/>
    <w:rsid w:val="00CD1836"/>
    <w:rsid w:val="00CD1EA3"/>
    <w:rsid w:val="00CD4FB1"/>
    <w:rsid w:val="00CE0E58"/>
    <w:rsid w:val="00CE2EF5"/>
    <w:rsid w:val="00CE3906"/>
    <w:rsid w:val="00CE3A04"/>
    <w:rsid w:val="00D048F4"/>
    <w:rsid w:val="00D055B8"/>
    <w:rsid w:val="00D0586C"/>
    <w:rsid w:val="00D05B0B"/>
    <w:rsid w:val="00D10DDC"/>
    <w:rsid w:val="00D1483C"/>
    <w:rsid w:val="00D1535E"/>
    <w:rsid w:val="00D22DD1"/>
    <w:rsid w:val="00D27B6F"/>
    <w:rsid w:val="00D31A9E"/>
    <w:rsid w:val="00D3235C"/>
    <w:rsid w:val="00D3321A"/>
    <w:rsid w:val="00D40DBC"/>
    <w:rsid w:val="00D44086"/>
    <w:rsid w:val="00D44807"/>
    <w:rsid w:val="00D50AF4"/>
    <w:rsid w:val="00D5160A"/>
    <w:rsid w:val="00D6267A"/>
    <w:rsid w:val="00D6388C"/>
    <w:rsid w:val="00D67D18"/>
    <w:rsid w:val="00D733F2"/>
    <w:rsid w:val="00D8259A"/>
    <w:rsid w:val="00D82BF6"/>
    <w:rsid w:val="00D9428B"/>
    <w:rsid w:val="00D94624"/>
    <w:rsid w:val="00DA1D9F"/>
    <w:rsid w:val="00DA57FD"/>
    <w:rsid w:val="00DA781A"/>
    <w:rsid w:val="00DA7A57"/>
    <w:rsid w:val="00DB5FFD"/>
    <w:rsid w:val="00DB71B8"/>
    <w:rsid w:val="00DC03CA"/>
    <w:rsid w:val="00DC7C91"/>
    <w:rsid w:val="00DD340C"/>
    <w:rsid w:val="00DD63BA"/>
    <w:rsid w:val="00DD6DF3"/>
    <w:rsid w:val="00DE7580"/>
    <w:rsid w:val="00DF1DC7"/>
    <w:rsid w:val="00DF3E41"/>
    <w:rsid w:val="00DF612F"/>
    <w:rsid w:val="00DF7531"/>
    <w:rsid w:val="00E05632"/>
    <w:rsid w:val="00E07417"/>
    <w:rsid w:val="00E10CA0"/>
    <w:rsid w:val="00E17639"/>
    <w:rsid w:val="00E2585F"/>
    <w:rsid w:val="00E40E00"/>
    <w:rsid w:val="00E42DD2"/>
    <w:rsid w:val="00E46643"/>
    <w:rsid w:val="00E628EC"/>
    <w:rsid w:val="00E7224B"/>
    <w:rsid w:val="00E846D0"/>
    <w:rsid w:val="00EA0146"/>
    <w:rsid w:val="00EA6C35"/>
    <w:rsid w:val="00EB55EE"/>
    <w:rsid w:val="00ED05F7"/>
    <w:rsid w:val="00EE15DB"/>
    <w:rsid w:val="00EE48CB"/>
    <w:rsid w:val="00EE5F2F"/>
    <w:rsid w:val="00F03ABA"/>
    <w:rsid w:val="00F057C6"/>
    <w:rsid w:val="00F06970"/>
    <w:rsid w:val="00F07B1B"/>
    <w:rsid w:val="00F1308C"/>
    <w:rsid w:val="00F2083E"/>
    <w:rsid w:val="00F2506C"/>
    <w:rsid w:val="00F44668"/>
    <w:rsid w:val="00F46AA8"/>
    <w:rsid w:val="00F672AF"/>
    <w:rsid w:val="00F67FF5"/>
    <w:rsid w:val="00F70341"/>
    <w:rsid w:val="00F72A8D"/>
    <w:rsid w:val="00F8178D"/>
    <w:rsid w:val="00F83314"/>
    <w:rsid w:val="00F86927"/>
    <w:rsid w:val="00F90F32"/>
    <w:rsid w:val="00F930E5"/>
    <w:rsid w:val="00FA7902"/>
    <w:rsid w:val="00FB0CE7"/>
    <w:rsid w:val="00FB567A"/>
    <w:rsid w:val="00FB774A"/>
    <w:rsid w:val="00FC1C90"/>
    <w:rsid w:val="00FC3B72"/>
    <w:rsid w:val="00FC5125"/>
    <w:rsid w:val="00FC6261"/>
    <w:rsid w:val="00FC765D"/>
    <w:rsid w:val="00FD391E"/>
    <w:rsid w:val="00FD4FC8"/>
    <w:rsid w:val="00FD6048"/>
    <w:rsid w:val="00FE1C4F"/>
    <w:rsid w:val="00FF7E1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martTagType w:namespaceuri="schemas-tilde-lv/tildestengine" w:name="date"/>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5E8"/>
    <w:rPr>
      <w:rFonts w:ascii="Times New Roman" w:eastAsia="Times New Roman" w:hAnsi="Times New Roman"/>
      <w:sz w:val="24"/>
      <w:szCs w:val="24"/>
    </w:rPr>
  </w:style>
  <w:style w:type="paragraph" w:styleId="Heading3">
    <w:name w:val="heading 3"/>
    <w:basedOn w:val="Normal"/>
    <w:next w:val="Normal"/>
    <w:qFormat/>
    <w:rsid w:val="00724552"/>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565E8"/>
    <w:pPr>
      <w:spacing w:before="75" w:after="75"/>
      <w:ind w:firstLine="375"/>
      <w:jc w:val="both"/>
    </w:pPr>
  </w:style>
  <w:style w:type="paragraph" w:customStyle="1" w:styleId="naisnod">
    <w:name w:val="naisnod"/>
    <w:basedOn w:val="Normal"/>
    <w:rsid w:val="00A565E8"/>
    <w:pPr>
      <w:spacing w:before="150" w:after="150"/>
      <w:jc w:val="center"/>
    </w:pPr>
    <w:rPr>
      <w:b/>
      <w:bCs/>
    </w:rPr>
  </w:style>
  <w:style w:type="paragraph" w:customStyle="1" w:styleId="naiskr">
    <w:name w:val="naiskr"/>
    <w:basedOn w:val="Normal"/>
    <w:rsid w:val="00A565E8"/>
    <w:pPr>
      <w:spacing w:before="75" w:after="75"/>
    </w:pPr>
  </w:style>
  <w:style w:type="character" w:customStyle="1" w:styleId="spelle">
    <w:name w:val="spelle"/>
    <w:basedOn w:val="DefaultParagraphFont"/>
    <w:rsid w:val="00A565E8"/>
  </w:style>
  <w:style w:type="paragraph" w:styleId="ListParagraph">
    <w:name w:val="List Paragraph"/>
    <w:basedOn w:val="Normal"/>
    <w:uiPriority w:val="34"/>
    <w:qFormat/>
    <w:rsid w:val="00A565E8"/>
    <w:pPr>
      <w:spacing w:after="200" w:line="276" w:lineRule="auto"/>
      <w:ind w:left="720"/>
      <w:contextualSpacing/>
    </w:pPr>
    <w:rPr>
      <w:rFonts w:ascii="Calibri" w:eastAsia="Calibri" w:hAnsi="Calibri"/>
      <w:sz w:val="22"/>
      <w:szCs w:val="22"/>
      <w:lang w:eastAsia="en-US"/>
    </w:rPr>
  </w:style>
  <w:style w:type="paragraph" w:customStyle="1" w:styleId="naislab">
    <w:name w:val="naislab"/>
    <w:basedOn w:val="Normal"/>
    <w:rsid w:val="00A565E8"/>
    <w:pPr>
      <w:spacing w:before="75" w:after="75"/>
      <w:jc w:val="right"/>
    </w:pPr>
  </w:style>
  <w:style w:type="paragraph" w:customStyle="1" w:styleId="naisc">
    <w:name w:val="naisc"/>
    <w:basedOn w:val="Normal"/>
    <w:rsid w:val="00A565E8"/>
    <w:pPr>
      <w:spacing w:before="75" w:after="75"/>
      <w:jc w:val="center"/>
    </w:pPr>
  </w:style>
  <w:style w:type="character" w:styleId="Hyperlink">
    <w:name w:val="Hyperlink"/>
    <w:basedOn w:val="DefaultParagraphFont"/>
    <w:unhideWhenUsed/>
    <w:rsid w:val="00A565E8"/>
    <w:rPr>
      <w:color w:val="0000FF"/>
      <w:u w:val="single"/>
    </w:rPr>
  </w:style>
  <w:style w:type="paragraph" w:styleId="Header">
    <w:name w:val="header"/>
    <w:basedOn w:val="Normal"/>
    <w:link w:val="HeaderChar"/>
    <w:uiPriority w:val="99"/>
    <w:unhideWhenUsed/>
    <w:rsid w:val="00A565E8"/>
    <w:pPr>
      <w:tabs>
        <w:tab w:val="center" w:pos="4320"/>
        <w:tab w:val="right" w:pos="8640"/>
      </w:tabs>
    </w:pPr>
  </w:style>
  <w:style w:type="character" w:customStyle="1" w:styleId="HeaderChar">
    <w:name w:val="Header Char"/>
    <w:basedOn w:val="DefaultParagraphFont"/>
    <w:link w:val="Header"/>
    <w:uiPriority w:val="99"/>
    <w:rsid w:val="00A565E8"/>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semiHidden/>
    <w:unhideWhenUsed/>
    <w:rsid w:val="00A565E8"/>
    <w:pPr>
      <w:tabs>
        <w:tab w:val="center" w:pos="4320"/>
        <w:tab w:val="right" w:pos="8640"/>
      </w:tabs>
    </w:pPr>
  </w:style>
  <w:style w:type="character" w:customStyle="1" w:styleId="FooterChar">
    <w:name w:val="Footer Char"/>
    <w:basedOn w:val="DefaultParagraphFont"/>
    <w:link w:val="Footer"/>
    <w:uiPriority w:val="99"/>
    <w:semiHidden/>
    <w:rsid w:val="00A565E8"/>
    <w:rPr>
      <w:rFonts w:ascii="Times New Roman" w:eastAsia="Times New Roman" w:hAnsi="Times New Roman" w:cs="Times New Roman"/>
      <w:sz w:val="24"/>
      <w:szCs w:val="24"/>
      <w:lang w:val="lv-LV" w:eastAsia="lv-LV"/>
    </w:rPr>
  </w:style>
  <w:style w:type="paragraph" w:styleId="NormalWeb">
    <w:name w:val="Normal (Web)"/>
    <w:basedOn w:val="Normal"/>
    <w:rsid w:val="00B22BC5"/>
    <w:pPr>
      <w:spacing w:before="100" w:after="100"/>
    </w:pPr>
    <w:rPr>
      <w:szCs w:val="20"/>
      <w:lang w:val="en-GB" w:eastAsia="en-US"/>
    </w:rPr>
  </w:style>
  <w:style w:type="character" w:styleId="Strong">
    <w:name w:val="Strong"/>
    <w:basedOn w:val="DefaultParagraphFont"/>
    <w:uiPriority w:val="22"/>
    <w:qFormat/>
    <w:rsid w:val="00B22BC5"/>
    <w:rPr>
      <w:b/>
      <w:bCs/>
    </w:rPr>
  </w:style>
  <w:style w:type="paragraph" w:styleId="BodyTextIndent3">
    <w:name w:val="Body Text Indent 3"/>
    <w:basedOn w:val="Normal"/>
    <w:rsid w:val="00724552"/>
    <w:pPr>
      <w:spacing w:after="120"/>
      <w:ind w:left="283"/>
    </w:pPr>
    <w:rPr>
      <w:sz w:val="16"/>
      <w:szCs w:val="16"/>
      <w:lang w:val="en-US"/>
    </w:rPr>
  </w:style>
  <w:style w:type="paragraph" w:styleId="BodyTextIndent">
    <w:name w:val="Body Text Indent"/>
    <w:basedOn w:val="Normal"/>
    <w:link w:val="BodyTextIndentChar"/>
    <w:rsid w:val="00BF0A22"/>
    <w:pPr>
      <w:spacing w:after="120"/>
      <w:ind w:left="283"/>
    </w:pPr>
  </w:style>
  <w:style w:type="character" w:customStyle="1" w:styleId="BodyTextIndentChar">
    <w:name w:val="Body Text Indent Char"/>
    <w:basedOn w:val="DefaultParagraphFont"/>
    <w:link w:val="BodyTextIndent"/>
    <w:rsid w:val="00BF0A22"/>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508D7"/>
    <w:rPr>
      <w:rFonts w:ascii="Tahoma" w:hAnsi="Tahoma" w:cs="Tahoma"/>
      <w:sz w:val="16"/>
      <w:szCs w:val="16"/>
    </w:rPr>
  </w:style>
  <w:style w:type="character" w:customStyle="1" w:styleId="BalloonTextChar">
    <w:name w:val="Balloon Text Char"/>
    <w:basedOn w:val="DefaultParagraphFont"/>
    <w:link w:val="BalloonText"/>
    <w:uiPriority w:val="99"/>
    <w:semiHidden/>
    <w:rsid w:val="009508D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3420961">
      <w:bodyDiv w:val="1"/>
      <w:marLeft w:val="0"/>
      <w:marRight w:val="0"/>
      <w:marTop w:val="0"/>
      <w:marBottom w:val="0"/>
      <w:divBdr>
        <w:top w:val="none" w:sz="0" w:space="0" w:color="auto"/>
        <w:left w:val="none" w:sz="0" w:space="0" w:color="auto"/>
        <w:bottom w:val="none" w:sz="0" w:space="0" w:color="auto"/>
        <w:right w:val="none" w:sz="0" w:space="0" w:color="auto"/>
      </w:divBdr>
    </w:div>
    <w:div w:id="541020942">
      <w:bodyDiv w:val="1"/>
      <w:marLeft w:val="0"/>
      <w:marRight w:val="0"/>
      <w:marTop w:val="0"/>
      <w:marBottom w:val="0"/>
      <w:divBdr>
        <w:top w:val="none" w:sz="0" w:space="0" w:color="auto"/>
        <w:left w:val="none" w:sz="0" w:space="0" w:color="auto"/>
        <w:bottom w:val="none" w:sz="0" w:space="0" w:color="auto"/>
        <w:right w:val="none" w:sz="0" w:space="0" w:color="auto"/>
      </w:divBdr>
    </w:div>
    <w:div w:id="818813810">
      <w:bodyDiv w:val="1"/>
      <w:marLeft w:val="0"/>
      <w:marRight w:val="0"/>
      <w:marTop w:val="0"/>
      <w:marBottom w:val="0"/>
      <w:divBdr>
        <w:top w:val="none" w:sz="0" w:space="0" w:color="auto"/>
        <w:left w:val="none" w:sz="0" w:space="0" w:color="auto"/>
        <w:bottom w:val="none" w:sz="0" w:space="0" w:color="auto"/>
        <w:right w:val="none" w:sz="0" w:space="0" w:color="auto"/>
      </w:divBdr>
      <w:divsChild>
        <w:div w:id="1885024317">
          <w:marLeft w:val="0"/>
          <w:marRight w:val="0"/>
          <w:marTop w:val="0"/>
          <w:marBottom w:val="0"/>
          <w:divBdr>
            <w:top w:val="none" w:sz="0" w:space="0" w:color="auto"/>
            <w:left w:val="none" w:sz="0" w:space="0" w:color="auto"/>
            <w:bottom w:val="none" w:sz="0" w:space="0" w:color="auto"/>
            <w:right w:val="none" w:sz="0" w:space="0" w:color="auto"/>
          </w:divBdr>
        </w:div>
      </w:divsChild>
    </w:div>
    <w:div w:id="880362318">
      <w:bodyDiv w:val="1"/>
      <w:marLeft w:val="0"/>
      <w:marRight w:val="0"/>
      <w:marTop w:val="0"/>
      <w:marBottom w:val="0"/>
      <w:divBdr>
        <w:top w:val="none" w:sz="0" w:space="0" w:color="auto"/>
        <w:left w:val="none" w:sz="0" w:space="0" w:color="auto"/>
        <w:bottom w:val="none" w:sz="0" w:space="0" w:color="auto"/>
        <w:right w:val="none" w:sz="0" w:space="0" w:color="auto"/>
      </w:divBdr>
      <w:divsChild>
        <w:div w:id="1492989040">
          <w:marLeft w:val="0"/>
          <w:marRight w:val="0"/>
          <w:marTop w:val="0"/>
          <w:marBottom w:val="0"/>
          <w:divBdr>
            <w:top w:val="none" w:sz="0" w:space="0" w:color="auto"/>
            <w:left w:val="none" w:sz="0" w:space="0" w:color="auto"/>
            <w:bottom w:val="none" w:sz="0" w:space="0" w:color="auto"/>
            <w:right w:val="none" w:sz="0" w:space="0" w:color="auto"/>
          </w:divBdr>
        </w:div>
      </w:divsChild>
    </w:div>
    <w:div w:id="896822431">
      <w:bodyDiv w:val="1"/>
      <w:marLeft w:val="0"/>
      <w:marRight w:val="0"/>
      <w:marTop w:val="0"/>
      <w:marBottom w:val="0"/>
      <w:divBdr>
        <w:top w:val="none" w:sz="0" w:space="0" w:color="auto"/>
        <w:left w:val="none" w:sz="0" w:space="0" w:color="auto"/>
        <w:bottom w:val="none" w:sz="0" w:space="0" w:color="auto"/>
        <w:right w:val="none" w:sz="0" w:space="0" w:color="auto"/>
      </w:divBdr>
    </w:div>
    <w:div w:id="972056758">
      <w:bodyDiv w:val="1"/>
      <w:marLeft w:val="0"/>
      <w:marRight w:val="0"/>
      <w:marTop w:val="0"/>
      <w:marBottom w:val="0"/>
      <w:divBdr>
        <w:top w:val="none" w:sz="0" w:space="0" w:color="auto"/>
        <w:left w:val="none" w:sz="0" w:space="0" w:color="auto"/>
        <w:bottom w:val="none" w:sz="0" w:space="0" w:color="auto"/>
        <w:right w:val="none" w:sz="0" w:space="0" w:color="auto"/>
      </w:divBdr>
      <w:divsChild>
        <w:div w:id="1717390723">
          <w:marLeft w:val="0"/>
          <w:marRight w:val="0"/>
          <w:marTop w:val="0"/>
          <w:marBottom w:val="0"/>
          <w:divBdr>
            <w:top w:val="none" w:sz="0" w:space="0" w:color="auto"/>
            <w:left w:val="none" w:sz="0" w:space="0" w:color="auto"/>
            <w:bottom w:val="none" w:sz="0" w:space="0" w:color="auto"/>
            <w:right w:val="none" w:sz="0" w:space="0" w:color="auto"/>
          </w:divBdr>
          <w:divsChild>
            <w:div w:id="97741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2895">
      <w:bodyDiv w:val="1"/>
      <w:marLeft w:val="0"/>
      <w:marRight w:val="0"/>
      <w:marTop w:val="0"/>
      <w:marBottom w:val="0"/>
      <w:divBdr>
        <w:top w:val="none" w:sz="0" w:space="0" w:color="auto"/>
        <w:left w:val="none" w:sz="0" w:space="0" w:color="auto"/>
        <w:bottom w:val="none" w:sz="0" w:space="0" w:color="auto"/>
        <w:right w:val="none" w:sz="0" w:space="0" w:color="auto"/>
      </w:divBdr>
    </w:div>
    <w:div w:id="1184709660">
      <w:bodyDiv w:val="1"/>
      <w:marLeft w:val="0"/>
      <w:marRight w:val="0"/>
      <w:marTop w:val="0"/>
      <w:marBottom w:val="0"/>
      <w:divBdr>
        <w:top w:val="none" w:sz="0" w:space="0" w:color="auto"/>
        <w:left w:val="none" w:sz="0" w:space="0" w:color="auto"/>
        <w:bottom w:val="none" w:sz="0" w:space="0" w:color="auto"/>
        <w:right w:val="none" w:sz="0" w:space="0" w:color="auto"/>
      </w:divBdr>
      <w:divsChild>
        <w:div w:id="127556776">
          <w:marLeft w:val="0"/>
          <w:marRight w:val="0"/>
          <w:marTop w:val="0"/>
          <w:marBottom w:val="0"/>
          <w:divBdr>
            <w:top w:val="none" w:sz="0" w:space="0" w:color="auto"/>
            <w:left w:val="none" w:sz="0" w:space="0" w:color="auto"/>
            <w:bottom w:val="none" w:sz="0" w:space="0" w:color="auto"/>
            <w:right w:val="none" w:sz="0" w:space="0" w:color="auto"/>
          </w:divBdr>
        </w:div>
      </w:divsChild>
    </w:div>
    <w:div w:id="1368675998">
      <w:bodyDiv w:val="1"/>
      <w:marLeft w:val="0"/>
      <w:marRight w:val="0"/>
      <w:marTop w:val="0"/>
      <w:marBottom w:val="0"/>
      <w:divBdr>
        <w:top w:val="none" w:sz="0" w:space="0" w:color="auto"/>
        <w:left w:val="none" w:sz="0" w:space="0" w:color="auto"/>
        <w:bottom w:val="none" w:sz="0" w:space="0" w:color="auto"/>
        <w:right w:val="none" w:sz="0" w:space="0" w:color="auto"/>
      </w:divBdr>
      <w:divsChild>
        <w:div w:id="682518270">
          <w:marLeft w:val="0"/>
          <w:marRight w:val="0"/>
          <w:marTop w:val="0"/>
          <w:marBottom w:val="0"/>
          <w:divBdr>
            <w:top w:val="none" w:sz="0" w:space="0" w:color="auto"/>
            <w:left w:val="none" w:sz="0" w:space="0" w:color="auto"/>
            <w:bottom w:val="none" w:sz="0" w:space="0" w:color="auto"/>
            <w:right w:val="none" w:sz="0" w:space="0" w:color="auto"/>
          </w:divBdr>
        </w:div>
      </w:divsChild>
    </w:div>
    <w:div w:id="1825852667">
      <w:bodyDiv w:val="1"/>
      <w:marLeft w:val="0"/>
      <w:marRight w:val="0"/>
      <w:marTop w:val="0"/>
      <w:marBottom w:val="0"/>
      <w:divBdr>
        <w:top w:val="none" w:sz="0" w:space="0" w:color="auto"/>
        <w:left w:val="none" w:sz="0" w:space="0" w:color="auto"/>
        <w:bottom w:val="none" w:sz="0" w:space="0" w:color="auto"/>
        <w:right w:val="none" w:sz="0" w:space="0" w:color="auto"/>
      </w:divBdr>
    </w:div>
    <w:div w:id="207041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in_site/tools/download.php?file=files/text/finansu_instrumenti/ETS/likumd//1083_2006_es.pdf" TargetMode="External"/><Relationship Id="rId13" Type="http://schemas.openxmlformats.org/officeDocument/2006/relationships/hyperlink" Target="http://www.varam.gov.lv/in_site/tools/download.php?file=files/text/finansu_instrumenti/ETS/likumd//1083_2006_e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ram.gov.lv/in_site/tools/download.php?file=files/text/finansu_instrumenti/ETS/likumd//1638_2006_es.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ram.gov.lv/in_site/tools/download.php?file=files/text/finansu_instrumenti/ETS/likumd//1083_2006_es.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aplm.gov.lv/uploads/filedir/ES/IRRegulation95107forENPI.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aram.gov.lv/in_site/tools/download.php?file=files/text/finansu_instrumenti/ETS/likumd//1638_2006_es.pdf" TargetMode="External"/><Relationship Id="rId14" Type="http://schemas.openxmlformats.org/officeDocument/2006/relationships/hyperlink" Target="mailto:ilga.gruseva@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94B0E-C351-46DE-8EB2-AA724F383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7</Pages>
  <Words>1794</Words>
  <Characters>13101</Characters>
  <Application>Microsoft Office Word</Application>
  <DocSecurity>0</DocSecurity>
  <Lines>436</Lines>
  <Paragraphs>113</Paragraphs>
  <ScaleCrop>false</ScaleCrop>
  <HeadingPairs>
    <vt:vector size="2" baseType="variant">
      <vt:variant>
        <vt:lpstr>Title</vt:lpstr>
      </vt:variant>
      <vt:variant>
        <vt:i4>1</vt:i4>
      </vt:variant>
    </vt:vector>
  </HeadingPairs>
  <TitlesOfParts>
    <vt:vector size="1" baseType="lpstr">
      <vt:lpstr>Ministru kabineta noteikumu projekta anotācija</vt:lpstr>
    </vt:vector>
  </TitlesOfParts>
  <Manager>Attīstības instrumentu departaments</Manager>
  <Company>Vides aizsardzības un reģionālās attīstības ministrija</Company>
  <LinksUpToDate>false</LinksUpToDate>
  <CharactersWithSpaces>14861</CharactersWithSpaces>
  <SharedDoc>false</SharedDoc>
  <HLinks>
    <vt:vector size="6" baseType="variant">
      <vt:variant>
        <vt:i4>7077957</vt:i4>
      </vt:variant>
      <vt:variant>
        <vt:i4>0</vt:i4>
      </vt:variant>
      <vt:variant>
        <vt:i4>0</vt:i4>
      </vt:variant>
      <vt:variant>
        <vt:i4>5</vt:i4>
      </vt:variant>
      <vt:variant>
        <vt:lpwstr>mailto:ilga.gruseva@varam.gov.lv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anotācija</dc:title>
  <dc:subject>Ministru kabineta noteikumu projekta anotācija</dc:subject>
  <dc:creator>Ilga Gruševa</dc:creator>
  <cp:keywords>VARAManot_230312_890</cp:keywords>
  <dc:description>ilga.gruseva@varam.gov.lv; 67026472</dc:description>
  <cp:lastModifiedBy>IlgaGruseva</cp:lastModifiedBy>
  <cp:revision>96</cp:revision>
  <cp:lastPrinted>2011-08-17T08:10:00Z</cp:lastPrinted>
  <dcterms:created xsi:type="dcterms:W3CDTF">2011-09-23T10:50:00Z</dcterms:created>
  <dcterms:modified xsi:type="dcterms:W3CDTF">2012-07-25T07:17:00Z</dcterms:modified>
</cp:coreProperties>
</file>