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Default="00977658" w:rsidP="006E5D7B">
      <w:pPr>
        <w:jc w:val="center"/>
        <w:rPr>
          <w:b/>
          <w:sz w:val="28"/>
          <w:szCs w:val="28"/>
        </w:rPr>
      </w:pPr>
      <w:r>
        <w:rPr>
          <w:b/>
          <w:sz w:val="28"/>
          <w:szCs w:val="28"/>
        </w:rPr>
        <w:t>Ministru kabineta r</w:t>
      </w:r>
      <w:r w:rsidR="000908E2">
        <w:rPr>
          <w:b/>
          <w:sz w:val="28"/>
          <w:szCs w:val="28"/>
        </w:rPr>
        <w:t>īkojuma projekta „</w:t>
      </w:r>
      <w:r w:rsidR="006E5D7B" w:rsidRPr="00F20158">
        <w:rPr>
          <w:b/>
          <w:sz w:val="28"/>
          <w:szCs w:val="28"/>
        </w:rPr>
        <w:t>Par</w:t>
      </w:r>
      <w:r w:rsidR="006E5D7B">
        <w:rPr>
          <w:b/>
          <w:sz w:val="28"/>
          <w:szCs w:val="28"/>
        </w:rPr>
        <w:t xml:space="preserve"> iekārtu sarakstu emisijas kvotu sadalei </w:t>
      </w:r>
      <w:r w:rsidR="006E5D7B" w:rsidRPr="00F20158">
        <w:rPr>
          <w:b/>
          <w:sz w:val="28"/>
          <w:szCs w:val="28"/>
        </w:rPr>
        <w:t>20</w:t>
      </w:r>
      <w:r w:rsidR="006E5D7B">
        <w:rPr>
          <w:b/>
          <w:sz w:val="28"/>
          <w:szCs w:val="28"/>
        </w:rPr>
        <w:t>13</w:t>
      </w:r>
      <w:r w:rsidR="006E5D7B" w:rsidRPr="00F20158">
        <w:rPr>
          <w:b/>
          <w:sz w:val="28"/>
          <w:szCs w:val="28"/>
        </w:rPr>
        <w:t>.-202</w:t>
      </w:r>
      <w:r w:rsidR="006E5D7B">
        <w:rPr>
          <w:b/>
          <w:sz w:val="28"/>
          <w:szCs w:val="28"/>
        </w:rPr>
        <w:t>0</w:t>
      </w:r>
      <w:r w:rsidR="006E5D7B" w:rsidRPr="00F20158">
        <w:rPr>
          <w:b/>
          <w:sz w:val="28"/>
          <w:szCs w:val="28"/>
        </w:rPr>
        <w:t>.gadam</w:t>
      </w:r>
      <w:r w:rsidR="00F60992">
        <w:rPr>
          <w:b/>
          <w:sz w:val="28"/>
          <w:szCs w:val="28"/>
        </w:rPr>
        <w:t>”</w:t>
      </w:r>
      <w:r w:rsidR="00852042" w:rsidRPr="007C0F2C">
        <w:rPr>
          <w:b/>
          <w:sz w:val="28"/>
          <w:szCs w:val="28"/>
        </w:rPr>
        <w:t xml:space="preserve"> sākotnējā</w:t>
      </w:r>
      <w:r w:rsidR="002D3306" w:rsidRPr="007C0F2C">
        <w:rPr>
          <w:b/>
          <w:sz w:val="28"/>
          <w:szCs w:val="28"/>
        </w:rPr>
        <w:t>s</w:t>
      </w:r>
      <w:r w:rsidR="00852042" w:rsidRPr="007C0F2C">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7C0F2C">
          <w:rPr>
            <w:b/>
            <w:sz w:val="28"/>
            <w:szCs w:val="28"/>
          </w:rPr>
          <w:t>ziņojums</w:t>
        </w:r>
      </w:smartTag>
      <w:r w:rsidR="00852042" w:rsidRPr="007C0F2C">
        <w:rPr>
          <w:b/>
          <w:sz w:val="28"/>
          <w:szCs w:val="28"/>
        </w:rPr>
        <w:t xml:space="preserve"> (anotācija)</w:t>
      </w:r>
    </w:p>
    <w:p w:rsidR="00ED7E1F" w:rsidRPr="007C0F2C" w:rsidRDefault="00ED7E1F" w:rsidP="00AD3269">
      <w:pPr>
        <w:pStyle w:val="naislab"/>
        <w:spacing w:before="0" w:after="0"/>
        <w:jc w:val="center"/>
        <w:outlineLvl w:val="0"/>
        <w:rPr>
          <w:b/>
          <w:sz w:val="28"/>
          <w:szCs w:val="28"/>
        </w:rPr>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2007"/>
        <w:gridCol w:w="6662"/>
      </w:tblGrid>
      <w:tr w:rsidR="00852042" w:rsidRPr="00ED7E1F" w:rsidTr="00ED7E1F">
        <w:tc>
          <w:tcPr>
            <w:tcW w:w="9072" w:type="dxa"/>
            <w:gridSpan w:val="3"/>
            <w:vAlign w:val="center"/>
          </w:tcPr>
          <w:p w:rsidR="00852042" w:rsidRPr="00ED7E1F" w:rsidRDefault="00852042" w:rsidP="006C4607">
            <w:pPr>
              <w:pStyle w:val="naisnod"/>
              <w:spacing w:before="0" w:after="0"/>
            </w:pPr>
            <w:r w:rsidRPr="00ED7E1F">
              <w:t>I</w:t>
            </w:r>
            <w:r w:rsidR="000941C5" w:rsidRPr="00ED7E1F">
              <w:t>.</w:t>
            </w:r>
            <w:r w:rsidRPr="00ED7E1F">
              <w:t xml:space="preserve"> Tiesību akta </w:t>
            </w:r>
            <w:r w:rsidR="002E3FF4" w:rsidRPr="00ED7E1F">
              <w:t xml:space="preserve">projekta </w:t>
            </w:r>
            <w:r w:rsidRPr="00ED7E1F">
              <w:t>izstrādes nepieciešamība</w:t>
            </w:r>
          </w:p>
        </w:tc>
      </w:tr>
      <w:tr w:rsidR="00262E2B" w:rsidRPr="00ED7E1F" w:rsidTr="008C6251">
        <w:trPr>
          <w:trHeight w:val="630"/>
        </w:trPr>
        <w:tc>
          <w:tcPr>
            <w:tcW w:w="403" w:type="dxa"/>
          </w:tcPr>
          <w:p w:rsidR="00262E2B" w:rsidRPr="00ED7E1F" w:rsidRDefault="00262E2B" w:rsidP="006C4607">
            <w:pPr>
              <w:pStyle w:val="naiskr"/>
              <w:spacing w:before="0" w:after="0"/>
            </w:pPr>
            <w:r w:rsidRPr="00ED7E1F">
              <w:t>1.</w:t>
            </w:r>
          </w:p>
        </w:tc>
        <w:tc>
          <w:tcPr>
            <w:tcW w:w="2007" w:type="dxa"/>
          </w:tcPr>
          <w:p w:rsidR="000908E2" w:rsidRPr="00ED7E1F" w:rsidRDefault="002D7F54" w:rsidP="00BC01E7">
            <w:pPr>
              <w:pStyle w:val="naiskr"/>
              <w:spacing w:before="0" w:after="0"/>
              <w:ind w:hanging="10"/>
            </w:pPr>
            <w:r w:rsidRPr="00ED7E1F">
              <w:t>Pamatojums</w:t>
            </w:r>
          </w:p>
          <w:p w:rsidR="000908E2" w:rsidRPr="00ED7E1F" w:rsidRDefault="000908E2" w:rsidP="000908E2"/>
          <w:p w:rsidR="000908E2" w:rsidRPr="00ED7E1F" w:rsidRDefault="000908E2" w:rsidP="000908E2"/>
          <w:p w:rsidR="000908E2" w:rsidRPr="00ED7E1F" w:rsidRDefault="000908E2" w:rsidP="000908E2"/>
          <w:p w:rsidR="000908E2" w:rsidRPr="00ED7E1F" w:rsidRDefault="000908E2" w:rsidP="000908E2"/>
          <w:p w:rsidR="000908E2" w:rsidRPr="00ED7E1F" w:rsidRDefault="000908E2" w:rsidP="000908E2"/>
          <w:p w:rsidR="00262E2B" w:rsidRPr="00ED7E1F" w:rsidRDefault="000908E2" w:rsidP="000908E2">
            <w:pPr>
              <w:tabs>
                <w:tab w:val="left" w:pos="1035"/>
              </w:tabs>
            </w:pPr>
            <w:r w:rsidRPr="00ED7E1F">
              <w:tab/>
            </w:r>
          </w:p>
        </w:tc>
        <w:tc>
          <w:tcPr>
            <w:tcW w:w="6662" w:type="dxa"/>
          </w:tcPr>
          <w:p w:rsidR="00973DDF" w:rsidRDefault="00F60992" w:rsidP="00D63AFE">
            <w:pPr>
              <w:autoSpaceDE w:val="0"/>
              <w:autoSpaceDN w:val="0"/>
              <w:adjustRightInd w:val="0"/>
              <w:spacing w:after="120"/>
              <w:ind w:firstLine="244"/>
              <w:jc w:val="both"/>
              <w:rPr>
                <w:rStyle w:val="apple-style-span"/>
                <w:color w:val="000000"/>
                <w:shd w:val="clear" w:color="auto" w:fill="FFFFFF"/>
              </w:rPr>
            </w:pPr>
            <w:r>
              <w:t xml:space="preserve"> </w:t>
            </w:r>
            <w:r w:rsidR="00973DDF" w:rsidRPr="00973DDF">
              <w:rPr>
                <w:bCs/>
              </w:rPr>
              <w:t xml:space="preserve"> Likuma „Par piesārņojumu” Pārejas noteikumu 12.punkts nosaka, ka</w:t>
            </w:r>
            <w:r w:rsidR="00973DDF" w:rsidRPr="00973DDF">
              <w:rPr>
                <w:rStyle w:val="apple-converted-space"/>
                <w:color w:val="000000"/>
                <w:shd w:val="clear" w:color="auto" w:fill="FFFFFF"/>
              </w:rPr>
              <w:t> </w:t>
            </w:r>
            <w:r w:rsidR="00973DDF" w:rsidRPr="00973DDF">
              <w:rPr>
                <w:rStyle w:val="apple-style-span"/>
                <w:color w:val="000000"/>
                <w:shd w:val="clear" w:color="auto" w:fill="FFFFFF"/>
              </w:rPr>
              <w:t>Ministru kabinets līdz 2011.gada 30.septembrim apstiprina iekārtu sarakstu periodam no 2013.gada 1.janvāra līdz 2020.gada 31.decembrim.</w:t>
            </w:r>
          </w:p>
          <w:p w:rsidR="002527F4" w:rsidRPr="00ED7E1F" w:rsidRDefault="002527F4" w:rsidP="00D63AFE">
            <w:pPr>
              <w:autoSpaceDE w:val="0"/>
              <w:autoSpaceDN w:val="0"/>
              <w:adjustRightInd w:val="0"/>
              <w:spacing w:after="120"/>
              <w:ind w:firstLine="244"/>
              <w:jc w:val="both"/>
            </w:pPr>
          </w:p>
        </w:tc>
      </w:tr>
      <w:tr w:rsidR="00262E2B" w:rsidRPr="00ED7E1F" w:rsidTr="003B0C7D">
        <w:trPr>
          <w:trHeight w:val="472"/>
        </w:trPr>
        <w:tc>
          <w:tcPr>
            <w:tcW w:w="403" w:type="dxa"/>
          </w:tcPr>
          <w:p w:rsidR="00262E2B" w:rsidRPr="00ED7E1F" w:rsidRDefault="00262E2B" w:rsidP="006C4607">
            <w:pPr>
              <w:pStyle w:val="naiskr"/>
              <w:spacing w:before="0" w:after="0"/>
            </w:pPr>
            <w:r w:rsidRPr="00ED7E1F">
              <w:t>2.</w:t>
            </w:r>
          </w:p>
        </w:tc>
        <w:tc>
          <w:tcPr>
            <w:tcW w:w="2007" w:type="dxa"/>
          </w:tcPr>
          <w:p w:rsidR="00262E2B" w:rsidRPr="00ED7E1F" w:rsidRDefault="00262E2B" w:rsidP="006C4607">
            <w:pPr>
              <w:pStyle w:val="naiskr"/>
              <w:tabs>
                <w:tab w:val="left" w:pos="170"/>
              </w:tabs>
              <w:spacing w:before="0" w:after="0"/>
            </w:pPr>
            <w:r w:rsidRPr="00ED7E1F">
              <w:t>Pašreizējā situācija</w:t>
            </w:r>
            <w:r w:rsidR="001F5CD6" w:rsidRPr="00ED7E1F">
              <w:t xml:space="preserve"> un problēmas</w:t>
            </w:r>
          </w:p>
        </w:tc>
        <w:tc>
          <w:tcPr>
            <w:tcW w:w="6662" w:type="dxa"/>
          </w:tcPr>
          <w:p w:rsidR="00D6300F" w:rsidRPr="001A44A7" w:rsidRDefault="00D6300F" w:rsidP="00D63AFE">
            <w:pPr>
              <w:autoSpaceDE w:val="0"/>
              <w:autoSpaceDN w:val="0"/>
              <w:adjustRightInd w:val="0"/>
              <w:spacing w:after="120"/>
              <w:ind w:firstLine="244"/>
              <w:jc w:val="both"/>
            </w:pPr>
            <w:r w:rsidRPr="001A44A7">
              <w:t>Likuma „Par piesārņojumu” 32.</w:t>
            </w:r>
            <w:r w:rsidRPr="001A44A7">
              <w:rPr>
                <w:vertAlign w:val="superscript"/>
              </w:rPr>
              <w:t>1</w:t>
            </w:r>
            <w:r w:rsidRPr="001A44A7">
              <w:t xml:space="preserve"> panta piektā daļa nosaka, ka Vides aizsardzības un reģionālās attīstības ministrija</w:t>
            </w:r>
            <w:r w:rsidR="00BC3F5B" w:rsidRPr="001A44A7">
              <w:t xml:space="preserve"> (turpmāk – VARAM)</w:t>
            </w:r>
            <w:r w:rsidRPr="001A44A7">
              <w:t xml:space="preserve"> izstrādā un Ministru kabinets apstiprina iekārtu sarakstu emisijas kvotu sadalei 2013.-2020.gadam. </w:t>
            </w:r>
          </w:p>
          <w:p w:rsidR="00D6300F" w:rsidRPr="001A44A7" w:rsidRDefault="00D6300F" w:rsidP="00D63AFE">
            <w:pPr>
              <w:autoSpaceDE w:val="0"/>
              <w:autoSpaceDN w:val="0"/>
              <w:adjustRightInd w:val="0"/>
              <w:spacing w:after="120"/>
              <w:ind w:firstLine="244"/>
              <w:jc w:val="both"/>
            </w:pPr>
            <w:r w:rsidRPr="001A44A7">
              <w:t>Saskaņā ar likuma „Par piesārņojumu” 32.</w:t>
            </w:r>
            <w:r w:rsidRPr="001A44A7">
              <w:rPr>
                <w:vertAlign w:val="superscript"/>
              </w:rPr>
              <w:t>1</w:t>
            </w:r>
            <w:r w:rsidRPr="001A44A7">
              <w:t xml:space="preserve"> panta </w:t>
            </w:r>
            <w:r w:rsidR="007B10E9" w:rsidRPr="001A44A7">
              <w:t>11.</w:t>
            </w:r>
            <w:r w:rsidRPr="001A44A7">
              <w:t xml:space="preserve">daļu </w:t>
            </w:r>
            <w:r w:rsidR="00BC3F5B" w:rsidRPr="001A44A7">
              <w:t>VARAM</w:t>
            </w:r>
            <w:r w:rsidRPr="001A44A7">
              <w:t xml:space="preserve"> iekārtu sarakstu iesniedz apstiprināšanai Eiropas Komisijā.</w:t>
            </w:r>
          </w:p>
          <w:p w:rsidR="00973DDF" w:rsidRPr="001A44A7" w:rsidRDefault="009056F6" w:rsidP="00D63AFE">
            <w:pPr>
              <w:pStyle w:val="Default"/>
              <w:spacing w:after="120"/>
              <w:ind w:firstLine="244"/>
              <w:jc w:val="both"/>
              <w:rPr>
                <w:rFonts w:ascii="Times New Roman" w:hAnsi="Times New Roman" w:cs="Times New Roman"/>
                <w:bCs/>
                <w:lang w:val="lv-LV"/>
              </w:rPr>
            </w:pPr>
            <w:r w:rsidRPr="001A44A7">
              <w:rPr>
                <w:rFonts w:ascii="Times New Roman" w:hAnsi="Times New Roman" w:cs="Times New Roman"/>
                <w:lang w:val="lv-LV"/>
              </w:rPr>
              <w:t xml:space="preserve">2011.gadā tika apstiprināts </w:t>
            </w:r>
            <w:r w:rsidR="00F60992" w:rsidRPr="001A44A7">
              <w:rPr>
                <w:rFonts w:ascii="Times New Roman" w:hAnsi="Times New Roman" w:cs="Times New Roman"/>
                <w:lang w:val="lv-LV"/>
              </w:rPr>
              <w:t>Eiropas Komisijas Lēmums Nr.</w:t>
            </w:r>
            <w:r w:rsidR="0030136F" w:rsidRPr="001A44A7">
              <w:rPr>
                <w:rFonts w:ascii="Times New Roman" w:hAnsi="Times New Roman" w:cs="Times New Roman"/>
                <w:lang w:val="lv-LV"/>
              </w:rPr>
              <w:t xml:space="preserve"> </w:t>
            </w:r>
            <w:r w:rsidR="00F60992" w:rsidRPr="001A44A7">
              <w:rPr>
                <w:rFonts w:ascii="Times New Roman" w:hAnsi="Times New Roman" w:cs="Times New Roman"/>
                <w:lang w:val="lv-LV"/>
              </w:rPr>
              <w:t>2011/278/ES</w:t>
            </w:r>
            <w:r w:rsidRPr="001A44A7">
              <w:rPr>
                <w:rFonts w:ascii="Times New Roman" w:hAnsi="Times New Roman" w:cs="Times New Roman"/>
                <w:bCs/>
                <w:lang w:val="lv-LV"/>
              </w:rPr>
              <w:t xml:space="preserve">, kas </w:t>
            </w:r>
            <w:r w:rsidR="00F60992" w:rsidRPr="001A44A7">
              <w:rPr>
                <w:rFonts w:ascii="Times New Roman" w:hAnsi="Times New Roman" w:cs="Times New Roman"/>
                <w:bCs/>
                <w:lang w:val="lv-LV"/>
              </w:rPr>
              <w:t>nosaka bez maksas piešķiramo emisijas kvotu aprēķina metodiku, kā arī nosaka iekārtu saraksta iesniegšanas kārtību</w:t>
            </w:r>
            <w:r w:rsidRPr="001A44A7">
              <w:rPr>
                <w:rFonts w:ascii="Times New Roman" w:hAnsi="Times New Roman" w:cs="Times New Roman"/>
                <w:bCs/>
                <w:lang w:val="lv-LV"/>
              </w:rPr>
              <w:t xml:space="preserve"> (</w:t>
            </w:r>
            <w:r w:rsidRPr="001A44A7">
              <w:rPr>
                <w:rFonts w:ascii="Times New Roman" w:hAnsi="Times New Roman" w:cs="Times New Roman"/>
                <w:lang w:val="lv-LV"/>
              </w:rPr>
              <w:t xml:space="preserve">Eiropas Komisijas 2011.gada 27.aprīļa Lēmums Nr.2011/278/ES, </w:t>
            </w:r>
            <w:r w:rsidRPr="001A44A7">
              <w:rPr>
                <w:rFonts w:ascii="Times New Roman" w:hAnsi="Times New Roman" w:cs="Times New Roman"/>
                <w:bCs/>
                <w:lang w:val="lv-LV"/>
              </w:rPr>
              <w:t>ar kuru visā Savienībā nosaka pagaidu noteikumus saskaņotai bezmaksas emisiju kvotu sadalei atbilstoši 10.a pantam Eiropas Parlamenta un Padomes Direktīvā 2003/87/EK).</w:t>
            </w:r>
          </w:p>
          <w:p w:rsidR="00BC3F5B" w:rsidRPr="001A44A7" w:rsidRDefault="00BC3F5B" w:rsidP="00D63AFE">
            <w:pPr>
              <w:pStyle w:val="Default"/>
              <w:spacing w:after="120"/>
              <w:ind w:firstLine="244"/>
              <w:jc w:val="both"/>
              <w:rPr>
                <w:rFonts w:ascii="Times New Roman" w:hAnsi="Times New Roman" w:cs="Times New Roman"/>
                <w:lang w:val="lv-LV"/>
              </w:rPr>
            </w:pPr>
            <w:r w:rsidRPr="001A44A7">
              <w:rPr>
                <w:rFonts w:ascii="Times New Roman" w:hAnsi="Times New Roman" w:cs="Times New Roman"/>
                <w:lang w:val="lv-LV"/>
              </w:rPr>
              <w:t>Saskaņā ar likuma „Par piesārņojumu” Pārejas noteikumu 31.punktu operatoriem bija jāiesniedz</w:t>
            </w:r>
            <w:r w:rsidR="007B10E9" w:rsidRPr="001A44A7">
              <w:rPr>
                <w:rFonts w:ascii="Times New Roman" w:hAnsi="Times New Roman" w:cs="Times New Roman"/>
                <w:lang w:val="lv-LV"/>
              </w:rPr>
              <w:t xml:space="preserve"> visa VARAM pieprasītā</w:t>
            </w:r>
            <w:r w:rsidRPr="001A44A7">
              <w:rPr>
                <w:rFonts w:ascii="Times New Roman" w:hAnsi="Times New Roman" w:cs="Times New Roman"/>
                <w:lang w:val="lv-LV"/>
              </w:rPr>
              <w:t xml:space="preserve"> informācij</w:t>
            </w:r>
            <w:r w:rsidR="007B10E9" w:rsidRPr="001A44A7">
              <w:rPr>
                <w:rFonts w:ascii="Times New Roman" w:hAnsi="Times New Roman" w:cs="Times New Roman"/>
                <w:lang w:val="lv-LV"/>
              </w:rPr>
              <w:t>a</w:t>
            </w:r>
            <w:r w:rsidRPr="001A44A7">
              <w:rPr>
                <w:rFonts w:ascii="Times New Roman" w:hAnsi="Times New Roman" w:cs="Times New Roman"/>
                <w:lang w:val="lv-LV"/>
              </w:rPr>
              <w:t xml:space="preserve"> reģionālajā vides pārvaldē līdz 2011.gada 15.augustam, bet reģionālā vides pārvalde pēc informācijas pārbaudes un lēmuma pieņemšanas bija jāiesniedz visa informācija VARAM līdz 2011.gada 1.septembrim.</w:t>
            </w:r>
          </w:p>
          <w:p w:rsidR="00BC3F5B" w:rsidRPr="00BC3F5B" w:rsidRDefault="007B10E9" w:rsidP="00D63AFE">
            <w:pPr>
              <w:pStyle w:val="Default"/>
              <w:spacing w:after="120"/>
              <w:ind w:firstLine="244"/>
              <w:jc w:val="both"/>
              <w:rPr>
                <w:rFonts w:ascii="Times New Roman" w:hAnsi="Times New Roman" w:cs="Times New Roman"/>
                <w:bCs/>
                <w:lang w:val="lv-LV"/>
              </w:rPr>
            </w:pPr>
            <w:r w:rsidRPr="001A44A7">
              <w:rPr>
                <w:rFonts w:ascii="Times New Roman" w:hAnsi="Times New Roman" w:cs="Times New Roman"/>
                <w:lang w:val="lv-LV"/>
              </w:rPr>
              <w:t xml:space="preserve">Apkopojot iesniegto informāciju, </w:t>
            </w:r>
            <w:r w:rsidR="00BC3F5B" w:rsidRPr="001A44A7">
              <w:rPr>
                <w:rFonts w:ascii="Times New Roman" w:hAnsi="Times New Roman" w:cs="Times New Roman"/>
                <w:lang w:val="lv-LV"/>
              </w:rPr>
              <w:t>VARAM ir sagatavojusi iekārtu saraksta emisijas kvotu sadalei 2013.-2020.gadam projektu</w:t>
            </w:r>
            <w:r w:rsidRPr="001A44A7">
              <w:rPr>
                <w:rFonts w:ascii="Times New Roman" w:hAnsi="Times New Roman" w:cs="Times New Roman"/>
                <w:lang w:val="lv-LV"/>
              </w:rPr>
              <w:t xml:space="preserve">, kuru ir nepieciešams </w:t>
            </w:r>
            <w:r w:rsidR="00BC3F5B" w:rsidRPr="001A44A7">
              <w:rPr>
                <w:rFonts w:ascii="Times New Roman" w:hAnsi="Times New Roman" w:cs="Times New Roman"/>
                <w:lang w:val="lv-LV"/>
              </w:rPr>
              <w:t>apstiprinā</w:t>
            </w:r>
            <w:r w:rsidRPr="001A44A7">
              <w:rPr>
                <w:rFonts w:ascii="Times New Roman" w:hAnsi="Times New Roman" w:cs="Times New Roman"/>
                <w:lang w:val="lv-LV"/>
              </w:rPr>
              <w:t>t</w:t>
            </w:r>
            <w:r w:rsidR="00BC3F5B" w:rsidRPr="001A44A7">
              <w:rPr>
                <w:rFonts w:ascii="Times New Roman" w:hAnsi="Times New Roman" w:cs="Times New Roman"/>
                <w:lang w:val="lv-LV"/>
              </w:rPr>
              <w:t xml:space="preserve"> Ministru kabinetā.</w:t>
            </w:r>
          </w:p>
        </w:tc>
      </w:tr>
      <w:tr w:rsidR="00262E2B" w:rsidRPr="00ED7E1F" w:rsidTr="003B0C7D">
        <w:trPr>
          <w:trHeight w:val="1071"/>
        </w:trPr>
        <w:tc>
          <w:tcPr>
            <w:tcW w:w="403" w:type="dxa"/>
          </w:tcPr>
          <w:p w:rsidR="00262E2B" w:rsidRPr="00ED7E1F" w:rsidRDefault="00262E2B" w:rsidP="006C4607">
            <w:pPr>
              <w:pStyle w:val="naiskr"/>
              <w:spacing w:before="0" w:after="0"/>
            </w:pPr>
            <w:r w:rsidRPr="00ED7E1F">
              <w:t>3.</w:t>
            </w:r>
          </w:p>
        </w:tc>
        <w:tc>
          <w:tcPr>
            <w:tcW w:w="2007" w:type="dxa"/>
          </w:tcPr>
          <w:p w:rsidR="00262E2B" w:rsidRPr="00ED7E1F" w:rsidRDefault="00420870" w:rsidP="006C4607">
            <w:pPr>
              <w:pStyle w:val="naiskr"/>
              <w:spacing w:before="0" w:after="0"/>
            </w:pPr>
            <w:r w:rsidRPr="00ED7E1F">
              <w:t>S</w:t>
            </w:r>
            <w:r w:rsidR="000B69CF" w:rsidRPr="00ED7E1F">
              <w:t xml:space="preserve">aistītie </w:t>
            </w:r>
            <w:r w:rsidR="001A6AE4" w:rsidRPr="00ED7E1F">
              <w:t>politikas ietekmes novērtējumi</w:t>
            </w:r>
            <w:r w:rsidR="00CB0247" w:rsidRPr="00ED7E1F">
              <w:t xml:space="preserve"> un</w:t>
            </w:r>
            <w:r w:rsidR="001A6AE4" w:rsidRPr="00ED7E1F">
              <w:t xml:space="preserve"> </w:t>
            </w:r>
            <w:r w:rsidR="000B69CF" w:rsidRPr="00ED7E1F">
              <w:t>pētījumi</w:t>
            </w:r>
          </w:p>
        </w:tc>
        <w:tc>
          <w:tcPr>
            <w:tcW w:w="6662" w:type="dxa"/>
          </w:tcPr>
          <w:p w:rsidR="00D20FF4" w:rsidRPr="00ED7E1F" w:rsidRDefault="001D51E9" w:rsidP="00D63AFE">
            <w:pPr>
              <w:pStyle w:val="FootnoteText"/>
              <w:ind w:firstLine="244"/>
              <w:rPr>
                <w:sz w:val="24"/>
                <w:szCs w:val="24"/>
              </w:rPr>
            </w:pPr>
            <w:r w:rsidRPr="00ED7E1F">
              <w:rPr>
                <w:sz w:val="24"/>
                <w:szCs w:val="24"/>
              </w:rPr>
              <w:t>Nav</w:t>
            </w:r>
          </w:p>
        </w:tc>
      </w:tr>
      <w:tr w:rsidR="00262E2B" w:rsidRPr="00ED7E1F" w:rsidTr="003B0C7D">
        <w:trPr>
          <w:trHeight w:val="384"/>
        </w:trPr>
        <w:tc>
          <w:tcPr>
            <w:tcW w:w="403" w:type="dxa"/>
          </w:tcPr>
          <w:p w:rsidR="00262E2B" w:rsidRPr="00ED7E1F" w:rsidRDefault="00262E2B" w:rsidP="006C4607">
            <w:pPr>
              <w:pStyle w:val="naiskr"/>
              <w:spacing w:before="0" w:after="0"/>
            </w:pPr>
            <w:r w:rsidRPr="00ED7E1F">
              <w:t>4.</w:t>
            </w:r>
          </w:p>
        </w:tc>
        <w:tc>
          <w:tcPr>
            <w:tcW w:w="2007" w:type="dxa"/>
          </w:tcPr>
          <w:p w:rsidR="00262E2B" w:rsidRPr="00ED7E1F" w:rsidRDefault="000C790C" w:rsidP="006C4607">
            <w:pPr>
              <w:pStyle w:val="naiskr"/>
              <w:spacing w:before="0" w:after="0"/>
            </w:pPr>
            <w:r w:rsidRPr="00ED7E1F">
              <w:t>Tiesiskā r</w:t>
            </w:r>
            <w:r w:rsidR="00400032" w:rsidRPr="00ED7E1F">
              <w:t xml:space="preserve">egulējuma </w:t>
            </w:r>
            <w:r w:rsidR="00262E2B" w:rsidRPr="00ED7E1F">
              <w:t>mērķis un būtība</w:t>
            </w:r>
          </w:p>
        </w:tc>
        <w:tc>
          <w:tcPr>
            <w:tcW w:w="6662" w:type="dxa"/>
          </w:tcPr>
          <w:p w:rsidR="00E45299" w:rsidRDefault="008205E0" w:rsidP="00D63AFE">
            <w:pPr>
              <w:pStyle w:val="naiskr"/>
              <w:spacing w:before="0" w:after="120"/>
              <w:ind w:firstLine="244"/>
              <w:jc w:val="both"/>
            </w:pPr>
            <w:r>
              <w:t xml:space="preserve">Ir nepieciešams apstiprināt iekārtu sarakstu emisijas kvotu </w:t>
            </w:r>
            <w:r w:rsidR="009056F6">
              <w:t>sadalei</w:t>
            </w:r>
            <w:r>
              <w:t xml:space="preserve"> 2013.-2020.gadam, lai šo iekārtu sarakstu varētu noteiktajos termiņos iesniegt apstiprināšanai Eiropas Komisijā.</w:t>
            </w:r>
          </w:p>
          <w:p w:rsidR="008205E0" w:rsidRPr="00ED7E1F" w:rsidRDefault="008205E0" w:rsidP="00D63AFE">
            <w:pPr>
              <w:pStyle w:val="naiskr"/>
              <w:spacing w:before="0" w:after="120"/>
              <w:ind w:firstLine="244"/>
              <w:jc w:val="both"/>
            </w:pPr>
            <w:r>
              <w:t>Iekārtu saraksts ir jāiesniedz Eiropas Komisijā apstiprināšanai, lai Eiropas Komisija varētu pieņemt lēmumu par bezmaksas piešķiram</w:t>
            </w:r>
            <w:r w:rsidR="00BC01E7">
              <w:t>ā</w:t>
            </w:r>
            <w:r>
              <w:t xml:space="preserve"> emisijas kvotu </w:t>
            </w:r>
            <w:r w:rsidR="00BC01E7">
              <w:t xml:space="preserve">apjoma </w:t>
            </w:r>
            <w:r>
              <w:t xml:space="preserve">noteikšanu Latvijas </w:t>
            </w:r>
            <w:r w:rsidR="00BC01E7">
              <w:t>emisijas kvotu tirdzniecības sistēmas operatoriem.</w:t>
            </w:r>
          </w:p>
        </w:tc>
      </w:tr>
      <w:tr w:rsidR="00262E2B" w:rsidRPr="00ED7E1F" w:rsidTr="003B0C7D">
        <w:trPr>
          <w:trHeight w:val="476"/>
        </w:trPr>
        <w:tc>
          <w:tcPr>
            <w:tcW w:w="403" w:type="dxa"/>
          </w:tcPr>
          <w:p w:rsidR="00262E2B" w:rsidRPr="00ED7E1F" w:rsidRDefault="00262E2B" w:rsidP="006C4607">
            <w:pPr>
              <w:pStyle w:val="naiskr"/>
              <w:spacing w:before="0" w:after="0"/>
            </w:pPr>
            <w:r w:rsidRPr="00ED7E1F">
              <w:t>5.</w:t>
            </w:r>
          </w:p>
        </w:tc>
        <w:tc>
          <w:tcPr>
            <w:tcW w:w="2007" w:type="dxa"/>
          </w:tcPr>
          <w:p w:rsidR="00262E2B" w:rsidRPr="00ED7E1F" w:rsidRDefault="001A4066" w:rsidP="006C4607">
            <w:pPr>
              <w:pStyle w:val="naiskr"/>
              <w:spacing w:before="0" w:after="0"/>
            </w:pPr>
            <w:r w:rsidRPr="00ED7E1F">
              <w:t>Projekta i</w:t>
            </w:r>
            <w:r w:rsidR="00262E2B" w:rsidRPr="00ED7E1F">
              <w:t>zstrād</w:t>
            </w:r>
            <w:r w:rsidR="00420870" w:rsidRPr="00ED7E1F">
              <w:t xml:space="preserve">ē </w:t>
            </w:r>
            <w:r w:rsidR="00262E2B" w:rsidRPr="00ED7E1F">
              <w:lastRenderedPageBreak/>
              <w:t>iesaistītās institūcijas</w:t>
            </w:r>
          </w:p>
        </w:tc>
        <w:tc>
          <w:tcPr>
            <w:tcW w:w="6662" w:type="dxa"/>
          </w:tcPr>
          <w:p w:rsidR="001D51E9" w:rsidRPr="00ED7E1F" w:rsidRDefault="007B10E9" w:rsidP="00D63AFE">
            <w:pPr>
              <w:pStyle w:val="naiskr"/>
              <w:spacing w:before="0" w:after="0"/>
              <w:ind w:firstLine="244"/>
            </w:pPr>
            <w:r>
              <w:lastRenderedPageBreak/>
              <w:t>Valsts vides dienesta reģionālās vides pārvaldes.</w:t>
            </w:r>
          </w:p>
        </w:tc>
      </w:tr>
      <w:tr w:rsidR="00262E2B" w:rsidRPr="00ED7E1F" w:rsidTr="003B0C7D">
        <w:trPr>
          <w:trHeight w:val="1340"/>
        </w:trPr>
        <w:tc>
          <w:tcPr>
            <w:tcW w:w="403" w:type="dxa"/>
          </w:tcPr>
          <w:p w:rsidR="00262E2B" w:rsidRPr="00ED7E1F" w:rsidRDefault="00262E2B" w:rsidP="006C4607">
            <w:pPr>
              <w:pStyle w:val="naiskr"/>
              <w:spacing w:before="0" w:after="0"/>
            </w:pPr>
            <w:r w:rsidRPr="00ED7E1F">
              <w:lastRenderedPageBreak/>
              <w:t>6.</w:t>
            </w:r>
          </w:p>
        </w:tc>
        <w:tc>
          <w:tcPr>
            <w:tcW w:w="2007" w:type="dxa"/>
          </w:tcPr>
          <w:p w:rsidR="00262E2B" w:rsidRPr="00ED7E1F" w:rsidRDefault="00BB7C94" w:rsidP="006C4607">
            <w:pPr>
              <w:pStyle w:val="naiskr"/>
              <w:spacing w:before="0" w:after="0"/>
              <w:rPr>
                <w:i/>
                <w:highlight w:val="yellow"/>
              </w:rPr>
            </w:pPr>
            <w:r w:rsidRPr="00ED7E1F">
              <w:t xml:space="preserve">Iemesli, kādēļ netika nodrošināta </w:t>
            </w:r>
            <w:r w:rsidR="00262E2B" w:rsidRPr="00ED7E1F">
              <w:t xml:space="preserve">sabiedrības </w:t>
            </w:r>
            <w:r w:rsidRPr="00ED7E1F">
              <w:t>līdzdalība</w:t>
            </w:r>
          </w:p>
        </w:tc>
        <w:tc>
          <w:tcPr>
            <w:tcW w:w="6662" w:type="dxa"/>
          </w:tcPr>
          <w:p w:rsidR="00D20FF4" w:rsidRDefault="007B10E9" w:rsidP="00D63AFE">
            <w:pPr>
              <w:pStyle w:val="FootnoteText"/>
              <w:spacing w:after="120"/>
              <w:ind w:firstLine="244"/>
              <w:jc w:val="both"/>
              <w:rPr>
                <w:sz w:val="24"/>
                <w:szCs w:val="24"/>
              </w:rPr>
            </w:pPr>
            <w:r>
              <w:rPr>
                <w:sz w:val="24"/>
                <w:szCs w:val="24"/>
              </w:rPr>
              <w:t>L</w:t>
            </w:r>
            <w:r w:rsidR="00BC01E7">
              <w:rPr>
                <w:sz w:val="24"/>
                <w:szCs w:val="24"/>
              </w:rPr>
              <w:t>ikum</w:t>
            </w:r>
            <w:r>
              <w:rPr>
                <w:sz w:val="24"/>
                <w:szCs w:val="24"/>
              </w:rPr>
              <w:t>s „Par piesārņojumu” nenosaka obligātu sabiedrības līdzdalību iekārtu saraksta projekta publiskā apspriešanā.</w:t>
            </w:r>
          </w:p>
          <w:p w:rsidR="007B10E9" w:rsidRDefault="007B10E9" w:rsidP="00D63AFE">
            <w:pPr>
              <w:pStyle w:val="FootnoteText"/>
              <w:spacing w:after="120"/>
              <w:ind w:firstLine="244"/>
              <w:jc w:val="both"/>
              <w:rPr>
                <w:iCs/>
                <w:sz w:val="24"/>
                <w:szCs w:val="24"/>
              </w:rPr>
            </w:pPr>
            <w:r>
              <w:rPr>
                <w:iCs/>
                <w:sz w:val="24"/>
                <w:szCs w:val="24"/>
              </w:rPr>
              <w:t>2011.</w:t>
            </w:r>
            <w:r w:rsidRPr="007B10E9">
              <w:rPr>
                <w:iCs/>
                <w:sz w:val="24"/>
                <w:szCs w:val="24"/>
              </w:rPr>
              <w:t xml:space="preserve"> gada 30</w:t>
            </w:r>
            <w:r>
              <w:rPr>
                <w:iCs/>
                <w:sz w:val="24"/>
                <w:szCs w:val="24"/>
              </w:rPr>
              <w:t>.</w:t>
            </w:r>
            <w:r w:rsidRPr="007B10E9">
              <w:rPr>
                <w:iCs/>
                <w:sz w:val="24"/>
                <w:szCs w:val="24"/>
              </w:rPr>
              <w:t>jūnijā notika 2 semināri sabiedrības mērķgrupai – Latvijas emisijas kvotu tirdzniecības sistēmas operatoriem, pārējām iesaistītajām iestādēm – Valsts vides dienestu, reģionālajām vides pārvaldēm, verifikatoriem, kā arī visām ieinteresētajām personām. Semināri tika organizēti, lai informētu par datu iesniegšanas kārtību, datu ziņošanas informācijas iesniegšanas formātu aizpildīšanu, kā arī par sākotnējo emisijas kvotu aprēķina metodiku.</w:t>
            </w:r>
          </w:p>
          <w:p w:rsidR="007B10E9" w:rsidRPr="00ED7E1F" w:rsidRDefault="00BC01E7" w:rsidP="00D63AFE">
            <w:pPr>
              <w:pStyle w:val="FootnoteText"/>
              <w:spacing w:after="120"/>
              <w:ind w:firstLine="244"/>
              <w:jc w:val="both"/>
              <w:rPr>
                <w:sz w:val="24"/>
                <w:szCs w:val="24"/>
              </w:rPr>
            </w:pPr>
            <w:r w:rsidRPr="007B10E9">
              <w:rPr>
                <w:sz w:val="24"/>
                <w:szCs w:val="24"/>
              </w:rPr>
              <w:t xml:space="preserve">Latvijas emisijas kvotu tirdzniecības sistēmas operatori saskaņā ar likuma </w:t>
            </w:r>
            <w:r w:rsidR="007B10E9">
              <w:rPr>
                <w:sz w:val="24"/>
                <w:szCs w:val="24"/>
              </w:rPr>
              <w:t>„P</w:t>
            </w:r>
            <w:r w:rsidRPr="007B10E9">
              <w:rPr>
                <w:sz w:val="24"/>
                <w:szCs w:val="24"/>
              </w:rPr>
              <w:t>ar piesārņojumu</w:t>
            </w:r>
            <w:r w:rsidR="007B10E9">
              <w:rPr>
                <w:sz w:val="24"/>
                <w:szCs w:val="24"/>
              </w:rPr>
              <w:t>”</w:t>
            </w:r>
            <w:r w:rsidRPr="007B10E9">
              <w:rPr>
                <w:sz w:val="24"/>
                <w:szCs w:val="24"/>
              </w:rPr>
              <w:t xml:space="preserve"> 32.</w:t>
            </w:r>
            <w:r w:rsidRPr="007B10E9">
              <w:rPr>
                <w:sz w:val="24"/>
                <w:szCs w:val="24"/>
                <w:vertAlign w:val="superscript"/>
              </w:rPr>
              <w:t>1</w:t>
            </w:r>
            <w:r w:rsidRPr="007B10E9">
              <w:rPr>
                <w:sz w:val="24"/>
                <w:szCs w:val="24"/>
              </w:rPr>
              <w:t xml:space="preserve"> panta astoto daļu iesniedza datus bezmaksas piešķiramo emisijas kvotu apjoma aprēķinam, kā arī datu iesniegšanas veidlapā bezmaksas piešķiramo emisijas kvotu apjoms tiek </w:t>
            </w:r>
            <w:r w:rsidR="007B10E9" w:rsidRPr="007B10E9">
              <w:rPr>
                <w:sz w:val="24"/>
                <w:szCs w:val="24"/>
              </w:rPr>
              <w:t>ap</w:t>
            </w:r>
            <w:r w:rsidRPr="007B10E9">
              <w:rPr>
                <w:sz w:val="24"/>
                <w:szCs w:val="24"/>
              </w:rPr>
              <w:t>rēķināts automātiski</w:t>
            </w:r>
            <w:r w:rsidR="007B10E9">
              <w:rPr>
                <w:sz w:val="24"/>
                <w:szCs w:val="24"/>
              </w:rPr>
              <w:t>,</w:t>
            </w:r>
            <w:r w:rsidR="007B10E9" w:rsidRPr="007B10E9">
              <w:rPr>
                <w:sz w:val="24"/>
                <w:szCs w:val="24"/>
              </w:rPr>
              <w:t xml:space="preserve"> ņemot vērā Lēmumā Nr. 2011/278/ES noteikto metodiku</w:t>
            </w:r>
            <w:r w:rsidRPr="007B10E9">
              <w:rPr>
                <w:sz w:val="24"/>
                <w:szCs w:val="24"/>
              </w:rPr>
              <w:t>.</w:t>
            </w:r>
          </w:p>
        </w:tc>
      </w:tr>
      <w:tr w:rsidR="00262E2B" w:rsidRPr="00ED7E1F" w:rsidTr="003B0C7D">
        <w:tc>
          <w:tcPr>
            <w:tcW w:w="403" w:type="dxa"/>
          </w:tcPr>
          <w:p w:rsidR="00262E2B" w:rsidRPr="00ED7E1F" w:rsidRDefault="00262E2B" w:rsidP="006C4607">
            <w:pPr>
              <w:pStyle w:val="naiskr"/>
              <w:spacing w:before="0" w:after="0"/>
            </w:pPr>
            <w:r w:rsidRPr="00ED7E1F">
              <w:t>7.</w:t>
            </w:r>
          </w:p>
        </w:tc>
        <w:tc>
          <w:tcPr>
            <w:tcW w:w="2007" w:type="dxa"/>
          </w:tcPr>
          <w:p w:rsidR="00262E2B" w:rsidRPr="00ED7E1F" w:rsidRDefault="00262E2B" w:rsidP="006C4607">
            <w:pPr>
              <w:pStyle w:val="naiskr"/>
              <w:spacing w:before="0" w:after="0"/>
            </w:pPr>
            <w:r w:rsidRPr="00ED7E1F">
              <w:t>Cita informācija</w:t>
            </w:r>
          </w:p>
        </w:tc>
        <w:tc>
          <w:tcPr>
            <w:tcW w:w="6662" w:type="dxa"/>
          </w:tcPr>
          <w:p w:rsidR="00262E2B" w:rsidRPr="00ED7E1F" w:rsidRDefault="00D63AFE" w:rsidP="00D63AFE">
            <w:pPr>
              <w:pStyle w:val="naiskr"/>
              <w:spacing w:before="0" w:after="0"/>
              <w:ind w:firstLine="244"/>
            </w:pPr>
            <w:r>
              <w:t>Nav</w:t>
            </w:r>
          </w:p>
        </w:tc>
      </w:tr>
    </w:tbl>
    <w:p w:rsidR="00852042" w:rsidRPr="007C0F2C" w:rsidRDefault="00852042" w:rsidP="006C4607">
      <w:pPr>
        <w:pStyle w:val="naisf"/>
        <w:spacing w:before="0" w:after="0"/>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694"/>
        <w:gridCol w:w="5958"/>
      </w:tblGrid>
      <w:tr w:rsidR="0062298A" w:rsidRPr="007C0F2C" w:rsidTr="00ED7E1F">
        <w:tc>
          <w:tcPr>
            <w:tcW w:w="9077" w:type="dxa"/>
            <w:gridSpan w:val="3"/>
            <w:vAlign w:val="center"/>
          </w:tcPr>
          <w:p w:rsidR="0062298A" w:rsidRPr="007C0F2C" w:rsidRDefault="0062298A" w:rsidP="006C4607">
            <w:pPr>
              <w:pStyle w:val="naisnod"/>
              <w:spacing w:before="0" w:after="0"/>
            </w:pPr>
            <w:r w:rsidRPr="007C0F2C">
              <w:t>II</w:t>
            </w:r>
            <w:r w:rsidR="000941C5" w:rsidRPr="007C0F2C">
              <w:t>.</w:t>
            </w:r>
            <w:r w:rsidRPr="007C0F2C">
              <w:t xml:space="preserve"> Tiesību akta projekta ietekme uz sabiedrību</w:t>
            </w:r>
          </w:p>
        </w:tc>
      </w:tr>
      <w:tr w:rsidR="0062298A" w:rsidRPr="007C0F2C" w:rsidTr="00ED7E1F">
        <w:trPr>
          <w:trHeight w:val="467"/>
        </w:trPr>
        <w:tc>
          <w:tcPr>
            <w:tcW w:w="425" w:type="dxa"/>
          </w:tcPr>
          <w:p w:rsidR="0062298A" w:rsidRPr="00D63AFE" w:rsidRDefault="0062298A" w:rsidP="006C4607">
            <w:pPr>
              <w:pStyle w:val="naiskr"/>
              <w:spacing w:before="0" w:after="0"/>
            </w:pPr>
            <w:r w:rsidRPr="00D63AFE">
              <w:t>1.</w:t>
            </w:r>
          </w:p>
        </w:tc>
        <w:tc>
          <w:tcPr>
            <w:tcW w:w="2694" w:type="dxa"/>
          </w:tcPr>
          <w:p w:rsidR="0062298A" w:rsidRPr="00D63AFE" w:rsidRDefault="00C27A08" w:rsidP="006C4607">
            <w:pPr>
              <w:pStyle w:val="naiskr"/>
              <w:spacing w:before="0" w:after="0"/>
            </w:pPr>
            <w:r w:rsidRPr="00D63AFE">
              <w:t>Sabiedrības mērķgrupa</w:t>
            </w:r>
          </w:p>
        </w:tc>
        <w:tc>
          <w:tcPr>
            <w:tcW w:w="5958" w:type="dxa"/>
          </w:tcPr>
          <w:p w:rsidR="0062298A" w:rsidRPr="00D63AFE" w:rsidRDefault="009E12D7" w:rsidP="00D63AFE">
            <w:pPr>
              <w:pStyle w:val="naiskr"/>
              <w:spacing w:before="0" w:after="120"/>
              <w:ind w:firstLine="288"/>
              <w:jc w:val="both"/>
            </w:pPr>
            <w:r w:rsidRPr="00D63AFE">
              <w:rPr>
                <w:iCs/>
              </w:rPr>
              <w:t> </w:t>
            </w:r>
            <w:r w:rsidR="009C238B" w:rsidRPr="00D63AFE">
              <w:rPr>
                <w:iCs/>
              </w:rPr>
              <w:t>Latvijas Emisijas kvotu tirdzniecības sistēmas operatori, kas veic kādu no likumā „Par piesārņojumu” 2.pielikumā minēto darbību un</w:t>
            </w:r>
            <w:r w:rsidR="007B10E9" w:rsidRPr="00D63AFE">
              <w:rPr>
                <w:iCs/>
              </w:rPr>
              <w:t xml:space="preserve"> / vai</w:t>
            </w:r>
            <w:r w:rsidR="009C238B" w:rsidRPr="00D63AFE">
              <w:rPr>
                <w:iCs/>
              </w:rPr>
              <w:t xml:space="preserve"> kuriem ir piešķirta siltumnīcefekta gāzu emisijas atļauja.</w:t>
            </w:r>
          </w:p>
        </w:tc>
      </w:tr>
      <w:tr w:rsidR="0062298A" w:rsidRPr="007C0F2C" w:rsidTr="00ED7E1F">
        <w:trPr>
          <w:trHeight w:val="523"/>
        </w:trPr>
        <w:tc>
          <w:tcPr>
            <w:tcW w:w="425" w:type="dxa"/>
          </w:tcPr>
          <w:p w:rsidR="0062298A" w:rsidRPr="00D63AFE" w:rsidRDefault="0062298A" w:rsidP="006C4607">
            <w:pPr>
              <w:pStyle w:val="naiskr"/>
              <w:spacing w:before="0" w:after="0"/>
            </w:pPr>
            <w:r w:rsidRPr="00D63AFE">
              <w:t>2.</w:t>
            </w:r>
          </w:p>
        </w:tc>
        <w:tc>
          <w:tcPr>
            <w:tcW w:w="2694" w:type="dxa"/>
          </w:tcPr>
          <w:p w:rsidR="00C1133D" w:rsidRPr="00D63AFE" w:rsidRDefault="00C27A08" w:rsidP="006C4607">
            <w:pPr>
              <w:pStyle w:val="naiskr"/>
              <w:spacing w:before="0" w:after="0"/>
            </w:pPr>
            <w:r w:rsidRPr="00D63AFE">
              <w:t>Citas sabiedrības grupas (bez mērķgrupas), kuras tiesiskais regulējums arī ietekmē vai varētu ietekmēt</w:t>
            </w:r>
          </w:p>
        </w:tc>
        <w:tc>
          <w:tcPr>
            <w:tcW w:w="5958" w:type="dxa"/>
          </w:tcPr>
          <w:p w:rsidR="0062298A" w:rsidRPr="00D63AFE" w:rsidRDefault="009C238B" w:rsidP="00D63AFE">
            <w:pPr>
              <w:pStyle w:val="naiskr"/>
              <w:spacing w:before="0" w:after="0"/>
              <w:ind w:firstLine="288"/>
            </w:pPr>
            <w:r w:rsidRPr="00D63AFE">
              <w:rPr>
                <w:iCs/>
              </w:rPr>
              <w:t>Nav</w:t>
            </w:r>
          </w:p>
        </w:tc>
      </w:tr>
      <w:tr w:rsidR="0062298A" w:rsidRPr="007C0F2C" w:rsidTr="00ED7E1F">
        <w:trPr>
          <w:trHeight w:val="327"/>
        </w:trPr>
        <w:tc>
          <w:tcPr>
            <w:tcW w:w="425" w:type="dxa"/>
          </w:tcPr>
          <w:p w:rsidR="0062298A" w:rsidRPr="00D63AFE" w:rsidRDefault="0062298A" w:rsidP="006C4607">
            <w:pPr>
              <w:pStyle w:val="naiskr"/>
              <w:spacing w:before="0" w:after="0"/>
            </w:pPr>
            <w:r w:rsidRPr="00D63AFE">
              <w:t>3.</w:t>
            </w:r>
          </w:p>
        </w:tc>
        <w:tc>
          <w:tcPr>
            <w:tcW w:w="2694" w:type="dxa"/>
          </w:tcPr>
          <w:p w:rsidR="00C1133D" w:rsidRPr="00D63AFE" w:rsidRDefault="000C790C" w:rsidP="006C4607">
            <w:pPr>
              <w:pStyle w:val="naiskr"/>
              <w:spacing w:before="0" w:after="0"/>
            </w:pPr>
            <w:r w:rsidRPr="00D63AFE">
              <w:t>Tiesiskā r</w:t>
            </w:r>
            <w:r w:rsidR="003D21FF" w:rsidRPr="00D63AFE">
              <w:t>egulējuma</w:t>
            </w:r>
            <w:r w:rsidR="00C27A08" w:rsidRPr="00D63AFE">
              <w:t xml:space="preserve"> finansiālā ietekme</w:t>
            </w:r>
          </w:p>
        </w:tc>
        <w:tc>
          <w:tcPr>
            <w:tcW w:w="5958" w:type="dxa"/>
          </w:tcPr>
          <w:p w:rsidR="00ED7E1F" w:rsidRPr="00D63AFE" w:rsidRDefault="00BC01E7" w:rsidP="00D63AFE">
            <w:pPr>
              <w:spacing w:after="120"/>
              <w:ind w:firstLine="288"/>
              <w:jc w:val="both"/>
            </w:pPr>
            <w:r w:rsidRPr="00D63AFE">
              <w:t xml:space="preserve">Iekārtu saraksta apstiprināšanai </w:t>
            </w:r>
            <w:r w:rsidR="001D51E9" w:rsidRPr="00D63AFE">
              <w:t>papildu finansējums no valsts un pašvaldī</w:t>
            </w:r>
            <w:r w:rsidRPr="00D63AFE">
              <w:t xml:space="preserve">bu budžetiem nav nepieciešams. </w:t>
            </w:r>
          </w:p>
        </w:tc>
      </w:tr>
      <w:tr w:rsidR="00C27A08" w:rsidRPr="007C0F2C" w:rsidTr="00ED7E1F">
        <w:trPr>
          <w:trHeight w:val="517"/>
        </w:trPr>
        <w:tc>
          <w:tcPr>
            <w:tcW w:w="425" w:type="dxa"/>
          </w:tcPr>
          <w:p w:rsidR="00C27A08" w:rsidRPr="00D63AFE" w:rsidRDefault="00C27A08" w:rsidP="006C4607">
            <w:pPr>
              <w:pStyle w:val="naiskr"/>
              <w:spacing w:before="0" w:after="0"/>
            </w:pPr>
            <w:r w:rsidRPr="00D63AFE">
              <w:t>4.</w:t>
            </w:r>
          </w:p>
        </w:tc>
        <w:tc>
          <w:tcPr>
            <w:tcW w:w="2694" w:type="dxa"/>
          </w:tcPr>
          <w:p w:rsidR="00C27A08" w:rsidRPr="00D63AFE" w:rsidRDefault="00C27A08" w:rsidP="006C4607">
            <w:pPr>
              <w:pStyle w:val="naiskr"/>
              <w:spacing w:before="0" w:after="0"/>
            </w:pPr>
            <w:r w:rsidRPr="00D63AFE">
              <w:t>Tiesiskā regulējuma nefinansiālā ietekme</w:t>
            </w:r>
          </w:p>
        </w:tc>
        <w:tc>
          <w:tcPr>
            <w:tcW w:w="5958" w:type="dxa"/>
          </w:tcPr>
          <w:p w:rsidR="00C27A08" w:rsidRPr="00D63AFE" w:rsidRDefault="009C238B" w:rsidP="00D63AFE">
            <w:pPr>
              <w:pStyle w:val="naiskr"/>
              <w:spacing w:before="0" w:after="0"/>
              <w:ind w:firstLine="288"/>
            </w:pPr>
            <w:r w:rsidRPr="00D63AFE">
              <w:rPr>
                <w:iCs/>
              </w:rPr>
              <w:t>Nav</w:t>
            </w:r>
          </w:p>
        </w:tc>
      </w:tr>
      <w:tr w:rsidR="0062298A" w:rsidRPr="007C0F2C" w:rsidTr="00ED7E1F">
        <w:trPr>
          <w:trHeight w:val="531"/>
        </w:trPr>
        <w:tc>
          <w:tcPr>
            <w:tcW w:w="425" w:type="dxa"/>
          </w:tcPr>
          <w:p w:rsidR="0062298A" w:rsidRPr="00D63AFE" w:rsidRDefault="00C27A08" w:rsidP="006C4607">
            <w:pPr>
              <w:pStyle w:val="naiskr"/>
              <w:spacing w:before="0" w:after="0"/>
            </w:pPr>
            <w:r w:rsidRPr="00D63AFE">
              <w:t>5</w:t>
            </w:r>
            <w:r w:rsidR="0062298A" w:rsidRPr="00D63AFE">
              <w:t>.</w:t>
            </w:r>
          </w:p>
        </w:tc>
        <w:tc>
          <w:tcPr>
            <w:tcW w:w="2694" w:type="dxa"/>
          </w:tcPr>
          <w:p w:rsidR="00C1133D" w:rsidRPr="00D63AFE" w:rsidRDefault="00C1133D" w:rsidP="006C4607">
            <w:pPr>
              <w:pStyle w:val="naiskr"/>
              <w:spacing w:before="0" w:after="0"/>
            </w:pPr>
            <w:r w:rsidRPr="00D63AFE">
              <w:t>Administratīv</w:t>
            </w:r>
            <w:r w:rsidR="00C27A08" w:rsidRPr="00D63AFE">
              <w:t>ās</w:t>
            </w:r>
            <w:r w:rsidRPr="00D63AFE">
              <w:t xml:space="preserve"> procedūr</w:t>
            </w:r>
            <w:r w:rsidR="00965897" w:rsidRPr="00D63AFE">
              <w:t>a</w:t>
            </w:r>
            <w:r w:rsidRPr="00D63AFE">
              <w:t xml:space="preserve">s </w:t>
            </w:r>
            <w:r w:rsidR="00C27A08" w:rsidRPr="00D63AFE">
              <w:t>raksturojums</w:t>
            </w:r>
          </w:p>
        </w:tc>
        <w:tc>
          <w:tcPr>
            <w:tcW w:w="5958" w:type="dxa"/>
          </w:tcPr>
          <w:p w:rsidR="0062298A" w:rsidRPr="00D63AFE" w:rsidRDefault="009C238B" w:rsidP="00D63AFE">
            <w:pPr>
              <w:pStyle w:val="naiskr"/>
              <w:spacing w:before="0" w:after="120"/>
              <w:ind w:firstLine="288"/>
              <w:jc w:val="both"/>
              <w:rPr>
                <w:iCs/>
              </w:rPr>
            </w:pPr>
            <w:r w:rsidRPr="00D63AFE">
              <w:rPr>
                <w:iCs/>
              </w:rPr>
              <w:t>Saskaņā ar rīkojuma projektu V</w:t>
            </w:r>
            <w:r w:rsidR="00D63AFE" w:rsidRPr="00D63AFE">
              <w:rPr>
                <w:iCs/>
              </w:rPr>
              <w:t>ARAM</w:t>
            </w:r>
            <w:r w:rsidRPr="00D63AFE">
              <w:rPr>
                <w:iCs/>
              </w:rPr>
              <w:t xml:space="preserve"> pēc rīkojuma ap</w:t>
            </w:r>
            <w:r w:rsidR="00BC01E7" w:rsidRPr="00D63AFE">
              <w:rPr>
                <w:iCs/>
              </w:rPr>
              <w:t>stiprināšanas iesniedz</w:t>
            </w:r>
            <w:r w:rsidRPr="00D63AFE">
              <w:rPr>
                <w:iCs/>
              </w:rPr>
              <w:t xml:space="preserve"> Eiropas Komisijai iekārtu sarakstu </w:t>
            </w:r>
            <w:r w:rsidR="00086EE1" w:rsidRPr="00D63AFE">
              <w:rPr>
                <w:iCs/>
              </w:rPr>
              <w:t>un t</w:t>
            </w:r>
            <w:r w:rsidR="00793001" w:rsidRPr="00D63AFE">
              <w:rPr>
                <w:iCs/>
              </w:rPr>
              <w:t>o</w:t>
            </w:r>
            <w:r w:rsidR="00BC01E7" w:rsidRPr="00D63AFE">
              <w:rPr>
                <w:iCs/>
              </w:rPr>
              <w:t xml:space="preserve"> pavadošo informāciju</w:t>
            </w:r>
            <w:r w:rsidRPr="00D63AFE">
              <w:rPr>
                <w:iCs/>
              </w:rPr>
              <w:t>.</w:t>
            </w:r>
          </w:p>
          <w:p w:rsidR="009C238B" w:rsidRPr="00D63AFE" w:rsidRDefault="009C238B" w:rsidP="00D63AFE">
            <w:pPr>
              <w:pStyle w:val="naiskr"/>
              <w:spacing w:before="0" w:after="120"/>
              <w:ind w:firstLine="288"/>
              <w:jc w:val="both"/>
            </w:pPr>
            <w:r w:rsidRPr="00D63AFE">
              <w:rPr>
                <w:iCs/>
              </w:rPr>
              <w:t xml:space="preserve">Eiropas Komisija pieņem </w:t>
            </w:r>
            <w:r w:rsidR="00BC01E7" w:rsidRPr="00D63AFE">
              <w:rPr>
                <w:iCs/>
              </w:rPr>
              <w:t xml:space="preserve">lēmumu par </w:t>
            </w:r>
            <w:r w:rsidR="00BC01E7" w:rsidRPr="00D63AFE">
              <w:t>bezmaksas piešķiramā emisijas kvotu apjoma noteikšanu Latvijas emisijas kvotu tirdzniecības sistēmas operatoriem.</w:t>
            </w:r>
          </w:p>
        </w:tc>
      </w:tr>
      <w:tr w:rsidR="0062298A" w:rsidRPr="007C0F2C" w:rsidTr="00ED7E1F">
        <w:trPr>
          <w:trHeight w:val="357"/>
        </w:trPr>
        <w:tc>
          <w:tcPr>
            <w:tcW w:w="425" w:type="dxa"/>
          </w:tcPr>
          <w:p w:rsidR="0062298A" w:rsidRPr="00D63AFE" w:rsidRDefault="00C27A08" w:rsidP="006C4607">
            <w:pPr>
              <w:pStyle w:val="naiskr"/>
              <w:spacing w:before="0" w:after="0"/>
            </w:pPr>
            <w:r w:rsidRPr="00D63AFE">
              <w:t>6</w:t>
            </w:r>
            <w:r w:rsidR="0062298A" w:rsidRPr="00D63AFE">
              <w:t>.</w:t>
            </w:r>
          </w:p>
        </w:tc>
        <w:tc>
          <w:tcPr>
            <w:tcW w:w="2694" w:type="dxa"/>
          </w:tcPr>
          <w:p w:rsidR="00AE5066" w:rsidRPr="00D63AFE" w:rsidRDefault="00C27A08" w:rsidP="006C4607">
            <w:pPr>
              <w:pStyle w:val="naiskr"/>
              <w:spacing w:before="0" w:after="0"/>
            </w:pPr>
            <w:r w:rsidRPr="00D63AFE">
              <w:t xml:space="preserve">Administratīvo izmaksu </w:t>
            </w:r>
            <w:r w:rsidR="00502374" w:rsidRPr="00D63AFE">
              <w:t xml:space="preserve">monetārs </w:t>
            </w:r>
            <w:r w:rsidRPr="00D63AFE">
              <w:t>novērtējums</w:t>
            </w:r>
          </w:p>
        </w:tc>
        <w:tc>
          <w:tcPr>
            <w:tcW w:w="5958" w:type="dxa"/>
          </w:tcPr>
          <w:p w:rsidR="0062298A" w:rsidRPr="00D63AFE" w:rsidRDefault="009C238B" w:rsidP="00D63AFE">
            <w:pPr>
              <w:pStyle w:val="naiskr"/>
              <w:spacing w:before="0" w:after="0"/>
              <w:ind w:firstLine="288"/>
            </w:pPr>
            <w:r w:rsidRPr="00D63AFE">
              <w:rPr>
                <w:iCs/>
              </w:rPr>
              <w:t>Nav</w:t>
            </w:r>
          </w:p>
        </w:tc>
      </w:tr>
      <w:tr w:rsidR="0062298A" w:rsidRPr="007C0F2C" w:rsidTr="00ED7E1F">
        <w:tc>
          <w:tcPr>
            <w:tcW w:w="425" w:type="dxa"/>
          </w:tcPr>
          <w:p w:rsidR="0062298A" w:rsidRPr="00D63AFE" w:rsidRDefault="00C27A08" w:rsidP="006C4607">
            <w:pPr>
              <w:pStyle w:val="naiskr"/>
              <w:spacing w:before="0" w:after="0"/>
            </w:pPr>
            <w:r w:rsidRPr="00D63AFE">
              <w:t>7</w:t>
            </w:r>
            <w:r w:rsidR="0062298A" w:rsidRPr="00D63AFE">
              <w:t>.</w:t>
            </w:r>
          </w:p>
        </w:tc>
        <w:tc>
          <w:tcPr>
            <w:tcW w:w="2694" w:type="dxa"/>
          </w:tcPr>
          <w:p w:rsidR="0062298A" w:rsidRPr="00D63AFE" w:rsidRDefault="009E12D7" w:rsidP="006C4607">
            <w:pPr>
              <w:pStyle w:val="naiskr"/>
              <w:spacing w:before="0" w:after="0"/>
            </w:pPr>
            <w:r w:rsidRPr="00D63AFE">
              <w:t>Cita informācija</w:t>
            </w:r>
          </w:p>
        </w:tc>
        <w:tc>
          <w:tcPr>
            <w:tcW w:w="5958" w:type="dxa"/>
          </w:tcPr>
          <w:p w:rsidR="0062298A" w:rsidRPr="00D63AFE" w:rsidRDefault="009C238B" w:rsidP="00D63AFE">
            <w:pPr>
              <w:pStyle w:val="naiskr"/>
              <w:spacing w:before="0" w:after="0"/>
              <w:ind w:firstLine="288"/>
            </w:pPr>
            <w:r w:rsidRPr="00D63AFE">
              <w:t>Nav</w:t>
            </w:r>
          </w:p>
        </w:tc>
      </w:tr>
    </w:tbl>
    <w:p w:rsidR="008C5649" w:rsidRPr="007C0F2C" w:rsidRDefault="008C5649" w:rsidP="006C4607">
      <w:pPr>
        <w:pStyle w:val="naisf"/>
        <w:spacing w:before="0" w:after="0"/>
      </w:pPr>
    </w:p>
    <w:tbl>
      <w:tblPr>
        <w:tblW w:w="9597"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331"/>
        <w:gridCol w:w="1354"/>
        <w:gridCol w:w="1354"/>
        <w:gridCol w:w="1355"/>
        <w:gridCol w:w="1406"/>
      </w:tblGrid>
      <w:tr w:rsidR="00124F12" w:rsidRPr="007C0F2C" w:rsidTr="00ED7E1F">
        <w:trPr>
          <w:trHeight w:val="652"/>
          <w:jc w:val="center"/>
        </w:trPr>
        <w:tc>
          <w:tcPr>
            <w:tcW w:w="9597" w:type="dxa"/>
            <w:gridSpan w:val="6"/>
          </w:tcPr>
          <w:p w:rsidR="00124F12" w:rsidRPr="007C0F2C" w:rsidRDefault="00124F12" w:rsidP="006C4607">
            <w:pPr>
              <w:pStyle w:val="naisnod"/>
              <w:spacing w:before="0" w:after="0"/>
              <w:rPr>
                <w:i/>
                <w:sz w:val="22"/>
                <w:szCs w:val="22"/>
              </w:rPr>
            </w:pPr>
            <w:r w:rsidRPr="007C0F2C">
              <w:rPr>
                <w:sz w:val="22"/>
                <w:szCs w:val="22"/>
              </w:rPr>
              <w:br w:type="page"/>
            </w:r>
            <w:r w:rsidRPr="007C0F2C">
              <w:t>III</w:t>
            </w:r>
            <w:r w:rsidR="000941C5" w:rsidRPr="007C0F2C">
              <w:t>.</w:t>
            </w:r>
            <w:r w:rsidRPr="007C0F2C">
              <w:t xml:space="preserve"> Tiesību akta projekta ietekme uz valsts budžetu un pašvaldību budžetiem</w:t>
            </w:r>
          </w:p>
        </w:tc>
      </w:tr>
      <w:tr w:rsidR="00124F12" w:rsidRPr="007C0F2C" w:rsidTr="00ED7E1F">
        <w:trPr>
          <w:jc w:val="center"/>
        </w:trPr>
        <w:tc>
          <w:tcPr>
            <w:tcW w:w="2797" w:type="dxa"/>
            <w:vMerge w:val="restart"/>
            <w:vAlign w:val="center"/>
          </w:tcPr>
          <w:p w:rsidR="00124F12" w:rsidRPr="007C0F2C" w:rsidRDefault="00124F12" w:rsidP="006C4607">
            <w:pPr>
              <w:pStyle w:val="naisf"/>
              <w:spacing w:before="0" w:after="0"/>
              <w:ind w:firstLine="0"/>
              <w:jc w:val="center"/>
              <w:rPr>
                <w:b/>
                <w:sz w:val="22"/>
                <w:szCs w:val="22"/>
              </w:rPr>
            </w:pPr>
            <w:r w:rsidRPr="007C0F2C">
              <w:rPr>
                <w:b/>
                <w:sz w:val="22"/>
                <w:szCs w:val="22"/>
              </w:rPr>
              <w:t>Rādītāji</w:t>
            </w:r>
          </w:p>
        </w:tc>
        <w:tc>
          <w:tcPr>
            <w:tcW w:w="2685" w:type="dxa"/>
            <w:gridSpan w:val="2"/>
            <w:vMerge w:val="restart"/>
            <w:vAlign w:val="center"/>
          </w:tcPr>
          <w:p w:rsidR="00124F12" w:rsidRPr="007C0F2C" w:rsidRDefault="00124F12" w:rsidP="006C4607">
            <w:pPr>
              <w:pStyle w:val="naisf"/>
              <w:spacing w:before="0" w:after="0"/>
              <w:ind w:firstLine="0"/>
              <w:jc w:val="center"/>
              <w:rPr>
                <w:b/>
                <w:sz w:val="22"/>
                <w:szCs w:val="22"/>
              </w:rPr>
            </w:pPr>
            <w:r w:rsidRPr="007C0F2C">
              <w:rPr>
                <w:b/>
                <w:sz w:val="22"/>
                <w:szCs w:val="22"/>
              </w:rPr>
              <w:t>n-tais gads</w:t>
            </w:r>
          </w:p>
        </w:tc>
        <w:tc>
          <w:tcPr>
            <w:tcW w:w="4115" w:type="dxa"/>
            <w:gridSpan w:val="3"/>
            <w:vAlign w:val="center"/>
          </w:tcPr>
          <w:p w:rsidR="00124F12" w:rsidRPr="007C0F2C" w:rsidRDefault="00124F12" w:rsidP="006C4607">
            <w:pPr>
              <w:pStyle w:val="naisf"/>
              <w:spacing w:before="0" w:after="0"/>
              <w:ind w:firstLine="0"/>
              <w:jc w:val="center"/>
              <w:rPr>
                <w:b/>
                <w:i/>
                <w:sz w:val="22"/>
                <w:szCs w:val="22"/>
              </w:rPr>
            </w:pPr>
            <w:r w:rsidRPr="007C0F2C">
              <w:rPr>
                <w:sz w:val="22"/>
                <w:szCs w:val="22"/>
              </w:rPr>
              <w:t>Turpmākie trīs gadi</w:t>
            </w:r>
            <w:r w:rsidR="009E12D7" w:rsidRPr="007C0F2C">
              <w:rPr>
                <w:sz w:val="22"/>
                <w:szCs w:val="22"/>
              </w:rPr>
              <w:t xml:space="preserve"> (tūkst</w:t>
            </w:r>
            <w:smartTag w:uri="schemas-tilde-lv/tildestengine" w:element="currency2">
              <w:smartTagPr>
                <w:attr w:name="currency_text" w:val="latu"/>
                <w:attr w:name="currency_value" w:val="."/>
                <w:attr w:name="currency_key" w:val="LVL"/>
                <w:attr w:name="currency_id" w:val="48"/>
              </w:smartTagPr>
              <w:r w:rsidR="009E12D7" w:rsidRPr="007C0F2C">
                <w:rPr>
                  <w:sz w:val="22"/>
                  <w:szCs w:val="22"/>
                </w:rPr>
                <w:t>. latu</w:t>
              </w:r>
            </w:smartTag>
            <w:r w:rsidR="009E12D7" w:rsidRPr="007C0F2C">
              <w:rPr>
                <w:sz w:val="22"/>
                <w:szCs w:val="22"/>
              </w:rPr>
              <w:t>)</w:t>
            </w:r>
          </w:p>
        </w:tc>
      </w:tr>
      <w:tr w:rsidR="00124F12" w:rsidRPr="007C0F2C" w:rsidTr="00ED7E1F">
        <w:trPr>
          <w:jc w:val="center"/>
        </w:trPr>
        <w:tc>
          <w:tcPr>
            <w:tcW w:w="2797" w:type="dxa"/>
            <w:vMerge/>
            <w:vAlign w:val="center"/>
          </w:tcPr>
          <w:p w:rsidR="00124F12" w:rsidRPr="007C0F2C" w:rsidRDefault="00124F12" w:rsidP="006C4607">
            <w:pPr>
              <w:pStyle w:val="naisf"/>
              <w:spacing w:before="0" w:after="0"/>
              <w:ind w:firstLine="0"/>
              <w:jc w:val="center"/>
              <w:rPr>
                <w:b/>
                <w:i/>
                <w:sz w:val="22"/>
                <w:szCs w:val="22"/>
              </w:rPr>
            </w:pPr>
          </w:p>
        </w:tc>
        <w:tc>
          <w:tcPr>
            <w:tcW w:w="2685" w:type="dxa"/>
            <w:gridSpan w:val="2"/>
            <w:vMerge/>
            <w:vAlign w:val="center"/>
          </w:tcPr>
          <w:p w:rsidR="00124F12" w:rsidRPr="007C0F2C" w:rsidRDefault="00124F12" w:rsidP="006C4607">
            <w:pPr>
              <w:pStyle w:val="naisf"/>
              <w:spacing w:before="0" w:after="0"/>
              <w:ind w:firstLine="0"/>
              <w:jc w:val="center"/>
              <w:rPr>
                <w:b/>
                <w:i/>
                <w:sz w:val="22"/>
                <w:szCs w:val="22"/>
              </w:rPr>
            </w:pPr>
          </w:p>
        </w:tc>
        <w:tc>
          <w:tcPr>
            <w:tcW w:w="1354" w:type="dxa"/>
            <w:vAlign w:val="center"/>
          </w:tcPr>
          <w:p w:rsidR="00124F12" w:rsidRPr="007C0F2C" w:rsidRDefault="00124F12" w:rsidP="006C4607">
            <w:pPr>
              <w:pStyle w:val="naisf"/>
              <w:spacing w:before="0" w:after="0"/>
              <w:ind w:firstLine="0"/>
              <w:jc w:val="center"/>
              <w:rPr>
                <w:b/>
                <w:i/>
                <w:sz w:val="22"/>
                <w:szCs w:val="22"/>
              </w:rPr>
            </w:pPr>
            <w:r w:rsidRPr="007C0F2C">
              <w:rPr>
                <w:b/>
                <w:bCs/>
                <w:sz w:val="22"/>
                <w:szCs w:val="22"/>
              </w:rPr>
              <w:t>n+1</w:t>
            </w:r>
          </w:p>
        </w:tc>
        <w:tc>
          <w:tcPr>
            <w:tcW w:w="1355" w:type="dxa"/>
            <w:vAlign w:val="center"/>
          </w:tcPr>
          <w:p w:rsidR="00124F12" w:rsidRPr="007C0F2C" w:rsidRDefault="00124F12" w:rsidP="006C4607">
            <w:pPr>
              <w:pStyle w:val="naisf"/>
              <w:spacing w:before="0" w:after="0"/>
              <w:ind w:firstLine="0"/>
              <w:jc w:val="center"/>
              <w:rPr>
                <w:b/>
                <w:i/>
                <w:sz w:val="22"/>
                <w:szCs w:val="22"/>
              </w:rPr>
            </w:pPr>
            <w:r w:rsidRPr="007C0F2C">
              <w:rPr>
                <w:b/>
                <w:bCs/>
                <w:sz w:val="22"/>
                <w:szCs w:val="22"/>
              </w:rPr>
              <w:t>n+2</w:t>
            </w:r>
          </w:p>
        </w:tc>
        <w:tc>
          <w:tcPr>
            <w:tcW w:w="1406" w:type="dxa"/>
            <w:vAlign w:val="center"/>
          </w:tcPr>
          <w:p w:rsidR="00124F12" w:rsidRPr="007C0F2C" w:rsidRDefault="00124F12" w:rsidP="006C4607">
            <w:pPr>
              <w:pStyle w:val="naisf"/>
              <w:spacing w:before="0" w:after="0"/>
              <w:ind w:firstLine="0"/>
              <w:jc w:val="center"/>
              <w:rPr>
                <w:b/>
                <w:i/>
                <w:sz w:val="22"/>
                <w:szCs w:val="22"/>
              </w:rPr>
            </w:pPr>
            <w:r w:rsidRPr="007C0F2C">
              <w:rPr>
                <w:b/>
                <w:bCs/>
                <w:sz w:val="22"/>
                <w:szCs w:val="22"/>
              </w:rPr>
              <w:t>n+3</w:t>
            </w:r>
          </w:p>
        </w:tc>
      </w:tr>
      <w:tr w:rsidR="00124F12" w:rsidRPr="007C0F2C" w:rsidTr="00ED7E1F">
        <w:trPr>
          <w:jc w:val="center"/>
        </w:trPr>
        <w:tc>
          <w:tcPr>
            <w:tcW w:w="2797" w:type="dxa"/>
            <w:vMerge/>
            <w:vAlign w:val="center"/>
          </w:tcPr>
          <w:p w:rsidR="00124F12" w:rsidRPr="007C0F2C" w:rsidRDefault="00124F12" w:rsidP="006C4607">
            <w:pPr>
              <w:pStyle w:val="naisf"/>
              <w:spacing w:before="0" w:after="0"/>
              <w:ind w:firstLine="0"/>
              <w:jc w:val="center"/>
              <w:rPr>
                <w:b/>
                <w:i/>
                <w:sz w:val="22"/>
                <w:szCs w:val="22"/>
              </w:rPr>
            </w:pPr>
          </w:p>
        </w:tc>
        <w:tc>
          <w:tcPr>
            <w:tcW w:w="1331" w:type="dxa"/>
            <w:vAlign w:val="center"/>
          </w:tcPr>
          <w:p w:rsidR="00124F12" w:rsidRPr="007C0F2C" w:rsidRDefault="00124F12" w:rsidP="006C4607">
            <w:pPr>
              <w:pStyle w:val="naisf"/>
              <w:spacing w:before="0" w:after="0"/>
              <w:ind w:firstLine="0"/>
              <w:jc w:val="center"/>
              <w:rPr>
                <w:b/>
                <w:i/>
                <w:sz w:val="22"/>
                <w:szCs w:val="22"/>
              </w:rPr>
            </w:pPr>
            <w:r w:rsidRPr="007C0F2C">
              <w:rPr>
                <w:sz w:val="22"/>
                <w:szCs w:val="22"/>
              </w:rPr>
              <w:t>Saskaņā ar valsts budžetu kārtējam gadam</w:t>
            </w:r>
          </w:p>
        </w:tc>
        <w:tc>
          <w:tcPr>
            <w:tcW w:w="1354" w:type="dxa"/>
            <w:vAlign w:val="center"/>
          </w:tcPr>
          <w:p w:rsidR="00124F12" w:rsidRPr="007C0F2C" w:rsidRDefault="00124F12" w:rsidP="006C4607">
            <w:pPr>
              <w:pStyle w:val="naisf"/>
              <w:spacing w:before="0" w:after="0"/>
              <w:ind w:firstLine="0"/>
              <w:jc w:val="center"/>
              <w:rPr>
                <w:b/>
                <w:i/>
                <w:sz w:val="22"/>
                <w:szCs w:val="22"/>
              </w:rPr>
            </w:pPr>
            <w:r w:rsidRPr="007C0F2C">
              <w:rPr>
                <w:sz w:val="22"/>
                <w:szCs w:val="22"/>
              </w:rPr>
              <w:t>Izmaiņas kārtējā gadā</w:t>
            </w:r>
            <w:r w:rsidR="009E12D7" w:rsidRPr="007C0F2C">
              <w:rPr>
                <w:sz w:val="22"/>
                <w:szCs w:val="22"/>
              </w:rPr>
              <w:t>,</w:t>
            </w:r>
            <w:r w:rsidRPr="007C0F2C">
              <w:rPr>
                <w:sz w:val="22"/>
                <w:szCs w:val="22"/>
              </w:rPr>
              <w:t xml:space="preserve"> salīdzinot ar budžetu kārtējam gadam</w:t>
            </w:r>
          </w:p>
        </w:tc>
        <w:tc>
          <w:tcPr>
            <w:tcW w:w="1354" w:type="dxa"/>
            <w:vAlign w:val="center"/>
          </w:tcPr>
          <w:p w:rsidR="00124F12" w:rsidRPr="007C0F2C" w:rsidRDefault="00124F12" w:rsidP="006C4607">
            <w:pPr>
              <w:pStyle w:val="naisf"/>
              <w:spacing w:before="0" w:after="0"/>
              <w:ind w:firstLine="0"/>
              <w:jc w:val="center"/>
              <w:rPr>
                <w:b/>
                <w:i/>
                <w:sz w:val="22"/>
                <w:szCs w:val="22"/>
              </w:rPr>
            </w:pPr>
            <w:r w:rsidRPr="007C0F2C">
              <w:rPr>
                <w:sz w:val="22"/>
                <w:szCs w:val="22"/>
              </w:rPr>
              <w:t>Izmaiņas</w:t>
            </w:r>
            <w:r w:rsidR="00182C18" w:rsidRPr="007C0F2C">
              <w:rPr>
                <w:sz w:val="22"/>
                <w:szCs w:val="22"/>
              </w:rPr>
              <w:t>,</w:t>
            </w:r>
            <w:r w:rsidRPr="007C0F2C">
              <w:rPr>
                <w:sz w:val="22"/>
                <w:szCs w:val="22"/>
              </w:rPr>
              <w:t xml:space="preserve"> salīdzinot ar kārtējo (n) gadu</w:t>
            </w:r>
          </w:p>
        </w:tc>
        <w:tc>
          <w:tcPr>
            <w:tcW w:w="1355" w:type="dxa"/>
            <w:vAlign w:val="center"/>
          </w:tcPr>
          <w:p w:rsidR="00124F12" w:rsidRPr="007C0F2C" w:rsidRDefault="00124F12" w:rsidP="006C4607">
            <w:pPr>
              <w:pStyle w:val="naisf"/>
              <w:spacing w:before="0" w:after="0"/>
              <w:ind w:firstLine="0"/>
              <w:jc w:val="center"/>
              <w:rPr>
                <w:b/>
                <w:i/>
                <w:sz w:val="22"/>
                <w:szCs w:val="22"/>
              </w:rPr>
            </w:pPr>
            <w:r w:rsidRPr="007C0F2C">
              <w:rPr>
                <w:sz w:val="22"/>
                <w:szCs w:val="22"/>
              </w:rPr>
              <w:t>Izmaiņas</w:t>
            </w:r>
            <w:r w:rsidR="00182C18" w:rsidRPr="007C0F2C">
              <w:rPr>
                <w:sz w:val="22"/>
                <w:szCs w:val="22"/>
              </w:rPr>
              <w:t>,</w:t>
            </w:r>
            <w:r w:rsidRPr="007C0F2C">
              <w:rPr>
                <w:sz w:val="22"/>
                <w:szCs w:val="22"/>
              </w:rPr>
              <w:t xml:space="preserve"> salīdzinot ar kārtējo (n) gadu</w:t>
            </w:r>
          </w:p>
        </w:tc>
        <w:tc>
          <w:tcPr>
            <w:tcW w:w="1406" w:type="dxa"/>
            <w:vAlign w:val="center"/>
          </w:tcPr>
          <w:p w:rsidR="00124F12" w:rsidRPr="007C0F2C" w:rsidRDefault="00124F12" w:rsidP="006C4607">
            <w:pPr>
              <w:pStyle w:val="naisf"/>
              <w:spacing w:before="0" w:after="0"/>
              <w:ind w:firstLine="0"/>
              <w:jc w:val="center"/>
              <w:rPr>
                <w:b/>
                <w:i/>
                <w:sz w:val="22"/>
                <w:szCs w:val="22"/>
              </w:rPr>
            </w:pPr>
            <w:r w:rsidRPr="007C0F2C">
              <w:rPr>
                <w:sz w:val="22"/>
                <w:szCs w:val="22"/>
              </w:rPr>
              <w:t>Izmaiņas</w:t>
            </w:r>
            <w:r w:rsidR="00182C18" w:rsidRPr="007C0F2C">
              <w:rPr>
                <w:sz w:val="22"/>
                <w:szCs w:val="22"/>
              </w:rPr>
              <w:t>,</w:t>
            </w:r>
            <w:r w:rsidRPr="007C0F2C">
              <w:rPr>
                <w:sz w:val="22"/>
                <w:szCs w:val="22"/>
              </w:rPr>
              <w:t xml:space="preserve"> salīdzinot ar kārtējo (n) gadu</w:t>
            </w:r>
          </w:p>
        </w:tc>
      </w:tr>
      <w:tr w:rsidR="00124F12" w:rsidRPr="007C0F2C" w:rsidTr="00ED7E1F">
        <w:trPr>
          <w:jc w:val="center"/>
        </w:trPr>
        <w:tc>
          <w:tcPr>
            <w:tcW w:w="2797" w:type="dxa"/>
            <w:vAlign w:val="center"/>
          </w:tcPr>
          <w:p w:rsidR="00124F12" w:rsidRPr="007C0F2C" w:rsidRDefault="00124F12" w:rsidP="006C4607">
            <w:pPr>
              <w:pStyle w:val="naisf"/>
              <w:spacing w:before="0" w:after="0"/>
              <w:ind w:firstLine="0"/>
              <w:jc w:val="center"/>
              <w:rPr>
                <w:bCs/>
                <w:sz w:val="22"/>
                <w:szCs w:val="22"/>
              </w:rPr>
            </w:pPr>
            <w:r w:rsidRPr="007C0F2C">
              <w:rPr>
                <w:bCs/>
                <w:sz w:val="22"/>
                <w:szCs w:val="22"/>
              </w:rPr>
              <w:t>1</w:t>
            </w:r>
          </w:p>
        </w:tc>
        <w:tc>
          <w:tcPr>
            <w:tcW w:w="1331" w:type="dxa"/>
            <w:vAlign w:val="center"/>
          </w:tcPr>
          <w:p w:rsidR="00124F12" w:rsidRPr="007C0F2C" w:rsidRDefault="00124F12" w:rsidP="006C4607">
            <w:pPr>
              <w:pStyle w:val="naisf"/>
              <w:spacing w:before="0" w:after="0"/>
              <w:ind w:firstLine="0"/>
              <w:jc w:val="center"/>
              <w:rPr>
                <w:bCs/>
                <w:sz w:val="22"/>
                <w:szCs w:val="22"/>
              </w:rPr>
            </w:pPr>
            <w:r w:rsidRPr="007C0F2C">
              <w:rPr>
                <w:bCs/>
                <w:sz w:val="22"/>
                <w:szCs w:val="22"/>
              </w:rPr>
              <w:t>2</w:t>
            </w:r>
          </w:p>
        </w:tc>
        <w:tc>
          <w:tcPr>
            <w:tcW w:w="1354" w:type="dxa"/>
            <w:vAlign w:val="center"/>
          </w:tcPr>
          <w:p w:rsidR="00124F12" w:rsidRPr="007C0F2C" w:rsidRDefault="00124F12" w:rsidP="006C4607">
            <w:pPr>
              <w:pStyle w:val="naisf"/>
              <w:spacing w:before="0" w:after="0"/>
              <w:ind w:firstLine="0"/>
              <w:jc w:val="center"/>
              <w:rPr>
                <w:bCs/>
                <w:sz w:val="22"/>
                <w:szCs w:val="22"/>
              </w:rPr>
            </w:pPr>
            <w:r w:rsidRPr="007C0F2C">
              <w:rPr>
                <w:bCs/>
                <w:sz w:val="22"/>
                <w:szCs w:val="22"/>
              </w:rPr>
              <w:t>3</w:t>
            </w:r>
          </w:p>
        </w:tc>
        <w:tc>
          <w:tcPr>
            <w:tcW w:w="1354" w:type="dxa"/>
            <w:vAlign w:val="center"/>
          </w:tcPr>
          <w:p w:rsidR="00124F12" w:rsidRPr="007C0F2C" w:rsidRDefault="00124F12" w:rsidP="006C4607">
            <w:pPr>
              <w:pStyle w:val="naisf"/>
              <w:spacing w:before="0" w:after="0"/>
              <w:ind w:firstLine="0"/>
              <w:jc w:val="center"/>
              <w:rPr>
                <w:bCs/>
                <w:sz w:val="22"/>
                <w:szCs w:val="22"/>
              </w:rPr>
            </w:pPr>
            <w:r w:rsidRPr="007C0F2C">
              <w:rPr>
                <w:bCs/>
                <w:sz w:val="22"/>
                <w:szCs w:val="22"/>
              </w:rPr>
              <w:t>4</w:t>
            </w:r>
          </w:p>
        </w:tc>
        <w:tc>
          <w:tcPr>
            <w:tcW w:w="1355" w:type="dxa"/>
            <w:vAlign w:val="center"/>
          </w:tcPr>
          <w:p w:rsidR="00124F12" w:rsidRPr="007C0F2C" w:rsidRDefault="00124F12" w:rsidP="006C4607">
            <w:pPr>
              <w:pStyle w:val="naisf"/>
              <w:spacing w:before="0" w:after="0"/>
              <w:ind w:firstLine="0"/>
              <w:jc w:val="center"/>
              <w:rPr>
                <w:bCs/>
                <w:sz w:val="22"/>
                <w:szCs w:val="22"/>
              </w:rPr>
            </w:pPr>
            <w:r w:rsidRPr="007C0F2C">
              <w:rPr>
                <w:bCs/>
                <w:sz w:val="22"/>
                <w:szCs w:val="22"/>
              </w:rPr>
              <w:t>5</w:t>
            </w:r>
          </w:p>
        </w:tc>
        <w:tc>
          <w:tcPr>
            <w:tcW w:w="1406" w:type="dxa"/>
            <w:vAlign w:val="center"/>
          </w:tcPr>
          <w:p w:rsidR="00124F12" w:rsidRPr="007C0F2C" w:rsidRDefault="00124F12" w:rsidP="006C4607">
            <w:pPr>
              <w:pStyle w:val="naisf"/>
              <w:spacing w:before="0" w:after="0"/>
              <w:ind w:firstLine="0"/>
              <w:jc w:val="center"/>
              <w:rPr>
                <w:bCs/>
                <w:sz w:val="22"/>
                <w:szCs w:val="22"/>
              </w:rPr>
            </w:pPr>
            <w:r w:rsidRPr="007C0F2C">
              <w:rPr>
                <w:bCs/>
                <w:sz w:val="22"/>
                <w:szCs w:val="22"/>
              </w:rPr>
              <w:t>6</w:t>
            </w:r>
          </w:p>
        </w:tc>
      </w:tr>
      <w:tr w:rsidR="00124F12" w:rsidRPr="007C0F2C" w:rsidTr="00ED7E1F">
        <w:trPr>
          <w:jc w:val="center"/>
        </w:trPr>
        <w:tc>
          <w:tcPr>
            <w:tcW w:w="2797" w:type="dxa"/>
          </w:tcPr>
          <w:p w:rsidR="00124F12" w:rsidRPr="007C0F2C" w:rsidRDefault="00124F12" w:rsidP="006C4607">
            <w:pPr>
              <w:pStyle w:val="naisf"/>
              <w:spacing w:before="0" w:after="0"/>
              <w:ind w:firstLine="0"/>
              <w:rPr>
                <w:i/>
                <w:sz w:val="22"/>
                <w:szCs w:val="22"/>
              </w:rPr>
            </w:pPr>
            <w:r w:rsidRPr="007C0F2C">
              <w:rPr>
                <w:sz w:val="22"/>
                <w:szCs w:val="22"/>
              </w:rPr>
              <w:t>1. Budžeta ieņēmumi:</w:t>
            </w:r>
          </w:p>
        </w:tc>
        <w:tc>
          <w:tcPr>
            <w:tcW w:w="1331" w:type="dxa"/>
          </w:tcPr>
          <w:p w:rsidR="00124F12" w:rsidRPr="00716DCC" w:rsidRDefault="00716DCC" w:rsidP="00536144">
            <w:pPr>
              <w:pStyle w:val="naisf"/>
              <w:spacing w:before="0" w:after="0"/>
              <w:ind w:firstLine="0"/>
              <w:jc w:val="center"/>
              <w:rPr>
                <w:sz w:val="20"/>
                <w:szCs w:val="20"/>
              </w:rPr>
            </w:pPr>
            <w:r w:rsidRPr="00716DCC">
              <w:rPr>
                <w:sz w:val="20"/>
                <w:szCs w:val="20"/>
              </w:rPr>
              <w:t>Nav attiecināms</w:t>
            </w:r>
          </w:p>
        </w:tc>
        <w:tc>
          <w:tcPr>
            <w:tcW w:w="1354" w:type="dxa"/>
          </w:tcPr>
          <w:p w:rsidR="00124F12" w:rsidRPr="00536144" w:rsidRDefault="00716DCC" w:rsidP="00536144">
            <w:pPr>
              <w:pStyle w:val="naisf"/>
              <w:spacing w:before="0" w:after="0"/>
              <w:ind w:firstLine="0"/>
              <w:jc w:val="center"/>
              <w:rPr>
                <w:sz w:val="22"/>
                <w:szCs w:val="22"/>
              </w:rPr>
            </w:pPr>
            <w:r w:rsidRPr="00716DCC">
              <w:rPr>
                <w:sz w:val="20"/>
                <w:szCs w:val="20"/>
              </w:rPr>
              <w:t>Nav attiecināms</w:t>
            </w:r>
          </w:p>
        </w:tc>
        <w:tc>
          <w:tcPr>
            <w:tcW w:w="1354" w:type="dxa"/>
          </w:tcPr>
          <w:p w:rsidR="00124F12" w:rsidRPr="00536144" w:rsidRDefault="00716DCC" w:rsidP="00536144">
            <w:pPr>
              <w:pStyle w:val="naisf"/>
              <w:spacing w:before="0" w:after="0"/>
              <w:ind w:firstLine="0"/>
              <w:jc w:val="center"/>
              <w:rPr>
                <w:sz w:val="22"/>
                <w:szCs w:val="22"/>
              </w:rPr>
            </w:pPr>
            <w:r w:rsidRPr="00716DCC">
              <w:rPr>
                <w:sz w:val="20"/>
                <w:szCs w:val="20"/>
              </w:rPr>
              <w:t>Nav attiecināms</w:t>
            </w:r>
          </w:p>
        </w:tc>
        <w:tc>
          <w:tcPr>
            <w:tcW w:w="1355" w:type="dxa"/>
          </w:tcPr>
          <w:p w:rsidR="00124F12" w:rsidRPr="00536144" w:rsidRDefault="00716DCC" w:rsidP="00536144">
            <w:pPr>
              <w:pStyle w:val="naisf"/>
              <w:spacing w:before="0" w:after="0"/>
              <w:ind w:firstLine="0"/>
              <w:jc w:val="center"/>
              <w:rPr>
                <w:sz w:val="22"/>
                <w:szCs w:val="22"/>
              </w:rPr>
            </w:pPr>
            <w:r w:rsidRPr="00716DCC">
              <w:rPr>
                <w:sz w:val="20"/>
                <w:szCs w:val="20"/>
              </w:rPr>
              <w:t>Nav attiecināms</w:t>
            </w:r>
          </w:p>
        </w:tc>
        <w:tc>
          <w:tcPr>
            <w:tcW w:w="1406" w:type="dxa"/>
          </w:tcPr>
          <w:p w:rsidR="00124F12" w:rsidRPr="00536144" w:rsidRDefault="00716DCC" w:rsidP="00536144">
            <w:pPr>
              <w:pStyle w:val="naisf"/>
              <w:spacing w:before="0" w:after="0"/>
              <w:ind w:firstLine="0"/>
              <w:jc w:val="center"/>
              <w:rPr>
                <w:sz w:val="22"/>
                <w:szCs w:val="22"/>
              </w:rPr>
            </w:pPr>
            <w:r w:rsidRPr="00716DCC">
              <w:rPr>
                <w:sz w:val="20"/>
                <w:szCs w:val="20"/>
              </w:rPr>
              <w:t>Nav attiecināms</w:t>
            </w:r>
          </w:p>
        </w:tc>
      </w:tr>
      <w:tr w:rsidR="00716DCC" w:rsidRPr="007C0F2C" w:rsidTr="00ED7E1F">
        <w:trPr>
          <w:jc w:val="center"/>
        </w:trPr>
        <w:tc>
          <w:tcPr>
            <w:tcW w:w="2797" w:type="dxa"/>
          </w:tcPr>
          <w:p w:rsidR="00716DCC" w:rsidRPr="007C0F2C" w:rsidRDefault="00716DCC" w:rsidP="00BC01E7">
            <w:pPr>
              <w:pStyle w:val="naisf"/>
              <w:spacing w:before="0" w:after="0"/>
              <w:ind w:firstLine="0"/>
              <w:rPr>
                <w:i/>
                <w:sz w:val="22"/>
                <w:szCs w:val="22"/>
              </w:rPr>
            </w:pPr>
            <w:r w:rsidRPr="007C0F2C">
              <w:rPr>
                <w:sz w:val="22"/>
                <w:szCs w:val="22"/>
              </w:rPr>
              <w:t>1.1. valsts pamatbudžets, tai skaitā ieņēmumi no maksas pakalpojumiem un citi pašu ieņēmumi</w:t>
            </w:r>
          </w:p>
        </w:tc>
        <w:tc>
          <w:tcPr>
            <w:tcW w:w="1331"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pStyle w:val="naisf"/>
              <w:spacing w:before="0" w:after="0"/>
              <w:ind w:firstLine="0"/>
              <w:rPr>
                <w:i/>
                <w:sz w:val="22"/>
                <w:szCs w:val="22"/>
              </w:rPr>
            </w:pPr>
            <w:r w:rsidRPr="007C0F2C">
              <w:rPr>
                <w:sz w:val="22"/>
                <w:szCs w:val="22"/>
              </w:rPr>
              <w:t>1.2. valsts speciālais budžets</w:t>
            </w:r>
          </w:p>
        </w:tc>
        <w:tc>
          <w:tcPr>
            <w:tcW w:w="1331"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pStyle w:val="naisf"/>
              <w:spacing w:before="0" w:after="0"/>
              <w:ind w:firstLine="0"/>
              <w:rPr>
                <w:i/>
                <w:sz w:val="22"/>
                <w:szCs w:val="22"/>
              </w:rPr>
            </w:pPr>
            <w:r w:rsidRPr="007C0F2C">
              <w:rPr>
                <w:sz w:val="22"/>
                <w:szCs w:val="22"/>
              </w:rPr>
              <w:t>1.3. pašvaldību budžets</w:t>
            </w:r>
          </w:p>
        </w:tc>
        <w:tc>
          <w:tcPr>
            <w:tcW w:w="1331"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2. Budžeta izdevumi:</w:t>
            </w:r>
          </w:p>
        </w:tc>
        <w:tc>
          <w:tcPr>
            <w:tcW w:w="1331"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2.1. valsts pamatbudžets</w:t>
            </w:r>
          </w:p>
        </w:tc>
        <w:tc>
          <w:tcPr>
            <w:tcW w:w="1331"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2.2. valsts speciālais budžets</w:t>
            </w:r>
          </w:p>
        </w:tc>
        <w:tc>
          <w:tcPr>
            <w:tcW w:w="1331"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 xml:space="preserve">2.3. pašvaldību budžets </w:t>
            </w:r>
          </w:p>
        </w:tc>
        <w:tc>
          <w:tcPr>
            <w:tcW w:w="1331"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3. Finansiālā ietekme:</w:t>
            </w:r>
          </w:p>
        </w:tc>
        <w:tc>
          <w:tcPr>
            <w:tcW w:w="1331" w:type="dxa"/>
            <w:shd w:val="clear" w:color="auto" w:fill="auto"/>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3.1. valsts pamatbudžets</w:t>
            </w:r>
          </w:p>
        </w:tc>
        <w:tc>
          <w:tcPr>
            <w:tcW w:w="1331" w:type="dxa"/>
            <w:shd w:val="clear" w:color="auto" w:fill="auto"/>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3.2. speciālais budžets</w:t>
            </w:r>
          </w:p>
        </w:tc>
        <w:tc>
          <w:tcPr>
            <w:tcW w:w="1331" w:type="dxa"/>
            <w:shd w:val="clear" w:color="auto" w:fill="auto"/>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 xml:space="preserve">3.3. pašvaldību budžets </w:t>
            </w:r>
          </w:p>
        </w:tc>
        <w:tc>
          <w:tcPr>
            <w:tcW w:w="1331" w:type="dxa"/>
            <w:shd w:val="clear" w:color="auto" w:fill="auto"/>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vMerge w:val="restart"/>
          </w:tcPr>
          <w:p w:rsidR="00716DCC" w:rsidRPr="007C0F2C" w:rsidRDefault="00716DCC" w:rsidP="006C4607">
            <w:pPr>
              <w:jc w:val="both"/>
              <w:rPr>
                <w:sz w:val="22"/>
                <w:szCs w:val="22"/>
              </w:rPr>
            </w:pPr>
            <w:r w:rsidRPr="007C0F2C">
              <w:rPr>
                <w:sz w:val="22"/>
                <w:szCs w:val="22"/>
              </w:rPr>
              <w:t>4. Finanšu līdzekļi papildu izde</w:t>
            </w:r>
            <w:r w:rsidRPr="007C0F2C">
              <w:rPr>
                <w:sz w:val="22"/>
                <w:szCs w:val="22"/>
              </w:rPr>
              <w:softHyphen/>
              <w:t>vumu finansēšanai (kompensējošu izdevumu samazinājumu norāda ar "+" zīmi)</w:t>
            </w:r>
          </w:p>
        </w:tc>
        <w:tc>
          <w:tcPr>
            <w:tcW w:w="1331" w:type="dxa"/>
            <w:vMerge w:val="restart"/>
          </w:tcPr>
          <w:p w:rsidR="00716DCC" w:rsidRDefault="00716DCC" w:rsidP="00716DCC">
            <w:pPr>
              <w:jc w:val="center"/>
            </w:pPr>
            <w:r w:rsidRPr="00680B64">
              <w:rPr>
                <w:sz w:val="20"/>
                <w:szCs w:val="20"/>
              </w:rPr>
              <w:t>Nav attiecināms</w:t>
            </w:r>
          </w:p>
          <w:p w:rsidR="00716DCC" w:rsidRDefault="00716DCC" w:rsidP="00716DCC">
            <w:pPr>
              <w:jc w:val="center"/>
            </w:pP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vMerge/>
          </w:tcPr>
          <w:p w:rsidR="00716DCC" w:rsidRPr="007C0F2C" w:rsidRDefault="00716DCC" w:rsidP="006C4607">
            <w:pPr>
              <w:jc w:val="both"/>
              <w:rPr>
                <w:sz w:val="22"/>
                <w:szCs w:val="22"/>
              </w:rPr>
            </w:pPr>
          </w:p>
        </w:tc>
        <w:tc>
          <w:tcPr>
            <w:tcW w:w="1331" w:type="dxa"/>
            <w:vMerge/>
          </w:tcPr>
          <w:p w:rsidR="00716DCC" w:rsidRPr="007C0F2C" w:rsidRDefault="00716DCC" w:rsidP="00536144">
            <w:pPr>
              <w:pStyle w:val="naisf"/>
              <w:spacing w:before="0" w:after="0"/>
              <w:ind w:firstLine="0"/>
              <w:jc w:val="center"/>
              <w:rPr>
                <w:i/>
                <w:sz w:val="40"/>
                <w:szCs w:val="40"/>
              </w:rPr>
            </w:pP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vMerge/>
          </w:tcPr>
          <w:p w:rsidR="00716DCC" w:rsidRPr="007C0F2C" w:rsidRDefault="00716DCC" w:rsidP="006C4607">
            <w:pPr>
              <w:jc w:val="both"/>
              <w:rPr>
                <w:sz w:val="22"/>
                <w:szCs w:val="22"/>
              </w:rPr>
            </w:pPr>
          </w:p>
        </w:tc>
        <w:tc>
          <w:tcPr>
            <w:tcW w:w="1331" w:type="dxa"/>
            <w:vMerge/>
          </w:tcPr>
          <w:p w:rsidR="00716DCC" w:rsidRPr="007C0F2C" w:rsidRDefault="00716DCC" w:rsidP="00536144">
            <w:pPr>
              <w:pStyle w:val="naisf"/>
              <w:spacing w:before="0" w:after="0"/>
              <w:ind w:firstLine="0"/>
              <w:jc w:val="center"/>
              <w:rPr>
                <w:i/>
                <w:sz w:val="40"/>
                <w:szCs w:val="40"/>
              </w:rPr>
            </w:pP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5. Precizēta finansiālā ietekme:</w:t>
            </w:r>
          </w:p>
        </w:tc>
        <w:tc>
          <w:tcPr>
            <w:tcW w:w="1331" w:type="dxa"/>
            <w:vMerge w:val="restart"/>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5.1. valsts pamatbudžets</w:t>
            </w:r>
          </w:p>
        </w:tc>
        <w:tc>
          <w:tcPr>
            <w:tcW w:w="1331" w:type="dxa"/>
            <w:vMerge/>
            <w:vAlign w:val="center"/>
          </w:tcPr>
          <w:p w:rsidR="00716DCC" w:rsidRPr="007C0F2C" w:rsidRDefault="00716DCC" w:rsidP="00536144">
            <w:pPr>
              <w:pStyle w:val="naisf"/>
              <w:spacing w:before="0" w:after="0"/>
              <w:ind w:firstLine="0"/>
              <w:jc w:val="center"/>
              <w:rPr>
                <w:i/>
                <w:sz w:val="40"/>
                <w:szCs w:val="40"/>
              </w:rPr>
            </w:pP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5.2. speciālais budžets</w:t>
            </w:r>
          </w:p>
        </w:tc>
        <w:tc>
          <w:tcPr>
            <w:tcW w:w="1331" w:type="dxa"/>
            <w:vMerge/>
            <w:vAlign w:val="center"/>
          </w:tcPr>
          <w:p w:rsidR="00716DCC" w:rsidRPr="007C0F2C" w:rsidRDefault="00716DCC" w:rsidP="00536144">
            <w:pPr>
              <w:pStyle w:val="naisf"/>
              <w:spacing w:before="0" w:after="0"/>
              <w:ind w:firstLine="0"/>
              <w:jc w:val="center"/>
              <w:rPr>
                <w:i/>
                <w:sz w:val="40"/>
                <w:szCs w:val="40"/>
              </w:rPr>
            </w:pP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716DCC" w:rsidRPr="007C0F2C" w:rsidTr="00ED7E1F">
        <w:trPr>
          <w:jc w:val="center"/>
        </w:trPr>
        <w:tc>
          <w:tcPr>
            <w:tcW w:w="2797" w:type="dxa"/>
          </w:tcPr>
          <w:p w:rsidR="00716DCC" w:rsidRPr="007C0F2C" w:rsidRDefault="00716DCC" w:rsidP="006C4607">
            <w:pPr>
              <w:jc w:val="both"/>
              <w:rPr>
                <w:sz w:val="22"/>
                <w:szCs w:val="22"/>
              </w:rPr>
            </w:pPr>
            <w:r w:rsidRPr="007C0F2C">
              <w:rPr>
                <w:sz w:val="22"/>
                <w:szCs w:val="22"/>
              </w:rPr>
              <w:t xml:space="preserve">5.3. pašvaldību budžets </w:t>
            </w:r>
          </w:p>
        </w:tc>
        <w:tc>
          <w:tcPr>
            <w:tcW w:w="1331" w:type="dxa"/>
            <w:vMerge/>
            <w:vAlign w:val="center"/>
          </w:tcPr>
          <w:p w:rsidR="00716DCC" w:rsidRPr="007C0F2C" w:rsidRDefault="00716DCC" w:rsidP="00536144">
            <w:pPr>
              <w:pStyle w:val="naisf"/>
              <w:spacing w:before="0" w:after="0"/>
              <w:ind w:firstLine="0"/>
              <w:jc w:val="center"/>
              <w:rPr>
                <w:i/>
                <w:sz w:val="40"/>
                <w:szCs w:val="40"/>
              </w:rPr>
            </w:pPr>
          </w:p>
        </w:tc>
        <w:tc>
          <w:tcPr>
            <w:tcW w:w="1354" w:type="dxa"/>
          </w:tcPr>
          <w:p w:rsidR="00716DCC" w:rsidRDefault="00716DCC" w:rsidP="00716DCC">
            <w:pPr>
              <w:jc w:val="center"/>
            </w:pPr>
            <w:r w:rsidRPr="00680B64">
              <w:rPr>
                <w:sz w:val="20"/>
                <w:szCs w:val="20"/>
              </w:rPr>
              <w:t>Nav attiecināms</w:t>
            </w:r>
          </w:p>
        </w:tc>
        <w:tc>
          <w:tcPr>
            <w:tcW w:w="1354" w:type="dxa"/>
          </w:tcPr>
          <w:p w:rsidR="00716DCC" w:rsidRDefault="00716DCC" w:rsidP="00716DCC">
            <w:pPr>
              <w:jc w:val="center"/>
            </w:pPr>
            <w:r w:rsidRPr="00680B64">
              <w:rPr>
                <w:sz w:val="20"/>
                <w:szCs w:val="20"/>
              </w:rPr>
              <w:t>Nav attiecināms</w:t>
            </w:r>
          </w:p>
        </w:tc>
        <w:tc>
          <w:tcPr>
            <w:tcW w:w="1355" w:type="dxa"/>
          </w:tcPr>
          <w:p w:rsidR="00716DCC" w:rsidRDefault="00716DCC" w:rsidP="00716DCC">
            <w:pPr>
              <w:jc w:val="center"/>
            </w:pPr>
            <w:r w:rsidRPr="00680B64">
              <w:rPr>
                <w:sz w:val="20"/>
                <w:szCs w:val="20"/>
              </w:rPr>
              <w:t>Nav attiecināms</w:t>
            </w:r>
          </w:p>
        </w:tc>
        <w:tc>
          <w:tcPr>
            <w:tcW w:w="1406" w:type="dxa"/>
          </w:tcPr>
          <w:p w:rsidR="00716DCC" w:rsidRDefault="00716DCC" w:rsidP="00716DCC">
            <w:pPr>
              <w:jc w:val="center"/>
            </w:pPr>
            <w:r w:rsidRPr="00680B64">
              <w:rPr>
                <w:sz w:val="20"/>
                <w:szCs w:val="20"/>
              </w:rPr>
              <w:t>Nav attiecināms</w:t>
            </w:r>
          </w:p>
        </w:tc>
      </w:tr>
      <w:tr w:rsidR="00536144" w:rsidRPr="007C0F2C" w:rsidTr="00ED7E1F">
        <w:trPr>
          <w:jc w:val="center"/>
        </w:trPr>
        <w:tc>
          <w:tcPr>
            <w:tcW w:w="2797" w:type="dxa"/>
          </w:tcPr>
          <w:p w:rsidR="00536144" w:rsidRPr="007C0F2C" w:rsidRDefault="00536144" w:rsidP="006C4607">
            <w:pPr>
              <w:jc w:val="both"/>
              <w:rPr>
                <w:sz w:val="22"/>
                <w:szCs w:val="22"/>
              </w:rPr>
            </w:pPr>
            <w:r w:rsidRPr="007C0F2C">
              <w:rPr>
                <w:sz w:val="22"/>
                <w:szCs w:val="22"/>
              </w:rPr>
              <w:t>6. Detalizēts ieņēmumu un izdevu</w:t>
            </w:r>
            <w:r w:rsidRPr="007C0F2C">
              <w:rPr>
                <w:sz w:val="22"/>
                <w:szCs w:val="22"/>
              </w:rPr>
              <w:softHyphen/>
              <w:t>mu aprēķins (ja nepieciešams, detalizētu ieņēmumu un izdevumu aprēķinu var pievienot anotācijas pielikumā):</w:t>
            </w:r>
          </w:p>
        </w:tc>
        <w:tc>
          <w:tcPr>
            <w:tcW w:w="6800" w:type="dxa"/>
            <w:gridSpan w:val="5"/>
            <w:vMerge w:val="restart"/>
            <w:vAlign w:val="center"/>
          </w:tcPr>
          <w:p w:rsidR="00536144" w:rsidRPr="007C0F2C" w:rsidRDefault="00EF4E00" w:rsidP="006C4607">
            <w:pPr>
              <w:pStyle w:val="naisf"/>
              <w:spacing w:before="0" w:after="0"/>
              <w:ind w:firstLine="0"/>
              <w:rPr>
                <w:b/>
                <w:i/>
                <w:sz w:val="22"/>
                <w:szCs w:val="22"/>
              </w:rPr>
            </w:pPr>
            <w:r w:rsidRPr="00680B64">
              <w:rPr>
                <w:sz w:val="20"/>
                <w:szCs w:val="20"/>
              </w:rPr>
              <w:t>Nav attiecināms</w:t>
            </w:r>
          </w:p>
        </w:tc>
      </w:tr>
      <w:tr w:rsidR="00536144" w:rsidRPr="007C0F2C" w:rsidTr="00ED7E1F">
        <w:trPr>
          <w:jc w:val="center"/>
        </w:trPr>
        <w:tc>
          <w:tcPr>
            <w:tcW w:w="2797" w:type="dxa"/>
          </w:tcPr>
          <w:p w:rsidR="00536144" w:rsidRPr="007C0F2C" w:rsidRDefault="00536144" w:rsidP="006C4607">
            <w:pPr>
              <w:jc w:val="both"/>
              <w:rPr>
                <w:sz w:val="22"/>
                <w:szCs w:val="22"/>
              </w:rPr>
            </w:pPr>
            <w:r w:rsidRPr="007C0F2C">
              <w:rPr>
                <w:sz w:val="22"/>
                <w:szCs w:val="22"/>
              </w:rPr>
              <w:t>6.1. detalizēts ieņēmumu aprēķins</w:t>
            </w:r>
          </w:p>
        </w:tc>
        <w:tc>
          <w:tcPr>
            <w:tcW w:w="6800" w:type="dxa"/>
            <w:gridSpan w:val="5"/>
            <w:vMerge/>
          </w:tcPr>
          <w:p w:rsidR="00536144" w:rsidRPr="007C0F2C" w:rsidRDefault="00536144" w:rsidP="006C4607">
            <w:pPr>
              <w:pStyle w:val="naisf"/>
              <w:spacing w:before="0" w:after="0"/>
              <w:ind w:firstLine="0"/>
              <w:rPr>
                <w:b/>
                <w:i/>
                <w:sz w:val="22"/>
                <w:szCs w:val="22"/>
              </w:rPr>
            </w:pPr>
          </w:p>
        </w:tc>
      </w:tr>
      <w:tr w:rsidR="00536144" w:rsidRPr="007C0F2C" w:rsidTr="00ED7E1F">
        <w:trPr>
          <w:jc w:val="center"/>
        </w:trPr>
        <w:tc>
          <w:tcPr>
            <w:tcW w:w="2797" w:type="dxa"/>
          </w:tcPr>
          <w:p w:rsidR="00536144" w:rsidRPr="007C0F2C" w:rsidRDefault="00536144" w:rsidP="006C4607">
            <w:pPr>
              <w:jc w:val="both"/>
              <w:rPr>
                <w:sz w:val="22"/>
                <w:szCs w:val="22"/>
              </w:rPr>
            </w:pPr>
            <w:r w:rsidRPr="007C0F2C">
              <w:rPr>
                <w:sz w:val="22"/>
                <w:szCs w:val="22"/>
              </w:rPr>
              <w:t>6.2. detalizēts izdevumu aprēķins</w:t>
            </w:r>
          </w:p>
        </w:tc>
        <w:tc>
          <w:tcPr>
            <w:tcW w:w="6800" w:type="dxa"/>
            <w:gridSpan w:val="5"/>
            <w:vMerge/>
          </w:tcPr>
          <w:p w:rsidR="00536144" w:rsidRPr="007C0F2C" w:rsidRDefault="00536144" w:rsidP="006C4607">
            <w:pPr>
              <w:pStyle w:val="naisf"/>
              <w:spacing w:before="0" w:after="0"/>
              <w:ind w:firstLine="0"/>
              <w:rPr>
                <w:b/>
                <w:i/>
                <w:sz w:val="22"/>
                <w:szCs w:val="22"/>
              </w:rPr>
            </w:pPr>
          </w:p>
        </w:tc>
      </w:tr>
      <w:tr w:rsidR="00536144" w:rsidRPr="007C0F2C" w:rsidTr="00ED7E1F">
        <w:trPr>
          <w:jc w:val="center"/>
        </w:trPr>
        <w:tc>
          <w:tcPr>
            <w:tcW w:w="2797" w:type="dxa"/>
          </w:tcPr>
          <w:p w:rsidR="00536144" w:rsidRPr="007C0F2C" w:rsidRDefault="00536144" w:rsidP="006C4607">
            <w:pPr>
              <w:jc w:val="both"/>
              <w:rPr>
                <w:sz w:val="22"/>
                <w:szCs w:val="22"/>
              </w:rPr>
            </w:pPr>
            <w:r w:rsidRPr="007C0F2C">
              <w:rPr>
                <w:sz w:val="22"/>
                <w:szCs w:val="22"/>
              </w:rPr>
              <w:t>7. Cita informācija</w:t>
            </w:r>
          </w:p>
        </w:tc>
        <w:tc>
          <w:tcPr>
            <w:tcW w:w="6800" w:type="dxa"/>
            <w:gridSpan w:val="5"/>
          </w:tcPr>
          <w:p w:rsidR="00536144" w:rsidRPr="001D51E9" w:rsidRDefault="00EF4E00" w:rsidP="006C4607">
            <w:pPr>
              <w:pStyle w:val="naisf"/>
              <w:tabs>
                <w:tab w:val="left" w:pos="4644"/>
              </w:tabs>
              <w:spacing w:before="0" w:after="0"/>
              <w:ind w:firstLine="0"/>
              <w:rPr>
                <w:sz w:val="22"/>
                <w:szCs w:val="22"/>
              </w:rPr>
            </w:pPr>
            <w:r w:rsidRPr="00680B64">
              <w:rPr>
                <w:sz w:val="20"/>
                <w:szCs w:val="20"/>
              </w:rPr>
              <w:t>Nav attiecināms</w:t>
            </w:r>
          </w:p>
        </w:tc>
      </w:tr>
    </w:tbl>
    <w:p w:rsidR="00924023" w:rsidRPr="007C0F2C" w:rsidRDefault="00924023" w:rsidP="006C4607">
      <w:pPr>
        <w:pStyle w:val="naiskr"/>
        <w:tabs>
          <w:tab w:val="left" w:pos="2628"/>
        </w:tabs>
        <w:spacing w:before="0" w:after="0"/>
        <w:rPr>
          <w:i/>
          <w:sz w:val="22"/>
          <w:szCs w:val="22"/>
        </w:rPr>
      </w:pPr>
    </w:p>
    <w:tbl>
      <w:tblPr>
        <w:tblW w:w="9592"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5676"/>
      </w:tblGrid>
      <w:tr w:rsidR="00924023" w:rsidRPr="00711F59" w:rsidTr="00ED7E1F">
        <w:trPr>
          <w:jc w:val="center"/>
        </w:trPr>
        <w:tc>
          <w:tcPr>
            <w:tcW w:w="9592" w:type="dxa"/>
            <w:gridSpan w:val="3"/>
          </w:tcPr>
          <w:p w:rsidR="00924023" w:rsidRPr="007C0F2C" w:rsidRDefault="00924023" w:rsidP="00711F59">
            <w:pPr>
              <w:pStyle w:val="naisnod"/>
              <w:spacing w:before="0" w:after="0"/>
            </w:pPr>
            <w:r w:rsidRPr="007C0F2C">
              <w:t>IV</w:t>
            </w:r>
            <w:r w:rsidR="000941C5" w:rsidRPr="007C0F2C">
              <w:t>.</w:t>
            </w:r>
            <w:r w:rsidRPr="007C0F2C">
              <w:t xml:space="preserve"> Tiesību akta projekta ietekme uz</w:t>
            </w:r>
            <w:r w:rsidR="005060A1" w:rsidRPr="007C0F2C">
              <w:t xml:space="preserve"> </w:t>
            </w:r>
            <w:r w:rsidRPr="007C0F2C">
              <w:t>spēkā esošo tiesību normu sistēmu</w:t>
            </w:r>
          </w:p>
        </w:tc>
      </w:tr>
      <w:tr w:rsidR="00924023" w:rsidRPr="00711F59" w:rsidTr="00ED7E1F">
        <w:trPr>
          <w:jc w:val="center"/>
        </w:trPr>
        <w:tc>
          <w:tcPr>
            <w:tcW w:w="798" w:type="dxa"/>
          </w:tcPr>
          <w:p w:rsidR="00924023" w:rsidRPr="00711F59" w:rsidRDefault="00924023" w:rsidP="00711F59">
            <w:pPr>
              <w:pStyle w:val="naiskr"/>
              <w:tabs>
                <w:tab w:val="left" w:pos="2628"/>
              </w:tabs>
              <w:spacing w:before="0" w:after="0"/>
              <w:jc w:val="both"/>
              <w:rPr>
                <w:iCs/>
              </w:rPr>
            </w:pPr>
            <w:r w:rsidRPr="00711F59">
              <w:rPr>
                <w:iCs/>
              </w:rPr>
              <w:t>1.</w:t>
            </w:r>
          </w:p>
        </w:tc>
        <w:tc>
          <w:tcPr>
            <w:tcW w:w="3118" w:type="dxa"/>
          </w:tcPr>
          <w:p w:rsidR="00924023" w:rsidRPr="00711F59" w:rsidRDefault="00924023" w:rsidP="00711F59">
            <w:pPr>
              <w:pStyle w:val="naiskr"/>
              <w:tabs>
                <w:tab w:val="left" w:pos="2628"/>
              </w:tabs>
              <w:spacing w:before="0" w:after="0"/>
              <w:jc w:val="both"/>
              <w:rPr>
                <w:iCs/>
              </w:rPr>
            </w:pPr>
            <w:r w:rsidRPr="00711F59">
              <w:rPr>
                <w:sz w:val="22"/>
                <w:szCs w:val="22"/>
              </w:rPr>
              <w:t>Nepieciešamie saistītie tiesību akt</w:t>
            </w:r>
            <w:r w:rsidR="00DD1020" w:rsidRPr="00711F59">
              <w:rPr>
                <w:sz w:val="22"/>
                <w:szCs w:val="22"/>
              </w:rPr>
              <w:t>u</w:t>
            </w:r>
            <w:r w:rsidRPr="00711F59">
              <w:rPr>
                <w:sz w:val="22"/>
                <w:szCs w:val="22"/>
              </w:rPr>
              <w:t xml:space="preserve"> projekti</w:t>
            </w:r>
          </w:p>
        </w:tc>
        <w:tc>
          <w:tcPr>
            <w:tcW w:w="5676" w:type="dxa"/>
          </w:tcPr>
          <w:p w:rsidR="00924023" w:rsidRPr="00711F59" w:rsidRDefault="009C238B" w:rsidP="00711F59">
            <w:pPr>
              <w:pStyle w:val="naiskr"/>
              <w:tabs>
                <w:tab w:val="left" w:pos="2628"/>
              </w:tabs>
              <w:spacing w:before="0" w:after="0"/>
              <w:jc w:val="both"/>
              <w:rPr>
                <w:iCs/>
              </w:rPr>
            </w:pPr>
            <w:r>
              <w:rPr>
                <w:iCs/>
                <w:sz w:val="22"/>
                <w:szCs w:val="22"/>
              </w:rPr>
              <w:t>Nav</w:t>
            </w:r>
          </w:p>
        </w:tc>
      </w:tr>
      <w:tr w:rsidR="00924023" w:rsidRPr="00711F59" w:rsidTr="00ED7E1F">
        <w:trPr>
          <w:jc w:val="center"/>
        </w:trPr>
        <w:tc>
          <w:tcPr>
            <w:tcW w:w="798" w:type="dxa"/>
          </w:tcPr>
          <w:p w:rsidR="00924023" w:rsidRPr="00711F59" w:rsidRDefault="00924023" w:rsidP="00711F59">
            <w:pPr>
              <w:pStyle w:val="naiskr"/>
              <w:tabs>
                <w:tab w:val="left" w:pos="2628"/>
              </w:tabs>
              <w:spacing w:before="0" w:after="0"/>
              <w:jc w:val="both"/>
              <w:rPr>
                <w:iCs/>
              </w:rPr>
            </w:pPr>
            <w:r w:rsidRPr="00711F59">
              <w:rPr>
                <w:iCs/>
              </w:rPr>
              <w:t>2.</w:t>
            </w:r>
          </w:p>
        </w:tc>
        <w:tc>
          <w:tcPr>
            <w:tcW w:w="3118" w:type="dxa"/>
          </w:tcPr>
          <w:p w:rsidR="00924023" w:rsidRPr="00711F59" w:rsidRDefault="00924023" w:rsidP="00711F59">
            <w:pPr>
              <w:pStyle w:val="naiskr"/>
              <w:tabs>
                <w:tab w:val="left" w:pos="2628"/>
              </w:tabs>
              <w:spacing w:before="0" w:after="0"/>
              <w:jc w:val="both"/>
              <w:rPr>
                <w:iCs/>
              </w:rPr>
            </w:pPr>
            <w:r w:rsidRPr="00711F59">
              <w:rPr>
                <w:sz w:val="22"/>
                <w:szCs w:val="22"/>
              </w:rPr>
              <w:t>Cita informācija</w:t>
            </w:r>
          </w:p>
        </w:tc>
        <w:tc>
          <w:tcPr>
            <w:tcW w:w="5676" w:type="dxa"/>
          </w:tcPr>
          <w:p w:rsidR="00924023" w:rsidRPr="00711F59" w:rsidRDefault="009C238B" w:rsidP="00711F59">
            <w:pPr>
              <w:pStyle w:val="naiskr"/>
              <w:tabs>
                <w:tab w:val="left" w:pos="2628"/>
              </w:tabs>
              <w:spacing w:before="0" w:after="0"/>
              <w:jc w:val="both"/>
              <w:rPr>
                <w:iCs/>
              </w:rPr>
            </w:pPr>
            <w:r>
              <w:rPr>
                <w:sz w:val="22"/>
                <w:szCs w:val="22"/>
              </w:rPr>
              <w:t>Nav</w:t>
            </w:r>
          </w:p>
        </w:tc>
      </w:tr>
    </w:tbl>
    <w:p w:rsidR="00C31E36" w:rsidRDefault="00C31E36" w:rsidP="00C31E36">
      <w:pPr>
        <w:ind w:firstLine="720"/>
        <w:jc w:val="both"/>
        <w:rPr>
          <w:sz w:val="28"/>
          <w:szCs w:val="28"/>
        </w:rPr>
      </w:pPr>
    </w:p>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8"/>
        <w:gridCol w:w="3118"/>
        <w:gridCol w:w="5954"/>
      </w:tblGrid>
      <w:tr w:rsidR="00C31E36" w:rsidRPr="00BA3C4F" w:rsidTr="00ED7E1F">
        <w:tc>
          <w:tcPr>
            <w:tcW w:w="9640" w:type="dxa"/>
            <w:gridSpan w:val="3"/>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jc w:val="center"/>
              <w:rPr>
                <w:b/>
              </w:rPr>
            </w:pPr>
            <w:r w:rsidRPr="00BA3C4F">
              <w:rPr>
                <w:b/>
              </w:rPr>
              <w:t>V. Tiesību akta projekta atbilstība Latvijas Republikas starptautiskajām saistībām</w:t>
            </w:r>
          </w:p>
        </w:tc>
      </w:tr>
      <w:tr w:rsidR="00C31E36" w:rsidRPr="00BA3C4F" w:rsidTr="00ED7E1F">
        <w:tc>
          <w:tcPr>
            <w:tcW w:w="568" w:type="dxa"/>
            <w:tcBorders>
              <w:top w:val="outset" w:sz="6" w:space="0" w:color="auto"/>
              <w:left w:val="outset" w:sz="6" w:space="0" w:color="auto"/>
              <w:bottom w:val="outset" w:sz="6" w:space="0" w:color="auto"/>
              <w:right w:val="outset" w:sz="6" w:space="0" w:color="auto"/>
            </w:tcBorders>
          </w:tcPr>
          <w:p w:rsidR="00C31E36" w:rsidRPr="00E26DD6" w:rsidRDefault="00C31E36" w:rsidP="00C31E36">
            <w:pPr>
              <w:ind w:left="57"/>
            </w:pPr>
            <w:r w:rsidRPr="00E26DD6">
              <w:t>1.</w:t>
            </w:r>
          </w:p>
        </w:tc>
        <w:tc>
          <w:tcPr>
            <w:tcW w:w="3118" w:type="dxa"/>
            <w:tcBorders>
              <w:top w:val="outset" w:sz="6" w:space="0" w:color="auto"/>
              <w:left w:val="outset" w:sz="6" w:space="0" w:color="auto"/>
              <w:bottom w:val="outset" w:sz="6" w:space="0" w:color="auto"/>
              <w:right w:val="outset" w:sz="6" w:space="0" w:color="auto"/>
            </w:tcBorders>
          </w:tcPr>
          <w:p w:rsidR="00C31E36" w:rsidRPr="00E26DD6" w:rsidRDefault="00C31E36" w:rsidP="00C31E36">
            <w:pPr>
              <w:ind w:left="57"/>
            </w:pPr>
            <w:r w:rsidRPr="00E26DD6">
              <w:t>Saistības pret Eiropas Savienību</w:t>
            </w:r>
          </w:p>
        </w:tc>
        <w:tc>
          <w:tcPr>
            <w:tcW w:w="5954" w:type="dxa"/>
            <w:tcBorders>
              <w:top w:val="outset" w:sz="6" w:space="0" w:color="auto"/>
              <w:left w:val="outset" w:sz="6" w:space="0" w:color="auto"/>
              <w:bottom w:val="outset" w:sz="6" w:space="0" w:color="auto"/>
              <w:right w:val="outset" w:sz="6" w:space="0" w:color="auto"/>
            </w:tcBorders>
          </w:tcPr>
          <w:p w:rsidR="007D669B" w:rsidRPr="007D669B" w:rsidRDefault="007D669B" w:rsidP="00E26DD6">
            <w:pPr>
              <w:autoSpaceDE w:val="0"/>
              <w:autoSpaceDN w:val="0"/>
              <w:adjustRightInd w:val="0"/>
              <w:spacing w:after="120"/>
              <w:ind w:firstLine="256"/>
              <w:jc w:val="both"/>
            </w:pPr>
            <w:r w:rsidRPr="007D669B">
              <w:t>Ministru kabineta rīkojuma projekts tieši nepārņem Eiropas Savienības normatīvo aktu prasības. Vienlaikus normatīvā akta projekts sagatavots, ievērojot šādus Eiropas Savienības tiesību aktus:</w:t>
            </w:r>
          </w:p>
          <w:p w:rsidR="007D669B" w:rsidRPr="007D669B" w:rsidRDefault="009C238B" w:rsidP="007D669B">
            <w:pPr>
              <w:pStyle w:val="ListParagraph"/>
              <w:numPr>
                <w:ilvl w:val="0"/>
                <w:numId w:val="16"/>
              </w:numPr>
              <w:autoSpaceDE w:val="0"/>
              <w:autoSpaceDN w:val="0"/>
              <w:adjustRightInd w:val="0"/>
              <w:rPr>
                <w:sz w:val="24"/>
                <w:szCs w:val="24"/>
              </w:rPr>
            </w:pPr>
            <w:r w:rsidRPr="007D669B">
              <w:rPr>
                <w:sz w:val="24"/>
                <w:szCs w:val="24"/>
              </w:rPr>
              <w:t>Eiropas Parlamenta un Padomes 2003.gada 13.oktobra direktīva 2003/87/EK</w:t>
            </w:r>
            <w:r w:rsidR="00CE2AB9" w:rsidRPr="007D669B">
              <w:rPr>
                <w:sz w:val="24"/>
                <w:szCs w:val="24"/>
              </w:rPr>
              <w:t xml:space="preserve"> </w:t>
            </w:r>
            <w:r w:rsidR="00CE2AB9" w:rsidRPr="007D669B">
              <w:rPr>
                <w:rFonts w:eastAsia="EUAlbertina-Bold-Identity-H"/>
                <w:bCs/>
                <w:sz w:val="24"/>
                <w:szCs w:val="24"/>
              </w:rPr>
              <w:t>ar kuru nosaka sistēmu siltumnīcas efektu izraisošo gāzu emisijas kvotu tirdzniecībai Kopienā un groza Padomes Direktīvu 96/61/EK</w:t>
            </w:r>
            <w:r w:rsidR="00D6300F" w:rsidRPr="007D669B">
              <w:rPr>
                <w:rFonts w:eastAsia="EUAlbertina-Bold-Identity-H"/>
                <w:bCs/>
                <w:sz w:val="24"/>
                <w:szCs w:val="24"/>
              </w:rPr>
              <w:t xml:space="preserve"> (pārņemta ar likumu „Par piesārņojumu”).</w:t>
            </w:r>
          </w:p>
          <w:p w:rsidR="00BC01E7" w:rsidRPr="007D669B" w:rsidRDefault="00BC01E7" w:rsidP="007D669B">
            <w:pPr>
              <w:pStyle w:val="ListParagraph"/>
              <w:numPr>
                <w:ilvl w:val="0"/>
                <w:numId w:val="16"/>
              </w:numPr>
              <w:autoSpaceDE w:val="0"/>
              <w:autoSpaceDN w:val="0"/>
              <w:adjustRightInd w:val="0"/>
              <w:rPr>
                <w:sz w:val="24"/>
                <w:szCs w:val="24"/>
              </w:rPr>
            </w:pPr>
            <w:r w:rsidRPr="007D669B">
              <w:rPr>
                <w:sz w:val="24"/>
                <w:szCs w:val="24"/>
              </w:rPr>
              <w:t xml:space="preserve">Eiropas Komisijas 2011.gada 27.aprīļa „Lēmums Nr.2011/278/ES, </w:t>
            </w:r>
            <w:r w:rsidRPr="007D669B">
              <w:rPr>
                <w:bCs/>
                <w:color w:val="000000"/>
                <w:sz w:val="24"/>
                <w:szCs w:val="24"/>
              </w:rPr>
              <w:t>ar kuru visā Savienībā nosaka pagaidu noteikumus saskaņotai bezmaksas emisiju kvotu sadalei atbilstoši 10.a pantam Eiropas Parlamenta un Padomes Direktīvā 2003/87/EK</w:t>
            </w:r>
            <w:r w:rsidRPr="007D669B">
              <w:rPr>
                <w:bCs/>
                <w:sz w:val="24"/>
                <w:szCs w:val="24"/>
              </w:rPr>
              <w:t>”</w:t>
            </w:r>
            <w:r w:rsidR="008466D2" w:rsidRPr="007D669B">
              <w:rPr>
                <w:bCs/>
                <w:sz w:val="24"/>
                <w:szCs w:val="24"/>
              </w:rPr>
              <w:t>.</w:t>
            </w:r>
          </w:p>
        </w:tc>
      </w:tr>
      <w:tr w:rsidR="00C31E36" w:rsidRPr="00BA3C4F" w:rsidTr="00ED7E1F">
        <w:tc>
          <w:tcPr>
            <w:tcW w:w="568" w:type="dxa"/>
            <w:tcBorders>
              <w:top w:val="outset" w:sz="6" w:space="0" w:color="auto"/>
              <w:left w:val="outset" w:sz="6" w:space="0" w:color="auto"/>
              <w:bottom w:val="outset" w:sz="6" w:space="0" w:color="auto"/>
              <w:right w:val="outset" w:sz="6" w:space="0" w:color="auto"/>
            </w:tcBorders>
          </w:tcPr>
          <w:p w:rsidR="00C31E36" w:rsidRPr="00E26DD6" w:rsidRDefault="00C31E36" w:rsidP="00C31E36">
            <w:pPr>
              <w:ind w:left="57"/>
            </w:pPr>
            <w:r w:rsidRPr="00E26DD6">
              <w:t>2.</w:t>
            </w:r>
          </w:p>
        </w:tc>
        <w:tc>
          <w:tcPr>
            <w:tcW w:w="3118" w:type="dxa"/>
            <w:tcBorders>
              <w:top w:val="outset" w:sz="6" w:space="0" w:color="auto"/>
              <w:left w:val="outset" w:sz="6" w:space="0" w:color="auto"/>
              <w:bottom w:val="outset" w:sz="6" w:space="0" w:color="auto"/>
              <w:right w:val="outset" w:sz="6" w:space="0" w:color="auto"/>
            </w:tcBorders>
          </w:tcPr>
          <w:p w:rsidR="00C31E36" w:rsidRPr="00E26DD6" w:rsidRDefault="00C31E36" w:rsidP="00C31E36">
            <w:pPr>
              <w:ind w:left="57"/>
            </w:pPr>
            <w:r w:rsidRPr="00E26DD6">
              <w:t>Citas starptautiskās saistības</w:t>
            </w:r>
          </w:p>
        </w:tc>
        <w:tc>
          <w:tcPr>
            <w:tcW w:w="5954" w:type="dxa"/>
            <w:tcBorders>
              <w:top w:val="outset" w:sz="6" w:space="0" w:color="auto"/>
              <w:left w:val="outset" w:sz="6" w:space="0" w:color="auto"/>
              <w:bottom w:val="outset" w:sz="6" w:space="0" w:color="auto"/>
              <w:right w:val="outset" w:sz="6" w:space="0" w:color="auto"/>
            </w:tcBorders>
          </w:tcPr>
          <w:p w:rsidR="00C31E36" w:rsidRPr="00E26DD6" w:rsidRDefault="00E26DD6" w:rsidP="00E26DD6">
            <w:pPr>
              <w:ind w:firstLine="256"/>
            </w:pPr>
            <w:r>
              <w:t>Nav</w:t>
            </w:r>
          </w:p>
        </w:tc>
      </w:tr>
      <w:tr w:rsidR="00C31E36" w:rsidRPr="00BA3C4F" w:rsidTr="00ED7E1F">
        <w:tc>
          <w:tcPr>
            <w:tcW w:w="568" w:type="dxa"/>
            <w:tcBorders>
              <w:top w:val="outset" w:sz="6" w:space="0" w:color="auto"/>
              <w:left w:val="outset" w:sz="6" w:space="0" w:color="auto"/>
              <w:bottom w:val="outset" w:sz="6" w:space="0" w:color="auto"/>
              <w:right w:val="outset" w:sz="6" w:space="0" w:color="auto"/>
            </w:tcBorders>
          </w:tcPr>
          <w:p w:rsidR="00C31E36" w:rsidRPr="00E26DD6" w:rsidRDefault="00C31E36" w:rsidP="00C31E36">
            <w:pPr>
              <w:ind w:left="57"/>
            </w:pPr>
            <w:r w:rsidRPr="00E26DD6">
              <w:t>3.</w:t>
            </w:r>
          </w:p>
        </w:tc>
        <w:tc>
          <w:tcPr>
            <w:tcW w:w="3118" w:type="dxa"/>
            <w:tcBorders>
              <w:top w:val="outset" w:sz="6" w:space="0" w:color="auto"/>
              <w:left w:val="outset" w:sz="6" w:space="0" w:color="auto"/>
              <w:bottom w:val="outset" w:sz="6" w:space="0" w:color="auto"/>
              <w:right w:val="outset" w:sz="6" w:space="0" w:color="auto"/>
            </w:tcBorders>
          </w:tcPr>
          <w:p w:rsidR="00C31E36" w:rsidRPr="00E26DD6" w:rsidRDefault="00C31E36" w:rsidP="00C31E36">
            <w:pPr>
              <w:ind w:left="57"/>
            </w:pPr>
            <w:r w:rsidRPr="00E26DD6">
              <w:t>Cita informācija</w:t>
            </w:r>
          </w:p>
        </w:tc>
        <w:tc>
          <w:tcPr>
            <w:tcW w:w="5954" w:type="dxa"/>
            <w:tcBorders>
              <w:top w:val="outset" w:sz="6" w:space="0" w:color="auto"/>
              <w:left w:val="outset" w:sz="6" w:space="0" w:color="auto"/>
              <w:bottom w:val="outset" w:sz="6" w:space="0" w:color="auto"/>
              <w:right w:val="outset" w:sz="6" w:space="0" w:color="auto"/>
            </w:tcBorders>
          </w:tcPr>
          <w:p w:rsidR="00C31E36" w:rsidRPr="00E26DD6" w:rsidRDefault="009C238B" w:rsidP="00E26DD6">
            <w:pPr>
              <w:ind w:firstLine="256"/>
            </w:pPr>
            <w:r w:rsidRPr="00E26DD6">
              <w:t>Nav</w:t>
            </w:r>
          </w:p>
        </w:tc>
      </w:tr>
    </w:tbl>
    <w:p w:rsidR="00C31E36" w:rsidRPr="00BA3C4F" w:rsidRDefault="00C31E36" w:rsidP="00C31E36"/>
    <w:p w:rsidR="00C31E36" w:rsidRPr="002550F1" w:rsidRDefault="00C31E36" w:rsidP="00C31E36">
      <w:pPr>
        <w:rPr>
          <w:sz w:val="2"/>
          <w:szCs w:val="2"/>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91"/>
        <w:gridCol w:w="1852"/>
        <w:gridCol w:w="2719"/>
        <w:gridCol w:w="3244"/>
      </w:tblGrid>
      <w:tr w:rsidR="00C31E36" w:rsidRPr="00BA3C4F" w:rsidTr="00C31E36">
        <w:trPr>
          <w:cantSplit/>
          <w:trHeight w:val="523"/>
        </w:trPr>
        <w:tc>
          <w:tcPr>
            <w:tcW w:w="10206" w:type="dxa"/>
            <w:gridSpan w:val="4"/>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ind w:left="57"/>
              <w:jc w:val="center"/>
              <w:rPr>
                <w:b/>
              </w:rPr>
            </w:pPr>
            <w:r w:rsidRPr="00BA3C4F">
              <w:rPr>
                <w:b/>
              </w:rPr>
              <w:t>1.tabula</w:t>
            </w:r>
          </w:p>
          <w:p w:rsidR="00C31E36" w:rsidRPr="00BA3C4F" w:rsidRDefault="00C31E36" w:rsidP="00C31E36">
            <w:pPr>
              <w:ind w:left="57"/>
              <w:jc w:val="center"/>
            </w:pPr>
            <w:r w:rsidRPr="00BA3C4F">
              <w:rPr>
                <w:b/>
              </w:rPr>
              <w:t>Tiesību akta projekta atbilstība ES tiesību aktiem</w:t>
            </w:r>
          </w:p>
        </w:tc>
      </w:tr>
      <w:tr w:rsidR="00C31E36" w:rsidRPr="00BA3C4F" w:rsidTr="00C31E36">
        <w:trPr>
          <w:cantSplit/>
        </w:trPr>
        <w:tc>
          <w:tcPr>
            <w:tcW w:w="2391" w:type="dxa"/>
            <w:tcBorders>
              <w:top w:val="outset" w:sz="6" w:space="0" w:color="auto"/>
              <w:left w:val="outset" w:sz="6" w:space="0" w:color="auto"/>
              <w:bottom w:val="outset" w:sz="6" w:space="0" w:color="auto"/>
              <w:right w:val="outset" w:sz="6" w:space="0" w:color="auto"/>
            </w:tcBorders>
          </w:tcPr>
          <w:p w:rsidR="00C31E36" w:rsidRPr="00BA3C4F" w:rsidRDefault="00C31E36" w:rsidP="00C31E36">
            <w:pPr>
              <w:ind w:left="57"/>
            </w:pPr>
            <w:r>
              <w:t>Attiecīgā ES </w:t>
            </w:r>
            <w:r w:rsidRPr="00BA3C4F">
              <w:t>tiesību akta datums, numurs un nosaukums</w:t>
            </w:r>
          </w:p>
        </w:tc>
        <w:tc>
          <w:tcPr>
            <w:tcW w:w="7815" w:type="dxa"/>
            <w:gridSpan w:val="3"/>
            <w:tcBorders>
              <w:top w:val="outset" w:sz="6" w:space="0" w:color="auto"/>
              <w:left w:val="outset" w:sz="6" w:space="0" w:color="auto"/>
              <w:bottom w:val="outset" w:sz="6" w:space="0" w:color="auto"/>
              <w:right w:val="outset" w:sz="6" w:space="0" w:color="auto"/>
            </w:tcBorders>
          </w:tcPr>
          <w:p w:rsidR="00C31E36" w:rsidRPr="00BA3C4F" w:rsidRDefault="00C31E36" w:rsidP="00C31E36">
            <w:pPr>
              <w:ind w:left="57"/>
            </w:pPr>
            <w:r w:rsidRPr="00BA3C4F">
              <w:t>Aizpilda, ja ar projektu tiek pārņemts va</w:t>
            </w:r>
            <w:r>
              <w:t>i ieviests vairāk nekā viens ES </w:t>
            </w:r>
            <w:r w:rsidRPr="00BA3C4F">
              <w:t>tiesību akts</w:t>
            </w:r>
            <w:r>
              <w:t>,</w:t>
            </w:r>
            <w:r w:rsidRPr="00BA3C4F">
              <w:t xml:space="preserve"> – jānorāda tā pati informācija, kas prasīta instrukcijas 55.1.apakšpunktā un jau tikusi norādīta arī V sadaļas 1.punkta ietvaros</w:t>
            </w:r>
          </w:p>
        </w:tc>
      </w:tr>
      <w:tr w:rsidR="00C31E36" w:rsidRPr="00BA3C4F" w:rsidTr="00C31E36">
        <w:trPr>
          <w:cantSplit/>
        </w:trPr>
        <w:tc>
          <w:tcPr>
            <w:tcW w:w="2391" w:type="dxa"/>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ind w:left="57"/>
              <w:jc w:val="center"/>
            </w:pPr>
            <w:r w:rsidRPr="00BA3C4F">
              <w:t>A</w:t>
            </w:r>
          </w:p>
        </w:tc>
        <w:tc>
          <w:tcPr>
            <w:tcW w:w="1852" w:type="dxa"/>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ind w:left="57"/>
              <w:jc w:val="center"/>
            </w:pPr>
            <w:r w:rsidRPr="00BA3C4F">
              <w:t>B</w:t>
            </w:r>
          </w:p>
        </w:tc>
        <w:tc>
          <w:tcPr>
            <w:tcW w:w="2719" w:type="dxa"/>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ind w:left="57"/>
              <w:jc w:val="center"/>
            </w:pPr>
            <w:r w:rsidRPr="00BA3C4F">
              <w:t>C</w:t>
            </w:r>
          </w:p>
        </w:tc>
        <w:tc>
          <w:tcPr>
            <w:tcW w:w="3244" w:type="dxa"/>
            <w:tcBorders>
              <w:top w:val="outset" w:sz="6" w:space="0" w:color="auto"/>
              <w:left w:val="outset" w:sz="6" w:space="0" w:color="auto"/>
              <w:bottom w:val="outset" w:sz="6" w:space="0" w:color="auto"/>
              <w:right w:val="outset" w:sz="6" w:space="0" w:color="auto"/>
            </w:tcBorders>
            <w:vAlign w:val="center"/>
          </w:tcPr>
          <w:p w:rsidR="00C31E36" w:rsidRPr="00BA3C4F" w:rsidRDefault="00C31E36" w:rsidP="00C31E36">
            <w:pPr>
              <w:ind w:left="57"/>
              <w:jc w:val="center"/>
            </w:pPr>
            <w:r w:rsidRPr="00BA3C4F">
              <w:t>D</w:t>
            </w:r>
          </w:p>
        </w:tc>
      </w:tr>
      <w:tr w:rsidR="00C31E36" w:rsidRPr="001D51E9" w:rsidTr="00194E58">
        <w:trPr>
          <w:cantSplit/>
          <w:trHeight w:val="4366"/>
        </w:trPr>
        <w:tc>
          <w:tcPr>
            <w:tcW w:w="2391" w:type="dxa"/>
            <w:tcBorders>
              <w:top w:val="outset" w:sz="6" w:space="0" w:color="auto"/>
              <w:left w:val="outset" w:sz="6" w:space="0" w:color="auto"/>
              <w:bottom w:val="outset" w:sz="6" w:space="0" w:color="auto"/>
              <w:right w:val="outset" w:sz="6" w:space="0" w:color="auto"/>
            </w:tcBorders>
          </w:tcPr>
          <w:p w:rsidR="00C31E36" w:rsidRPr="00194E58" w:rsidRDefault="00C31E36" w:rsidP="00C31E36">
            <w:pPr>
              <w:spacing w:after="120"/>
              <w:ind w:left="57"/>
              <w:rPr>
                <w:spacing w:val="-3"/>
                <w:sz w:val="22"/>
                <w:szCs w:val="22"/>
              </w:rPr>
            </w:pPr>
            <w:r w:rsidRPr="00194E58">
              <w:rPr>
                <w:spacing w:val="-3"/>
                <w:sz w:val="22"/>
                <w:szCs w:val="22"/>
              </w:rPr>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C31E36" w:rsidRPr="00194E58" w:rsidRDefault="00C31E36" w:rsidP="00C31E36">
            <w:pPr>
              <w:spacing w:after="120"/>
              <w:ind w:left="57"/>
              <w:rPr>
                <w:spacing w:val="-3"/>
                <w:sz w:val="22"/>
                <w:szCs w:val="22"/>
              </w:rPr>
            </w:pPr>
            <w:r w:rsidRPr="00194E58">
              <w:rPr>
                <w:spacing w:val="-3"/>
                <w:sz w:val="22"/>
                <w:szCs w:val="22"/>
              </w:rPr>
              <w:t>Projekta vienība, kas pārņem vai ievieš katru šīs tabulas A ailē minēto ES tiesību akta vienību, vai tiesību akts,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rsidR="00C31E36" w:rsidRPr="00194E58" w:rsidRDefault="00C31E36" w:rsidP="00C31E36">
            <w:pPr>
              <w:spacing w:after="120"/>
              <w:ind w:left="57"/>
              <w:rPr>
                <w:spacing w:val="-3"/>
                <w:sz w:val="22"/>
                <w:szCs w:val="22"/>
              </w:rPr>
            </w:pPr>
            <w:r w:rsidRPr="00194E58">
              <w:rPr>
                <w:spacing w:val="-3"/>
                <w:sz w:val="22"/>
                <w:szCs w:val="22"/>
              </w:rPr>
              <w:t>Informācija par to, vai šīs tabulas A ailē minētās ES tiesību akta vienības tiek pārņemtas vai ieviestas pilnībā vai daļēji.</w:t>
            </w:r>
          </w:p>
          <w:p w:rsidR="00C31E36" w:rsidRPr="00194E58" w:rsidRDefault="00C31E36" w:rsidP="00C31E36">
            <w:pPr>
              <w:spacing w:after="120"/>
              <w:ind w:left="57"/>
              <w:rPr>
                <w:spacing w:val="-3"/>
                <w:sz w:val="22"/>
                <w:szCs w:val="22"/>
              </w:rPr>
            </w:pPr>
            <w:r w:rsidRPr="00194E58">
              <w:rPr>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C31E36" w:rsidRPr="00194E58" w:rsidRDefault="00C31E36" w:rsidP="00C31E36">
            <w:pPr>
              <w:spacing w:after="120"/>
              <w:ind w:left="57"/>
              <w:rPr>
                <w:spacing w:val="-3"/>
                <w:sz w:val="22"/>
                <w:szCs w:val="22"/>
              </w:rPr>
            </w:pPr>
            <w:r w:rsidRPr="00194E58">
              <w:rPr>
                <w:spacing w:val="-3"/>
                <w:sz w:val="22"/>
                <w:szCs w:val="22"/>
              </w:rPr>
              <w:t>Norāda institūciju, kas ir atbildīga par šo saistību izpildi pilnībā</w:t>
            </w:r>
          </w:p>
        </w:tc>
        <w:tc>
          <w:tcPr>
            <w:tcW w:w="3244" w:type="dxa"/>
            <w:tcBorders>
              <w:top w:val="outset" w:sz="6" w:space="0" w:color="auto"/>
              <w:left w:val="outset" w:sz="6" w:space="0" w:color="auto"/>
              <w:bottom w:val="outset" w:sz="6" w:space="0" w:color="auto"/>
              <w:right w:val="outset" w:sz="6" w:space="0" w:color="auto"/>
            </w:tcBorders>
          </w:tcPr>
          <w:p w:rsidR="00C31E36" w:rsidRPr="00194E58" w:rsidRDefault="00C31E36" w:rsidP="00C31E36">
            <w:pPr>
              <w:spacing w:after="120"/>
              <w:ind w:left="57"/>
              <w:rPr>
                <w:sz w:val="22"/>
                <w:szCs w:val="22"/>
              </w:rPr>
            </w:pPr>
            <w:r w:rsidRPr="00194E58">
              <w:rPr>
                <w:spacing w:val="-3"/>
                <w:sz w:val="22"/>
                <w:szCs w:val="22"/>
              </w:rPr>
              <w:t xml:space="preserve">Informācija par to, vai šīs </w:t>
            </w:r>
            <w:r w:rsidRPr="00194E58">
              <w:rPr>
                <w:sz w:val="22"/>
                <w:szCs w:val="22"/>
              </w:rPr>
              <w:t>tabulas B ailē minētās projekta vienības paredz stingrākas prasības nekā šīs tabulas A ailē minētās ES tiesību akta vienības.</w:t>
            </w:r>
          </w:p>
          <w:p w:rsidR="00C31E36" w:rsidRPr="00194E58" w:rsidRDefault="00C31E36" w:rsidP="00C31E36">
            <w:pPr>
              <w:spacing w:after="120"/>
              <w:ind w:left="57"/>
              <w:rPr>
                <w:sz w:val="22"/>
                <w:szCs w:val="22"/>
              </w:rPr>
            </w:pPr>
            <w:r w:rsidRPr="00194E58">
              <w:rPr>
                <w:sz w:val="22"/>
                <w:szCs w:val="22"/>
              </w:rPr>
              <w:t>Ja projekts satur stingrākas prasības nekā attiecīgais ES tiesību akts, norāda pamatojumu un samērīgumu.</w:t>
            </w:r>
          </w:p>
          <w:p w:rsidR="00C31E36" w:rsidRPr="00194E58" w:rsidRDefault="00C31E36" w:rsidP="00C31E36">
            <w:pPr>
              <w:ind w:left="57"/>
              <w:rPr>
                <w:spacing w:val="-3"/>
                <w:sz w:val="22"/>
                <w:szCs w:val="22"/>
              </w:rPr>
            </w:pPr>
            <w:r w:rsidRPr="00194E58">
              <w:rPr>
                <w:sz w:val="22"/>
                <w:szCs w:val="22"/>
              </w:rPr>
              <w:t>Norāda iespējamās alternatīvas (t.sk. alternatīvas, kas neparedz tiesiskā regulējuma izstrādi) – kādos gadījumos būtu iespējams izvairīties no stingrāku prasību</w:t>
            </w:r>
            <w:r w:rsidRPr="00194E58">
              <w:rPr>
                <w:spacing w:val="-3"/>
                <w:sz w:val="22"/>
                <w:szCs w:val="22"/>
              </w:rPr>
              <w:t xml:space="preserve"> noteikšanas, nekā paredzēts attiecīgajos ES tiesību aktos</w:t>
            </w:r>
          </w:p>
        </w:tc>
      </w:tr>
      <w:tr w:rsidR="00C31E36" w:rsidRPr="00BA3C4F" w:rsidTr="007D669B">
        <w:trPr>
          <w:cantSplit/>
          <w:trHeight w:val="666"/>
        </w:trPr>
        <w:tc>
          <w:tcPr>
            <w:tcW w:w="2391" w:type="dxa"/>
            <w:tcBorders>
              <w:top w:val="outset" w:sz="6" w:space="0" w:color="auto"/>
              <w:left w:val="outset" w:sz="6" w:space="0" w:color="auto"/>
              <w:bottom w:val="outset" w:sz="6" w:space="0" w:color="auto"/>
              <w:right w:val="outset" w:sz="6" w:space="0" w:color="auto"/>
            </w:tcBorders>
          </w:tcPr>
          <w:p w:rsidR="00C31E36" w:rsidRPr="00D71109" w:rsidRDefault="00C31E36" w:rsidP="00BC01E7">
            <w:pPr>
              <w:spacing w:after="120"/>
              <w:ind w:left="57"/>
              <w:rPr>
                <w:spacing w:val="-2"/>
              </w:rPr>
            </w:pPr>
          </w:p>
        </w:tc>
        <w:tc>
          <w:tcPr>
            <w:tcW w:w="1852" w:type="dxa"/>
            <w:tcBorders>
              <w:top w:val="outset" w:sz="6" w:space="0" w:color="auto"/>
              <w:left w:val="outset" w:sz="6" w:space="0" w:color="auto"/>
              <w:bottom w:val="outset" w:sz="6" w:space="0" w:color="auto"/>
              <w:right w:val="outset" w:sz="6" w:space="0" w:color="auto"/>
            </w:tcBorders>
          </w:tcPr>
          <w:p w:rsidR="00C31E36" w:rsidRPr="00D71109" w:rsidRDefault="00C31E36" w:rsidP="00C31E36">
            <w:pPr>
              <w:spacing w:after="120"/>
              <w:ind w:left="57"/>
              <w:rPr>
                <w:spacing w:val="-2"/>
              </w:rPr>
            </w:pPr>
          </w:p>
        </w:tc>
        <w:tc>
          <w:tcPr>
            <w:tcW w:w="2719" w:type="dxa"/>
            <w:tcBorders>
              <w:top w:val="outset" w:sz="6" w:space="0" w:color="auto"/>
              <w:left w:val="outset" w:sz="6" w:space="0" w:color="auto"/>
              <w:bottom w:val="outset" w:sz="6" w:space="0" w:color="auto"/>
              <w:right w:val="outset" w:sz="6" w:space="0" w:color="auto"/>
            </w:tcBorders>
          </w:tcPr>
          <w:p w:rsidR="00C31E36" w:rsidRPr="00D71109" w:rsidRDefault="00C31E36" w:rsidP="00E26DD6">
            <w:pPr>
              <w:ind w:left="57"/>
              <w:rPr>
                <w:spacing w:val="-2"/>
              </w:rPr>
            </w:pPr>
          </w:p>
        </w:tc>
        <w:tc>
          <w:tcPr>
            <w:tcW w:w="3244" w:type="dxa"/>
            <w:tcBorders>
              <w:top w:val="outset" w:sz="6" w:space="0" w:color="auto"/>
              <w:left w:val="outset" w:sz="6" w:space="0" w:color="auto"/>
              <w:bottom w:val="outset" w:sz="6" w:space="0" w:color="auto"/>
              <w:right w:val="outset" w:sz="6" w:space="0" w:color="auto"/>
            </w:tcBorders>
          </w:tcPr>
          <w:p w:rsidR="00C31E36" w:rsidRPr="00D71109" w:rsidRDefault="00C31E36" w:rsidP="00C31E36">
            <w:pPr>
              <w:ind w:left="57"/>
              <w:rPr>
                <w:spacing w:val="-2"/>
              </w:rPr>
            </w:pPr>
          </w:p>
        </w:tc>
      </w:tr>
      <w:tr w:rsidR="00C31E36" w:rsidRPr="00BA3C4F" w:rsidTr="00C31E36">
        <w:trPr>
          <w:cantSplit/>
          <w:trHeight w:val="281"/>
        </w:trPr>
        <w:tc>
          <w:tcPr>
            <w:tcW w:w="2391" w:type="dxa"/>
            <w:tcBorders>
              <w:top w:val="outset" w:sz="6" w:space="0" w:color="auto"/>
              <w:left w:val="outset" w:sz="6" w:space="0" w:color="auto"/>
              <w:bottom w:val="outset" w:sz="6" w:space="0" w:color="auto"/>
              <w:right w:val="outset" w:sz="6" w:space="0" w:color="auto"/>
            </w:tcBorders>
          </w:tcPr>
          <w:p w:rsidR="00C31E36" w:rsidRPr="007D669B" w:rsidRDefault="00C31E36" w:rsidP="00C31E36">
            <w:pPr>
              <w:ind w:left="57"/>
              <w:rPr>
                <w:spacing w:val="-3"/>
                <w:sz w:val="22"/>
                <w:szCs w:val="22"/>
              </w:rPr>
            </w:pPr>
            <w:r w:rsidRPr="007D669B">
              <w:rPr>
                <w:spacing w:val="-3"/>
                <w:sz w:val="22"/>
                <w:szCs w:val="22"/>
              </w:rPr>
              <w:t>Kā ir izmantota ES tiesību aktā paredzētā rīcības brīvība dalībvalstij pārņemt vai ieviest noteiktas ES tiesību akta normas?</w:t>
            </w:r>
          </w:p>
          <w:p w:rsidR="00C31E36" w:rsidRPr="007D669B" w:rsidRDefault="00C31E36" w:rsidP="00C31E36">
            <w:pPr>
              <w:ind w:left="57"/>
              <w:rPr>
                <w:spacing w:val="-3"/>
                <w:sz w:val="22"/>
                <w:szCs w:val="22"/>
              </w:rPr>
            </w:pPr>
            <w:r w:rsidRPr="007D669B">
              <w:rPr>
                <w:spacing w:val="-3"/>
                <w:sz w:val="22"/>
                <w:szCs w:val="22"/>
              </w:rPr>
              <w:t>Kādēļ?</w:t>
            </w:r>
          </w:p>
        </w:tc>
        <w:tc>
          <w:tcPr>
            <w:tcW w:w="7815" w:type="dxa"/>
            <w:gridSpan w:val="3"/>
            <w:tcBorders>
              <w:top w:val="outset" w:sz="6" w:space="0" w:color="auto"/>
              <w:left w:val="outset" w:sz="6" w:space="0" w:color="auto"/>
              <w:bottom w:val="outset" w:sz="6" w:space="0" w:color="auto"/>
              <w:right w:val="outset" w:sz="6" w:space="0" w:color="auto"/>
            </w:tcBorders>
          </w:tcPr>
          <w:p w:rsidR="00C31E36" w:rsidRPr="007D669B" w:rsidRDefault="007D669B" w:rsidP="007D669B">
            <w:pPr>
              <w:ind w:left="57" w:firstLine="218"/>
              <w:rPr>
                <w:sz w:val="22"/>
                <w:szCs w:val="22"/>
              </w:rPr>
            </w:pPr>
            <w:r>
              <w:rPr>
                <w:sz w:val="22"/>
                <w:szCs w:val="22"/>
              </w:rPr>
              <w:t>Nav attiecināms</w:t>
            </w:r>
          </w:p>
        </w:tc>
      </w:tr>
      <w:tr w:rsidR="00C31E36" w:rsidRPr="00BA3C4F" w:rsidTr="00C31E36">
        <w:trPr>
          <w:cantSplit/>
          <w:trHeight w:val="913"/>
        </w:trPr>
        <w:tc>
          <w:tcPr>
            <w:tcW w:w="2391" w:type="dxa"/>
            <w:tcBorders>
              <w:top w:val="outset" w:sz="6" w:space="0" w:color="auto"/>
              <w:left w:val="outset" w:sz="6" w:space="0" w:color="auto"/>
              <w:bottom w:val="outset" w:sz="6" w:space="0" w:color="auto"/>
              <w:right w:val="outset" w:sz="6" w:space="0" w:color="auto"/>
            </w:tcBorders>
          </w:tcPr>
          <w:p w:rsidR="00C31E36" w:rsidRPr="007D669B" w:rsidRDefault="00C31E36" w:rsidP="00C31E36">
            <w:pPr>
              <w:ind w:left="57"/>
              <w:rPr>
                <w:spacing w:val="-3"/>
                <w:sz w:val="22"/>
                <w:szCs w:val="22"/>
              </w:rPr>
            </w:pPr>
            <w:r w:rsidRPr="007D669B">
              <w:rPr>
                <w:spacing w:val="-4"/>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815" w:type="dxa"/>
            <w:gridSpan w:val="3"/>
            <w:tcBorders>
              <w:top w:val="outset" w:sz="6" w:space="0" w:color="auto"/>
              <w:left w:val="outset" w:sz="6" w:space="0" w:color="auto"/>
              <w:bottom w:val="outset" w:sz="6" w:space="0" w:color="auto"/>
              <w:right w:val="outset" w:sz="6" w:space="0" w:color="auto"/>
            </w:tcBorders>
          </w:tcPr>
          <w:p w:rsidR="00C31E36" w:rsidRPr="007D669B" w:rsidRDefault="007D669B" w:rsidP="007D669B">
            <w:pPr>
              <w:ind w:left="57" w:firstLine="218"/>
              <w:rPr>
                <w:sz w:val="22"/>
                <w:szCs w:val="22"/>
              </w:rPr>
            </w:pPr>
            <w:r>
              <w:rPr>
                <w:sz w:val="22"/>
                <w:szCs w:val="22"/>
              </w:rPr>
              <w:t>Nav attiecināms</w:t>
            </w:r>
          </w:p>
        </w:tc>
      </w:tr>
      <w:tr w:rsidR="00C31E36" w:rsidRPr="00BA3C4F" w:rsidTr="00C31E36">
        <w:trPr>
          <w:cantSplit/>
          <w:trHeight w:val="579"/>
        </w:trPr>
        <w:tc>
          <w:tcPr>
            <w:tcW w:w="2391" w:type="dxa"/>
            <w:tcBorders>
              <w:top w:val="outset" w:sz="6" w:space="0" w:color="auto"/>
              <w:left w:val="outset" w:sz="6" w:space="0" w:color="auto"/>
              <w:bottom w:val="outset" w:sz="6" w:space="0" w:color="auto"/>
              <w:right w:val="outset" w:sz="6" w:space="0" w:color="auto"/>
            </w:tcBorders>
          </w:tcPr>
          <w:p w:rsidR="00C31E36" w:rsidRPr="007D669B" w:rsidRDefault="00C31E36" w:rsidP="00C31E36">
            <w:pPr>
              <w:ind w:left="57"/>
              <w:rPr>
                <w:sz w:val="22"/>
                <w:szCs w:val="22"/>
              </w:rPr>
            </w:pPr>
            <w:r w:rsidRPr="007D669B">
              <w:rPr>
                <w:sz w:val="22"/>
                <w:szCs w:val="22"/>
              </w:rPr>
              <w:t>Cita informācija</w:t>
            </w:r>
          </w:p>
        </w:tc>
        <w:tc>
          <w:tcPr>
            <w:tcW w:w="7815" w:type="dxa"/>
            <w:gridSpan w:val="3"/>
            <w:tcBorders>
              <w:top w:val="outset" w:sz="6" w:space="0" w:color="auto"/>
              <w:left w:val="outset" w:sz="6" w:space="0" w:color="auto"/>
              <w:bottom w:val="outset" w:sz="6" w:space="0" w:color="auto"/>
              <w:right w:val="outset" w:sz="6" w:space="0" w:color="auto"/>
            </w:tcBorders>
          </w:tcPr>
          <w:p w:rsidR="00C31E36" w:rsidRPr="007D669B" w:rsidRDefault="001D51E9" w:rsidP="007D669B">
            <w:pPr>
              <w:ind w:left="57" w:firstLine="218"/>
              <w:rPr>
                <w:sz w:val="22"/>
                <w:szCs w:val="22"/>
              </w:rPr>
            </w:pPr>
            <w:r w:rsidRPr="007D669B">
              <w:rPr>
                <w:sz w:val="22"/>
                <w:szCs w:val="22"/>
              </w:rPr>
              <w:t>Nav</w:t>
            </w:r>
          </w:p>
        </w:tc>
      </w:tr>
    </w:tbl>
    <w:p w:rsidR="00C31E36" w:rsidRPr="00AF544C" w:rsidRDefault="00C31E36" w:rsidP="00C31E36"/>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612"/>
        <w:gridCol w:w="3102"/>
        <w:gridCol w:w="4492"/>
      </w:tblGrid>
      <w:tr w:rsidR="00C31E36" w:rsidRPr="00194421" w:rsidTr="00C31E36">
        <w:trPr>
          <w:trHeight w:val="20"/>
        </w:trPr>
        <w:tc>
          <w:tcPr>
            <w:tcW w:w="10206" w:type="dxa"/>
            <w:gridSpan w:val="3"/>
            <w:tcBorders>
              <w:top w:val="outset" w:sz="6" w:space="0" w:color="auto"/>
              <w:left w:val="outset" w:sz="6" w:space="0" w:color="auto"/>
              <w:bottom w:val="outset" w:sz="6" w:space="0" w:color="auto"/>
              <w:right w:val="outset" w:sz="6" w:space="0" w:color="auto"/>
            </w:tcBorders>
            <w:vAlign w:val="center"/>
          </w:tcPr>
          <w:p w:rsidR="00C31E36" w:rsidRPr="00194421" w:rsidRDefault="00C31E36" w:rsidP="00C31E36">
            <w:pPr>
              <w:ind w:left="57"/>
              <w:jc w:val="center"/>
              <w:rPr>
                <w:b/>
              </w:rPr>
            </w:pPr>
            <w:r w:rsidRPr="00194421">
              <w:rPr>
                <w:b/>
              </w:rPr>
              <w:t>2.tabula</w:t>
            </w:r>
          </w:p>
          <w:p w:rsidR="00C31E36" w:rsidRPr="00194421" w:rsidRDefault="00C31E36" w:rsidP="00C31E36">
            <w:pPr>
              <w:ind w:left="57"/>
              <w:jc w:val="center"/>
              <w:rPr>
                <w:b/>
              </w:rPr>
            </w:pPr>
            <w:r w:rsidRPr="00194421">
              <w:rPr>
                <w:b/>
              </w:rPr>
              <w:t>Ar tiesību akta projektu izpildītās vai uzņemtās saistības, kas izriet no starptautiskajiem tiesību aktiem vai starptautiskas institūcijas vai organizācijas dokumentiem</w:t>
            </w:r>
            <w:r>
              <w:rPr>
                <w:b/>
              </w:rPr>
              <w:t>.</w:t>
            </w:r>
          </w:p>
          <w:p w:rsidR="00C31E36" w:rsidRPr="00194421" w:rsidRDefault="00C31E36" w:rsidP="00C31E36">
            <w:pPr>
              <w:ind w:left="57"/>
              <w:jc w:val="center"/>
              <w:rPr>
                <w:b/>
              </w:rPr>
            </w:pPr>
            <w:r w:rsidRPr="00194421">
              <w:rPr>
                <w:b/>
              </w:rPr>
              <w:t>Pasākumi šo saistību izpildei</w:t>
            </w:r>
          </w:p>
        </w:tc>
      </w:tr>
      <w:tr w:rsidR="00C31E36" w:rsidRPr="00194421" w:rsidTr="00C31E36">
        <w:trPr>
          <w:trHeight w:val="20"/>
        </w:trPr>
        <w:tc>
          <w:tcPr>
            <w:tcW w:w="2612" w:type="dxa"/>
            <w:tcBorders>
              <w:top w:val="outset" w:sz="6" w:space="0" w:color="auto"/>
              <w:left w:val="outset" w:sz="6" w:space="0" w:color="auto"/>
              <w:bottom w:val="outset" w:sz="6" w:space="0" w:color="auto"/>
              <w:right w:val="outset" w:sz="6" w:space="0" w:color="auto"/>
            </w:tcBorders>
            <w:vAlign w:val="center"/>
          </w:tcPr>
          <w:p w:rsidR="00C31E36" w:rsidRPr="00C72731" w:rsidRDefault="00C31E36" w:rsidP="00C31E36">
            <w:pPr>
              <w:ind w:left="57"/>
            </w:pPr>
            <w:r w:rsidRPr="00C72731">
              <w:t>Attiecīgā starptautiskā tiesību akta vai starptautiskas institūcijas vai organizācijas dokumenta (turpmāk – starptautiskais dokuments) datums, numurs un nosaukums</w:t>
            </w:r>
          </w:p>
        </w:tc>
        <w:tc>
          <w:tcPr>
            <w:tcW w:w="7594" w:type="dxa"/>
            <w:gridSpan w:val="2"/>
            <w:tcBorders>
              <w:top w:val="outset" w:sz="6" w:space="0" w:color="auto"/>
              <w:left w:val="outset" w:sz="6" w:space="0" w:color="auto"/>
              <w:bottom w:val="outset" w:sz="6" w:space="0" w:color="auto"/>
              <w:right w:val="outset" w:sz="6" w:space="0" w:color="auto"/>
            </w:tcBorders>
          </w:tcPr>
          <w:p w:rsidR="00EB0428" w:rsidRPr="00194421" w:rsidRDefault="007D669B" w:rsidP="007D669B">
            <w:pPr>
              <w:autoSpaceDE w:val="0"/>
              <w:autoSpaceDN w:val="0"/>
              <w:adjustRightInd w:val="0"/>
              <w:spacing w:after="120"/>
              <w:ind w:firstLine="195"/>
              <w:jc w:val="both"/>
            </w:pPr>
            <w:r>
              <w:rPr>
                <w:sz w:val="22"/>
                <w:szCs w:val="22"/>
              </w:rPr>
              <w:t>Nav attiecināms</w:t>
            </w:r>
          </w:p>
        </w:tc>
      </w:tr>
      <w:tr w:rsidR="00C31E36" w:rsidRPr="00194421" w:rsidTr="00C31E36">
        <w:trPr>
          <w:trHeight w:val="20"/>
        </w:trPr>
        <w:tc>
          <w:tcPr>
            <w:tcW w:w="2612" w:type="dxa"/>
            <w:tcBorders>
              <w:top w:val="outset" w:sz="6" w:space="0" w:color="auto"/>
              <w:left w:val="outset" w:sz="6" w:space="0" w:color="auto"/>
              <w:bottom w:val="outset" w:sz="6" w:space="0" w:color="auto"/>
              <w:right w:val="outset" w:sz="6" w:space="0" w:color="auto"/>
            </w:tcBorders>
            <w:vAlign w:val="center"/>
          </w:tcPr>
          <w:p w:rsidR="00C31E36" w:rsidRPr="00194421" w:rsidRDefault="00C31E36" w:rsidP="00C31E36">
            <w:pPr>
              <w:ind w:left="57"/>
              <w:jc w:val="center"/>
            </w:pPr>
            <w:r w:rsidRPr="00194421">
              <w:t>A</w:t>
            </w:r>
          </w:p>
        </w:tc>
        <w:tc>
          <w:tcPr>
            <w:tcW w:w="3102" w:type="dxa"/>
            <w:tcBorders>
              <w:top w:val="outset" w:sz="6" w:space="0" w:color="auto"/>
              <w:left w:val="outset" w:sz="6" w:space="0" w:color="auto"/>
              <w:bottom w:val="outset" w:sz="6" w:space="0" w:color="auto"/>
              <w:right w:val="outset" w:sz="6" w:space="0" w:color="auto"/>
            </w:tcBorders>
            <w:vAlign w:val="center"/>
          </w:tcPr>
          <w:p w:rsidR="00C31E36" w:rsidRPr="00194421" w:rsidRDefault="00C31E36" w:rsidP="00C31E36">
            <w:pPr>
              <w:ind w:left="57"/>
              <w:jc w:val="center"/>
            </w:pPr>
            <w:r w:rsidRPr="00194421">
              <w:t>B</w:t>
            </w:r>
          </w:p>
        </w:tc>
        <w:tc>
          <w:tcPr>
            <w:tcW w:w="4492" w:type="dxa"/>
            <w:tcBorders>
              <w:top w:val="outset" w:sz="6" w:space="0" w:color="auto"/>
              <w:left w:val="outset" w:sz="6" w:space="0" w:color="auto"/>
              <w:bottom w:val="outset" w:sz="6" w:space="0" w:color="auto"/>
              <w:right w:val="outset" w:sz="6" w:space="0" w:color="auto"/>
            </w:tcBorders>
            <w:vAlign w:val="center"/>
          </w:tcPr>
          <w:p w:rsidR="00C31E36" w:rsidRPr="00194421" w:rsidRDefault="00C31E36" w:rsidP="00C31E36">
            <w:pPr>
              <w:ind w:left="57"/>
              <w:jc w:val="center"/>
            </w:pPr>
            <w:r w:rsidRPr="00194421">
              <w:t>C</w:t>
            </w:r>
          </w:p>
        </w:tc>
      </w:tr>
      <w:tr w:rsidR="00C31E36" w:rsidRPr="00194421" w:rsidTr="00C31E36">
        <w:trPr>
          <w:trHeight w:val="20"/>
        </w:trPr>
        <w:tc>
          <w:tcPr>
            <w:tcW w:w="2612" w:type="dxa"/>
            <w:tcBorders>
              <w:top w:val="outset" w:sz="6" w:space="0" w:color="auto"/>
              <w:left w:val="outset" w:sz="6" w:space="0" w:color="auto"/>
              <w:bottom w:val="outset" w:sz="6" w:space="0" w:color="auto"/>
              <w:right w:val="outset" w:sz="6" w:space="0" w:color="auto"/>
            </w:tcBorders>
          </w:tcPr>
          <w:p w:rsidR="00C31E36" w:rsidRPr="00194421" w:rsidRDefault="00C31E36" w:rsidP="00C31E36">
            <w:pPr>
              <w:spacing w:after="120"/>
              <w:ind w:left="57"/>
            </w:pPr>
            <w:r w:rsidRPr="00194421">
              <w:t>Starptautiskās saistības (pēc būtības), kas izriet no norādītā starptautiskā dokumenta.</w:t>
            </w:r>
          </w:p>
          <w:p w:rsidR="00C31E36" w:rsidRPr="00194421" w:rsidRDefault="00C31E36" w:rsidP="00C31E36">
            <w:pPr>
              <w:ind w:left="57"/>
            </w:pPr>
            <w:r w:rsidRPr="00194421">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tcPr>
          <w:p w:rsidR="00C31E36" w:rsidRPr="00194421" w:rsidRDefault="00C31E36" w:rsidP="00C31E36">
            <w:pPr>
              <w:ind w:left="57"/>
            </w:pPr>
            <w:r w:rsidRPr="00194421">
              <w:t>Ja pasākumi vai uzdevumi, ar ko tiks izpildītas starptautiskās saistības, tiek noteikti projektā, no</w:t>
            </w:r>
            <w:r>
              <w:t>rāda attiecīgo projekta vienību v</w:t>
            </w:r>
            <w:r w:rsidRPr="00194421">
              <w:t>ai norāda dokumentu, kurā sniegts izvērsts skaidrojums, kādā veidā tiks nodrošināta starptautisko saistību izpilde</w:t>
            </w:r>
          </w:p>
        </w:tc>
        <w:tc>
          <w:tcPr>
            <w:tcW w:w="4492" w:type="dxa"/>
            <w:tcBorders>
              <w:top w:val="outset" w:sz="6" w:space="0" w:color="auto"/>
              <w:left w:val="outset" w:sz="6" w:space="0" w:color="auto"/>
              <w:bottom w:val="outset" w:sz="6" w:space="0" w:color="auto"/>
              <w:right w:val="outset" w:sz="6" w:space="0" w:color="auto"/>
            </w:tcBorders>
          </w:tcPr>
          <w:p w:rsidR="00C31E36" w:rsidRPr="00194421" w:rsidRDefault="00C31E36" w:rsidP="00C31E36">
            <w:pPr>
              <w:spacing w:after="120"/>
              <w:ind w:left="57"/>
            </w:pPr>
            <w:r w:rsidRPr="00194421">
              <w:t>Informācija par to, vai starptautiskās saistības, kas minētas šīs tabulas A ailē, tiek izpildītas pilnībā vai daļēji.</w:t>
            </w:r>
          </w:p>
          <w:p w:rsidR="00C31E36" w:rsidRPr="00194421" w:rsidRDefault="00C31E36" w:rsidP="00C31E36">
            <w:pPr>
              <w:spacing w:after="120"/>
              <w:ind w:left="57"/>
            </w:pPr>
            <w:r w:rsidRPr="00194421">
              <w:t>Ja attiecīgās starptautiskās saistības tiek izpildītas daļēji, sniedz attiecīgu skaidrojumu, kā arī precīzi norāda, kad un kādā veidā starptautiskās saistības tiks izpildītas pilnībā.</w:t>
            </w:r>
          </w:p>
          <w:p w:rsidR="00C31E36" w:rsidRPr="00194421" w:rsidRDefault="00C31E36" w:rsidP="00C31E36">
            <w:pPr>
              <w:ind w:left="57" w:right="57"/>
            </w:pPr>
            <w:r w:rsidRPr="00194421">
              <w:t>Norāda institūciju, kas ir atbildīga par šo saistību izpildi pilnībā</w:t>
            </w:r>
          </w:p>
        </w:tc>
      </w:tr>
      <w:tr w:rsidR="00C31E36" w:rsidRPr="00194421" w:rsidTr="00C31E36">
        <w:trPr>
          <w:trHeight w:val="20"/>
        </w:trPr>
        <w:tc>
          <w:tcPr>
            <w:tcW w:w="2612" w:type="dxa"/>
            <w:tcBorders>
              <w:top w:val="outset" w:sz="6" w:space="0" w:color="auto"/>
              <w:left w:val="outset" w:sz="6" w:space="0" w:color="auto"/>
              <w:bottom w:val="outset" w:sz="6" w:space="0" w:color="auto"/>
              <w:right w:val="outset" w:sz="6" w:space="0" w:color="auto"/>
            </w:tcBorders>
          </w:tcPr>
          <w:p w:rsidR="00EB0428" w:rsidRPr="00194421" w:rsidRDefault="00EB0428" w:rsidP="00086EE1">
            <w:pPr>
              <w:spacing w:after="60"/>
              <w:ind w:left="57"/>
            </w:pPr>
          </w:p>
        </w:tc>
        <w:tc>
          <w:tcPr>
            <w:tcW w:w="3102" w:type="dxa"/>
            <w:tcBorders>
              <w:top w:val="outset" w:sz="6" w:space="0" w:color="auto"/>
              <w:left w:val="outset" w:sz="6" w:space="0" w:color="auto"/>
              <w:bottom w:val="outset" w:sz="6" w:space="0" w:color="auto"/>
              <w:right w:val="outset" w:sz="6" w:space="0" w:color="auto"/>
            </w:tcBorders>
          </w:tcPr>
          <w:p w:rsidR="00C31E36" w:rsidRPr="00194421" w:rsidRDefault="00C31E36" w:rsidP="00C31E36">
            <w:pPr>
              <w:ind w:left="57"/>
            </w:pPr>
          </w:p>
        </w:tc>
        <w:tc>
          <w:tcPr>
            <w:tcW w:w="4492" w:type="dxa"/>
            <w:tcBorders>
              <w:top w:val="outset" w:sz="6" w:space="0" w:color="auto"/>
              <w:left w:val="outset" w:sz="6" w:space="0" w:color="auto"/>
              <w:bottom w:val="outset" w:sz="6" w:space="0" w:color="auto"/>
              <w:right w:val="outset" w:sz="6" w:space="0" w:color="auto"/>
            </w:tcBorders>
          </w:tcPr>
          <w:p w:rsidR="00EB0428" w:rsidRPr="00194421" w:rsidRDefault="00EB0428" w:rsidP="00C31E36">
            <w:pPr>
              <w:ind w:left="57"/>
            </w:pPr>
          </w:p>
        </w:tc>
      </w:tr>
      <w:tr w:rsidR="00C31E36" w:rsidRPr="00194421" w:rsidTr="00C31E36">
        <w:trPr>
          <w:trHeight w:val="20"/>
        </w:trPr>
        <w:tc>
          <w:tcPr>
            <w:tcW w:w="2612" w:type="dxa"/>
            <w:tcBorders>
              <w:top w:val="outset" w:sz="6" w:space="0" w:color="auto"/>
              <w:left w:val="outset" w:sz="6" w:space="0" w:color="auto"/>
              <w:bottom w:val="outset" w:sz="6" w:space="0" w:color="auto"/>
              <w:right w:val="outset" w:sz="6" w:space="0" w:color="auto"/>
            </w:tcBorders>
          </w:tcPr>
          <w:p w:rsidR="00C31E36" w:rsidRPr="00194421" w:rsidRDefault="00C31E36" w:rsidP="00C31E36">
            <w:pPr>
              <w:ind w:left="57"/>
            </w:pPr>
            <w:r w:rsidRPr="00194421">
              <w:lastRenderedPageBreak/>
              <w:t>Vai starptautiskajā dokumentā paredzētās saistības nav pretrunā ar jau esošajām Latvijas Republikas starptautiskajām saistībām</w:t>
            </w:r>
          </w:p>
        </w:tc>
        <w:tc>
          <w:tcPr>
            <w:tcW w:w="7594" w:type="dxa"/>
            <w:gridSpan w:val="2"/>
            <w:tcBorders>
              <w:top w:val="outset" w:sz="6" w:space="0" w:color="auto"/>
              <w:left w:val="outset" w:sz="6" w:space="0" w:color="auto"/>
              <w:bottom w:val="outset" w:sz="6" w:space="0" w:color="auto"/>
              <w:right w:val="outset" w:sz="6" w:space="0" w:color="auto"/>
            </w:tcBorders>
          </w:tcPr>
          <w:p w:rsidR="00C31E36" w:rsidRPr="00194421" w:rsidRDefault="007D669B" w:rsidP="007D669B">
            <w:pPr>
              <w:ind w:left="57" w:firstLine="138"/>
            </w:pPr>
            <w:r>
              <w:rPr>
                <w:sz w:val="22"/>
                <w:szCs w:val="22"/>
              </w:rPr>
              <w:t>Nav attiecināms</w:t>
            </w:r>
          </w:p>
        </w:tc>
      </w:tr>
      <w:tr w:rsidR="00C31E36" w:rsidRPr="00194421" w:rsidTr="00C31E36">
        <w:trPr>
          <w:trHeight w:val="20"/>
        </w:trPr>
        <w:tc>
          <w:tcPr>
            <w:tcW w:w="2612" w:type="dxa"/>
            <w:tcBorders>
              <w:top w:val="outset" w:sz="6" w:space="0" w:color="auto"/>
              <w:left w:val="outset" w:sz="6" w:space="0" w:color="auto"/>
              <w:bottom w:val="outset" w:sz="6" w:space="0" w:color="auto"/>
              <w:right w:val="outset" w:sz="6" w:space="0" w:color="auto"/>
            </w:tcBorders>
          </w:tcPr>
          <w:p w:rsidR="00C31E36" w:rsidRPr="00194421" w:rsidRDefault="00C31E36" w:rsidP="00C31E36">
            <w:pPr>
              <w:ind w:left="57"/>
            </w:pPr>
            <w:r w:rsidRPr="00194421">
              <w:t>Cita informācija</w:t>
            </w:r>
          </w:p>
        </w:tc>
        <w:tc>
          <w:tcPr>
            <w:tcW w:w="7594" w:type="dxa"/>
            <w:gridSpan w:val="2"/>
            <w:tcBorders>
              <w:top w:val="outset" w:sz="6" w:space="0" w:color="auto"/>
              <w:left w:val="outset" w:sz="6" w:space="0" w:color="auto"/>
              <w:bottom w:val="outset" w:sz="6" w:space="0" w:color="auto"/>
              <w:right w:val="outset" w:sz="6" w:space="0" w:color="auto"/>
            </w:tcBorders>
          </w:tcPr>
          <w:p w:rsidR="00C31E36" w:rsidRPr="00194421" w:rsidRDefault="001D51E9" w:rsidP="00C31E36">
            <w:pPr>
              <w:ind w:left="57"/>
            </w:pPr>
            <w:r>
              <w:t>Nav</w:t>
            </w:r>
          </w:p>
        </w:tc>
      </w:tr>
    </w:tbl>
    <w:p w:rsidR="00E46559" w:rsidRPr="007C0F2C" w:rsidRDefault="00E46559" w:rsidP="006C4607">
      <w:pPr>
        <w:pStyle w:val="naisf"/>
        <w:spacing w:before="0" w:after="0"/>
        <w:jc w:val="center"/>
        <w:rPr>
          <w:b/>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3261"/>
        <w:gridCol w:w="6544"/>
      </w:tblGrid>
      <w:tr w:rsidR="00277929" w:rsidRPr="007C0F2C" w:rsidTr="00FD2A8A">
        <w:trPr>
          <w:jc w:val="center"/>
        </w:trPr>
        <w:tc>
          <w:tcPr>
            <w:tcW w:w="10256" w:type="dxa"/>
            <w:gridSpan w:val="3"/>
          </w:tcPr>
          <w:p w:rsidR="00277929" w:rsidRPr="007C0F2C" w:rsidRDefault="00277929" w:rsidP="007D099D">
            <w:pPr>
              <w:pStyle w:val="naisnod"/>
              <w:spacing w:before="0" w:after="0"/>
              <w:ind w:left="57" w:right="57"/>
            </w:pPr>
            <w:r w:rsidRPr="007C0F2C">
              <w:t>VI</w:t>
            </w:r>
            <w:r w:rsidR="000941C5" w:rsidRPr="007C0F2C">
              <w:t>.</w:t>
            </w:r>
            <w:r w:rsidRPr="007C0F2C">
              <w:t xml:space="preserve"> Sabiedrības līdzdalība un šīs līdzdalības rezultāti</w:t>
            </w:r>
          </w:p>
        </w:tc>
      </w:tr>
      <w:tr w:rsidR="00183CC2" w:rsidRPr="007C0F2C" w:rsidTr="00CE0F16">
        <w:trPr>
          <w:trHeight w:val="553"/>
          <w:jc w:val="center"/>
        </w:trPr>
        <w:tc>
          <w:tcPr>
            <w:tcW w:w="451" w:type="dxa"/>
          </w:tcPr>
          <w:p w:rsidR="00183CC2" w:rsidRPr="007C0F2C" w:rsidRDefault="00183CC2" w:rsidP="007D099D">
            <w:pPr>
              <w:pStyle w:val="naiskr"/>
              <w:spacing w:before="0" w:after="0"/>
              <w:ind w:left="57" w:right="57"/>
              <w:rPr>
                <w:bCs/>
                <w:sz w:val="22"/>
                <w:szCs w:val="22"/>
              </w:rPr>
            </w:pPr>
            <w:r w:rsidRPr="007C0F2C">
              <w:rPr>
                <w:bCs/>
                <w:sz w:val="22"/>
                <w:szCs w:val="22"/>
              </w:rPr>
              <w:t>1.</w:t>
            </w:r>
          </w:p>
        </w:tc>
        <w:tc>
          <w:tcPr>
            <w:tcW w:w="3261" w:type="dxa"/>
          </w:tcPr>
          <w:p w:rsidR="00183CC2" w:rsidRPr="007C0F2C" w:rsidRDefault="00183CC2" w:rsidP="007D099D">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6544" w:type="dxa"/>
          </w:tcPr>
          <w:p w:rsidR="00FF3017" w:rsidRDefault="00FF3017" w:rsidP="00FF3017">
            <w:pPr>
              <w:pStyle w:val="FootnoteText"/>
              <w:spacing w:after="120"/>
              <w:ind w:firstLine="244"/>
              <w:jc w:val="both"/>
              <w:rPr>
                <w:sz w:val="24"/>
                <w:szCs w:val="24"/>
              </w:rPr>
            </w:pPr>
            <w:r>
              <w:rPr>
                <w:sz w:val="24"/>
                <w:szCs w:val="24"/>
              </w:rPr>
              <w:t>Likums „Par piesārņojumu” nenosaka obligātu sabiedrības līdzdalību iekārtu saraksta projekta publiskā apspriešanā.</w:t>
            </w:r>
          </w:p>
          <w:p w:rsidR="008466D2" w:rsidRPr="008466D2" w:rsidRDefault="008466D2" w:rsidP="00FF3017">
            <w:pPr>
              <w:pStyle w:val="naiskr"/>
              <w:spacing w:before="0" w:after="120"/>
              <w:ind w:left="57" w:right="57" w:firstLine="368"/>
              <w:jc w:val="both"/>
            </w:pPr>
          </w:p>
        </w:tc>
      </w:tr>
      <w:tr w:rsidR="00277929" w:rsidRPr="007C0F2C" w:rsidTr="00CE0F16">
        <w:trPr>
          <w:trHeight w:val="339"/>
          <w:jc w:val="center"/>
        </w:trPr>
        <w:tc>
          <w:tcPr>
            <w:tcW w:w="451" w:type="dxa"/>
          </w:tcPr>
          <w:p w:rsidR="00277929" w:rsidRPr="007C0F2C" w:rsidRDefault="00183CC2" w:rsidP="007D099D">
            <w:pPr>
              <w:pStyle w:val="naiskr"/>
              <w:spacing w:before="0" w:after="0"/>
              <w:ind w:left="57" w:right="57"/>
              <w:rPr>
                <w:bCs/>
                <w:sz w:val="22"/>
                <w:szCs w:val="22"/>
              </w:rPr>
            </w:pPr>
            <w:r w:rsidRPr="007C0F2C">
              <w:rPr>
                <w:bCs/>
                <w:sz w:val="22"/>
                <w:szCs w:val="22"/>
              </w:rPr>
              <w:t>2</w:t>
            </w:r>
            <w:r w:rsidR="00277929" w:rsidRPr="007C0F2C">
              <w:rPr>
                <w:bCs/>
                <w:sz w:val="22"/>
                <w:szCs w:val="22"/>
              </w:rPr>
              <w:t>.</w:t>
            </w:r>
          </w:p>
        </w:tc>
        <w:tc>
          <w:tcPr>
            <w:tcW w:w="3261" w:type="dxa"/>
          </w:tcPr>
          <w:p w:rsidR="00277929" w:rsidRPr="007C0F2C" w:rsidRDefault="00E179CD" w:rsidP="007D099D">
            <w:pPr>
              <w:pStyle w:val="naiskr"/>
              <w:spacing w:before="0" w:after="0"/>
              <w:ind w:left="57" w:right="57"/>
              <w:rPr>
                <w:sz w:val="22"/>
                <w:szCs w:val="22"/>
              </w:rPr>
            </w:pPr>
            <w:r w:rsidRPr="007C0F2C">
              <w:rPr>
                <w:sz w:val="22"/>
                <w:szCs w:val="22"/>
              </w:rPr>
              <w:t>S</w:t>
            </w:r>
            <w:r w:rsidR="00DB073B" w:rsidRPr="007C0F2C">
              <w:rPr>
                <w:sz w:val="22"/>
                <w:szCs w:val="22"/>
              </w:rPr>
              <w:t>abiedrības</w:t>
            </w:r>
            <w:r w:rsidR="00B73166" w:rsidRPr="007C0F2C">
              <w:rPr>
                <w:sz w:val="22"/>
                <w:szCs w:val="22"/>
              </w:rPr>
              <w:t xml:space="preserve"> </w:t>
            </w:r>
            <w:r w:rsidR="00DB073B" w:rsidRPr="007C0F2C">
              <w:rPr>
                <w:sz w:val="22"/>
                <w:szCs w:val="22"/>
              </w:rPr>
              <w:t>līdzdalība</w:t>
            </w:r>
            <w:r w:rsidR="00B73166" w:rsidRPr="007C0F2C">
              <w:rPr>
                <w:sz w:val="22"/>
                <w:szCs w:val="22"/>
              </w:rPr>
              <w:t xml:space="preserve"> </w:t>
            </w:r>
            <w:r w:rsidR="00AB2B1A" w:rsidRPr="007C0F2C">
              <w:rPr>
                <w:sz w:val="22"/>
                <w:szCs w:val="22"/>
              </w:rPr>
              <w:t>projekta izstrādē</w:t>
            </w:r>
            <w:r w:rsidR="00DB073B" w:rsidRPr="007C0F2C">
              <w:rPr>
                <w:sz w:val="22"/>
                <w:szCs w:val="22"/>
              </w:rPr>
              <w:t xml:space="preserve"> </w:t>
            </w:r>
          </w:p>
        </w:tc>
        <w:tc>
          <w:tcPr>
            <w:tcW w:w="6544" w:type="dxa"/>
          </w:tcPr>
          <w:p w:rsidR="00FF3017" w:rsidRDefault="00FF3017" w:rsidP="00FF3017">
            <w:pPr>
              <w:pStyle w:val="FootnoteText"/>
              <w:spacing w:after="120"/>
              <w:ind w:firstLine="244"/>
              <w:jc w:val="both"/>
              <w:rPr>
                <w:iCs/>
                <w:sz w:val="24"/>
                <w:szCs w:val="24"/>
              </w:rPr>
            </w:pPr>
            <w:r>
              <w:rPr>
                <w:iCs/>
                <w:sz w:val="24"/>
                <w:szCs w:val="24"/>
              </w:rPr>
              <w:t>2011.</w:t>
            </w:r>
            <w:r w:rsidRPr="007B10E9">
              <w:rPr>
                <w:iCs/>
                <w:sz w:val="24"/>
                <w:szCs w:val="24"/>
              </w:rPr>
              <w:t xml:space="preserve"> gada 30</w:t>
            </w:r>
            <w:r>
              <w:rPr>
                <w:iCs/>
                <w:sz w:val="24"/>
                <w:szCs w:val="24"/>
              </w:rPr>
              <w:t>.</w:t>
            </w:r>
            <w:r w:rsidRPr="007B10E9">
              <w:rPr>
                <w:iCs/>
                <w:sz w:val="24"/>
                <w:szCs w:val="24"/>
              </w:rPr>
              <w:t>jūnijā notika 2 semināri sabiedrības mērķgrupai – Latvijas emisijas kvotu tirdzniecības sistēmas operatoriem, pārējām iesaistītajām iestādēm – Valsts vides dienestu, reģionālajām vides pārvaldēm, verifikatoriem, kā arī visām ieinteresētajām personām. Semināri tika organizēti, lai informētu par datu iesniegšanas kārtību, datu ziņošanas informācijas iesniegšanas formātu aizpildīšanu, kā arī par sākotnējo emisijas kvotu aprēķina metodiku.</w:t>
            </w:r>
          </w:p>
          <w:p w:rsidR="008466D2" w:rsidRPr="008466D2" w:rsidRDefault="00FF3017" w:rsidP="00FF3017">
            <w:pPr>
              <w:pStyle w:val="naiskr"/>
              <w:spacing w:before="0" w:after="120"/>
              <w:ind w:right="57" w:firstLine="244"/>
              <w:jc w:val="both"/>
            </w:pPr>
            <w:r w:rsidRPr="007B10E9">
              <w:t xml:space="preserve">Latvijas emisijas kvotu tirdzniecības sistēmas operatori saskaņā ar likuma </w:t>
            </w:r>
            <w:r>
              <w:t>„P</w:t>
            </w:r>
            <w:r w:rsidRPr="007B10E9">
              <w:t>ar piesārņojumu</w:t>
            </w:r>
            <w:r>
              <w:t>”</w:t>
            </w:r>
            <w:r w:rsidRPr="007B10E9">
              <w:t xml:space="preserve"> 32.</w:t>
            </w:r>
            <w:r w:rsidRPr="007B10E9">
              <w:rPr>
                <w:vertAlign w:val="superscript"/>
              </w:rPr>
              <w:t>1</w:t>
            </w:r>
            <w:r w:rsidRPr="007B10E9">
              <w:t xml:space="preserve"> panta astoto daļu iesniedza datus bezmaksas piešķiramo emisijas kvotu apjoma aprēķinam, kā arī datu iesniegšanas veidlapā bezmaksas piešķiramo emisijas kvotu apjoms tiek aprēķināts automātiski</w:t>
            </w:r>
            <w:r>
              <w:t>,</w:t>
            </w:r>
            <w:r w:rsidRPr="007B10E9">
              <w:t xml:space="preserve"> ņemot vērā Lēmumā Nr. 2011/278/ES noteikto metodiku.</w:t>
            </w:r>
          </w:p>
        </w:tc>
      </w:tr>
      <w:tr w:rsidR="00277929" w:rsidRPr="007C0F2C" w:rsidTr="00CE0F16">
        <w:trPr>
          <w:trHeight w:val="375"/>
          <w:jc w:val="center"/>
        </w:trPr>
        <w:tc>
          <w:tcPr>
            <w:tcW w:w="451" w:type="dxa"/>
          </w:tcPr>
          <w:p w:rsidR="00277929" w:rsidRPr="007C0F2C" w:rsidRDefault="00183CC2" w:rsidP="007D099D">
            <w:pPr>
              <w:pStyle w:val="naiskr"/>
              <w:spacing w:before="0" w:after="0"/>
              <w:ind w:left="57" w:right="57"/>
              <w:rPr>
                <w:bCs/>
                <w:sz w:val="22"/>
                <w:szCs w:val="22"/>
              </w:rPr>
            </w:pPr>
            <w:r w:rsidRPr="007C0F2C">
              <w:rPr>
                <w:bCs/>
                <w:sz w:val="22"/>
                <w:szCs w:val="22"/>
              </w:rPr>
              <w:t>3</w:t>
            </w:r>
            <w:r w:rsidR="00277929" w:rsidRPr="007C0F2C">
              <w:rPr>
                <w:bCs/>
                <w:sz w:val="22"/>
                <w:szCs w:val="22"/>
              </w:rPr>
              <w:t>.</w:t>
            </w:r>
          </w:p>
        </w:tc>
        <w:tc>
          <w:tcPr>
            <w:tcW w:w="3261" w:type="dxa"/>
          </w:tcPr>
          <w:p w:rsidR="00784422" w:rsidRPr="007C0F2C" w:rsidRDefault="00DB78F0" w:rsidP="007D099D">
            <w:pPr>
              <w:pStyle w:val="naiskr"/>
              <w:spacing w:before="0" w:after="0"/>
              <w:ind w:left="57" w:right="57"/>
              <w:rPr>
                <w:sz w:val="22"/>
                <w:szCs w:val="22"/>
              </w:rPr>
            </w:pPr>
            <w:r w:rsidRPr="007C0F2C">
              <w:rPr>
                <w:sz w:val="22"/>
                <w:szCs w:val="22"/>
              </w:rPr>
              <w:t xml:space="preserve">Sabiedrības līdzdalības rezultāti </w:t>
            </w:r>
          </w:p>
        </w:tc>
        <w:tc>
          <w:tcPr>
            <w:tcW w:w="6544" w:type="dxa"/>
          </w:tcPr>
          <w:p w:rsidR="00277929" w:rsidRPr="008466D2" w:rsidRDefault="008466D2" w:rsidP="008466D2">
            <w:pPr>
              <w:pStyle w:val="naiskr"/>
              <w:spacing w:before="0" w:after="120"/>
              <w:ind w:left="57" w:right="57" w:firstLine="368"/>
              <w:jc w:val="both"/>
            </w:pPr>
            <w:r w:rsidRPr="008466D2">
              <w:rPr>
                <w:iCs/>
              </w:rPr>
              <w:t>Visi Latvijas emisijas kvotu tirdzniecības sistēmas operatori iesniedz likumā „Par piesārņojumu” prasīto informāciju bezmaksas piešķiramo emisijas kvotu aprēķinam likumā noteiktajos termiņos.</w:t>
            </w:r>
          </w:p>
        </w:tc>
      </w:tr>
      <w:tr w:rsidR="00DE0B83" w:rsidRPr="007C0F2C" w:rsidTr="00CE0F16">
        <w:trPr>
          <w:trHeight w:val="397"/>
          <w:jc w:val="center"/>
        </w:trPr>
        <w:tc>
          <w:tcPr>
            <w:tcW w:w="451" w:type="dxa"/>
          </w:tcPr>
          <w:p w:rsidR="00DE0B83" w:rsidRPr="007C0F2C" w:rsidRDefault="00183CC2" w:rsidP="007D099D">
            <w:pPr>
              <w:pStyle w:val="naiskr"/>
              <w:spacing w:before="0" w:after="0"/>
              <w:ind w:left="57" w:right="57"/>
              <w:rPr>
                <w:bCs/>
                <w:sz w:val="22"/>
                <w:szCs w:val="22"/>
              </w:rPr>
            </w:pPr>
            <w:r w:rsidRPr="007C0F2C">
              <w:rPr>
                <w:bCs/>
                <w:sz w:val="22"/>
                <w:szCs w:val="22"/>
              </w:rPr>
              <w:t>4</w:t>
            </w:r>
            <w:r w:rsidR="00DE0B83" w:rsidRPr="007C0F2C">
              <w:rPr>
                <w:bCs/>
                <w:sz w:val="22"/>
                <w:szCs w:val="22"/>
              </w:rPr>
              <w:t>.</w:t>
            </w:r>
          </w:p>
        </w:tc>
        <w:tc>
          <w:tcPr>
            <w:tcW w:w="3261" w:type="dxa"/>
          </w:tcPr>
          <w:p w:rsidR="00DE0B83" w:rsidRPr="007C0F2C" w:rsidRDefault="00DE0B83" w:rsidP="007D099D">
            <w:pPr>
              <w:pStyle w:val="naiskr"/>
              <w:spacing w:before="0" w:after="0"/>
              <w:ind w:left="57" w:right="57"/>
              <w:rPr>
                <w:sz w:val="22"/>
                <w:szCs w:val="22"/>
              </w:rPr>
            </w:pPr>
            <w:r w:rsidRPr="007C0F2C">
              <w:rPr>
                <w:sz w:val="22"/>
                <w:szCs w:val="22"/>
              </w:rPr>
              <w:t>Saeimas un ekspertu līdzdalība</w:t>
            </w:r>
          </w:p>
        </w:tc>
        <w:tc>
          <w:tcPr>
            <w:tcW w:w="6544" w:type="dxa"/>
          </w:tcPr>
          <w:p w:rsidR="00DE0B83" w:rsidRPr="007C0F2C" w:rsidRDefault="00194E58" w:rsidP="00194E58">
            <w:pPr>
              <w:pStyle w:val="naiskr"/>
              <w:spacing w:before="0" w:after="120"/>
              <w:ind w:left="57" w:right="57" w:firstLine="369"/>
              <w:jc w:val="both"/>
              <w:rPr>
                <w:sz w:val="22"/>
                <w:szCs w:val="22"/>
              </w:rPr>
            </w:pPr>
            <w:r>
              <w:rPr>
                <w:iCs/>
                <w:sz w:val="22"/>
                <w:szCs w:val="22"/>
              </w:rPr>
              <w:t>Tika iesaistīti eksperti no reģionālajām vides pārvaldēm un verifikācijas iestādēm.</w:t>
            </w:r>
          </w:p>
        </w:tc>
      </w:tr>
      <w:tr w:rsidR="00277929" w:rsidRPr="007C0F2C" w:rsidTr="00CE0F16">
        <w:trPr>
          <w:trHeight w:val="476"/>
          <w:jc w:val="center"/>
        </w:trPr>
        <w:tc>
          <w:tcPr>
            <w:tcW w:w="451" w:type="dxa"/>
          </w:tcPr>
          <w:p w:rsidR="00277929" w:rsidRPr="007C0F2C" w:rsidRDefault="00183CC2" w:rsidP="007D099D">
            <w:pPr>
              <w:pStyle w:val="naiskr"/>
              <w:spacing w:before="0" w:after="0"/>
              <w:ind w:left="57" w:right="57"/>
              <w:rPr>
                <w:bCs/>
                <w:sz w:val="22"/>
                <w:szCs w:val="22"/>
              </w:rPr>
            </w:pPr>
            <w:r w:rsidRPr="007C0F2C">
              <w:rPr>
                <w:bCs/>
                <w:sz w:val="22"/>
                <w:szCs w:val="22"/>
              </w:rPr>
              <w:t>5</w:t>
            </w:r>
            <w:r w:rsidR="00277929" w:rsidRPr="007C0F2C">
              <w:rPr>
                <w:bCs/>
                <w:sz w:val="22"/>
                <w:szCs w:val="22"/>
              </w:rPr>
              <w:t>.</w:t>
            </w:r>
          </w:p>
        </w:tc>
        <w:tc>
          <w:tcPr>
            <w:tcW w:w="3261" w:type="dxa"/>
          </w:tcPr>
          <w:p w:rsidR="002F78C8" w:rsidRPr="007C0F2C" w:rsidRDefault="006C4607" w:rsidP="00194E58">
            <w:pPr>
              <w:pStyle w:val="naiskr"/>
              <w:spacing w:before="0" w:after="0"/>
              <w:ind w:left="57" w:right="57"/>
              <w:rPr>
                <w:sz w:val="22"/>
                <w:szCs w:val="22"/>
              </w:rPr>
            </w:pPr>
            <w:r w:rsidRPr="007C0F2C">
              <w:rPr>
                <w:sz w:val="22"/>
                <w:szCs w:val="22"/>
              </w:rPr>
              <w:t>Cita informācija</w:t>
            </w:r>
          </w:p>
        </w:tc>
        <w:tc>
          <w:tcPr>
            <w:tcW w:w="6544" w:type="dxa"/>
          </w:tcPr>
          <w:p w:rsidR="00845811" w:rsidRPr="007C0F2C" w:rsidRDefault="001D51E9" w:rsidP="007D099D">
            <w:pPr>
              <w:pStyle w:val="naiskr"/>
              <w:spacing w:before="0" w:after="0"/>
              <w:ind w:left="57" w:right="57"/>
              <w:jc w:val="both"/>
              <w:rPr>
                <w:sz w:val="22"/>
                <w:szCs w:val="22"/>
              </w:rPr>
            </w:pPr>
            <w:r>
              <w:rPr>
                <w:iCs/>
                <w:sz w:val="22"/>
                <w:szCs w:val="22"/>
              </w:rPr>
              <w:t>Nav</w:t>
            </w:r>
          </w:p>
        </w:tc>
      </w:tr>
    </w:tbl>
    <w:p w:rsidR="0015060C" w:rsidRPr="007C0F2C" w:rsidRDefault="0015060C" w:rsidP="006C4607">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578"/>
      </w:tblGrid>
      <w:tr w:rsidR="0023436E" w:rsidRPr="007C0F2C" w:rsidTr="00FD2A8A">
        <w:tc>
          <w:tcPr>
            <w:tcW w:w="10264" w:type="dxa"/>
            <w:gridSpan w:val="3"/>
            <w:tcBorders>
              <w:top w:val="single" w:sz="4" w:space="0" w:color="auto"/>
            </w:tcBorders>
          </w:tcPr>
          <w:p w:rsidR="0023436E" w:rsidRPr="007C0F2C" w:rsidRDefault="0023436E" w:rsidP="007D099D">
            <w:pPr>
              <w:pStyle w:val="naisnod"/>
              <w:spacing w:before="0" w:after="0"/>
              <w:ind w:left="57" w:right="57"/>
            </w:pPr>
            <w:r w:rsidRPr="007C0F2C">
              <w:t>VII</w:t>
            </w:r>
            <w:r w:rsidR="000941C5" w:rsidRPr="007C0F2C">
              <w:t>.</w:t>
            </w:r>
            <w:r w:rsidRPr="007C0F2C">
              <w:t xml:space="preserve"> Tiesību akta projekta izpildes nodrošināšana un tās ietekme uz institūcijām</w:t>
            </w:r>
          </w:p>
        </w:tc>
      </w:tr>
      <w:tr w:rsidR="0023436E" w:rsidRPr="007C0F2C" w:rsidTr="001D760B">
        <w:trPr>
          <w:trHeight w:val="427"/>
        </w:trPr>
        <w:tc>
          <w:tcPr>
            <w:tcW w:w="374"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1.</w:t>
            </w:r>
          </w:p>
        </w:tc>
        <w:tc>
          <w:tcPr>
            <w:tcW w:w="3312"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w:t>
            </w:r>
            <w:r w:rsidR="0023436E" w:rsidRPr="007C0F2C">
              <w:rPr>
                <w:sz w:val="22"/>
                <w:szCs w:val="22"/>
              </w:rPr>
              <w:t xml:space="preserve">rojekta izpildē iesaistītās institūcijas </w:t>
            </w:r>
          </w:p>
        </w:tc>
        <w:tc>
          <w:tcPr>
            <w:tcW w:w="6578" w:type="dxa"/>
          </w:tcPr>
          <w:p w:rsidR="001D51E9" w:rsidRPr="00FF3017" w:rsidRDefault="00FF3017" w:rsidP="00194E58">
            <w:pPr>
              <w:pStyle w:val="naisnod"/>
              <w:spacing w:before="0" w:after="0"/>
              <w:ind w:left="57" w:right="57"/>
              <w:jc w:val="left"/>
              <w:rPr>
                <w:b w:val="0"/>
              </w:rPr>
            </w:pPr>
            <w:r w:rsidRPr="00FF3017">
              <w:rPr>
                <w:b w:val="0"/>
                <w:iCs/>
              </w:rPr>
              <w:t>VARAM</w:t>
            </w:r>
          </w:p>
        </w:tc>
      </w:tr>
      <w:tr w:rsidR="0023436E" w:rsidRPr="007C0F2C" w:rsidTr="001D760B">
        <w:trPr>
          <w:trHeight w:val="463"/>
        </w:trPr>
        <w:tc>
          <w:tcPr>
            <w:tcW w:w="374"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2.</w:t>
            </w:r>
          </w:p>
        </w:tc>
        <w:tc>
          <w:tcPr>
            <w:tcW w:w="3312"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 xml:space="preserve">zpildes ietekme uz pārvaldes funkcijām </w:t>
            </w:r>
          </w:p>
        </w:tc>
        <w:tc>
          <w:tcPr>
            <w:tcW w:w="6578" w:type="dxa"/>
          </w:tcPr>
          <w:p w:rsidR="0023436E" w:rsidRPr="007C0F2C" w:rsidRDefault="001D51E9" w:rsidP="007D099D">
            <w:pPr>
              <w:pStyle w:val="naisnod"/>
              <w:spacing w:before="0" w:after="0"/>
              <w:ind w:left="57" w:right="57"/>
              <w:jc w:val="left"/>
              <w:rPr>
                <w:b w:val="0"/>
                <w:sz w:val="22"/>
                <w:szCs w:val="22"/>
              </w:rPr>
            </w:pPr>
            <w:r>
              <w:rPr>
                <w:b w:val="0"/>
                <w:iCs/>
                <w:sz w:val="22"/>
                <w:szCs w:val="22"/>
              </w:rPr>
              <w:t>Nav</w:t>
            </w:r>
          </w:p>
        </w:tc>
      </w:tr>
      <w:tr w:rsidR="0023436E" w:rsidRPr="007C0F2C" w:rsidTr="001D760B">
        <w:trPr>
          <w:trHeight w:val="725"/>
        </w:trPr>
        <w:tc>
          <w:tcPr>
            <w:tcW w:w="374"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3.</w:t>
            </w:r>
          </w:p>
        </w:tc>
        <w:tc>
          <w:tcPr>
            <w:tcW w:w="3312"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iz</w:t>
            </w:r>
            <w:r w:rsidR="0023436E" w:rsidRPr="007C0F2C">
              <w:rPr>
                <w:sz w:val="22"/>
                <w:szCs w:val="22"/>
              </w:rPr>
              <w:t>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Jaunu institūciju izveide</w:t>
            </w:r>
          </w:p>
        </w:tc>
        <w:tc>
          <w:tcPr>
            <w:tcW w:w="6578" w:type="dxa"/>
          </w:tcPr>
          <w:p w:rsidR="0023436E" w:rsidRPr="007C0F2C" w:rsidRDefault="001D51E9" w:rsidP="007D099D">
            <w:pPr>
              <w:pStyle w:val="naisnod"/>
              <w:spacing w:before="0" w:after="0"/>
              <w:ind w:left="57" w:right="57"/>
              <w:jc w:val="left"/>
              <w:rPr>
                <w:b w:val="0"/>
                <w:sz w:val="22"/>
                <w:szCs w:val="22"/>
              </w:rPr>
            </w:pPr>
            <w:r>
              <w:rPr>
                <w:b w:val="0"/>
                <w:iCs/>
                <w:sz w:val="22"/>
                <w:szCs w:val="22"/>
              </w:rPr>
              <w:t>Nav</w:t>
            </w:r>
          </w:p>
        </w:tc>
      </w:tr>
      <w:tr w:rsidR="0023436E" w:rsidRPr="007C0F2C" w:rsidTr="001D760B">
        <w:trPr>
          <w:trHeight w:val="780"/>
        </w:trPr>
        <w:tc>
          <w:tcPr>
            <w:tcW w:w="374"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t>4.</w:t>
            </w:r>
          </w:p>
        </w:tc>
        <w:tc>
          <w:tcPr>
            <w:tcW w:w="3312"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Esošu institūciju likvidācija</w:t>
            </w:r>
          </w:p>
        </w:tc>
        <w:tc>
          <w:tcPr>
            <w:tcW w:w="6578" w:type="dxa"/>
          </w:tcPr>
          <w:p w:rsidR="0023436E" w:rsidRPr="007C0F2C" w:rsidRDefault="001D51E9" w:rsidP="001D51E9">
            <w:pPr>
              <w:pStyle w:val="naisnod"/>
              <w:spacing w:before="0" w:after="0"/>
              <w:ind w:left="57" w:right="57"/>
              <w:jc w:val="left"/>
              <w:rPr>
                <w:b w:val="0"/>
                <w:sz w:val="22"/>
                <w:szCs w:val="22"/>
              </w:rPr>
            </w:pPr>
            <w:r>
              <w:rPr>
                <w:b w:val="0"/>
                <w:iCs/>
                <w:sz w:val="22"/>
                <w:szCs w:val="22"/>
              </w:rPr>
              <w:t>Nav</w:t>
            </w:r>
          </w:p>
        </w:tc>
      </w:tr>
      <w:tr w:rsidR="0023436E" w:rsidRPr="007C0F2C" w:rsidTr="001D760B">
        <w:trPr>
          <w:trHeight w:val="703"/>
        </w:trPr>
        <w:tc>
          <w:tcPr>
            <w:tcW w:w="374" w:type="dxa"/>
          </w:tcPr>
          <w:p w:rsidR="0023436E" w:rsidRPr="007C0F2C" w:rsidRDefault="0023436E" w:rsidP="007D099D">
            <w:pPr>
              <w:pStyle w:val="naisnod"/>
              <w:spacing w:before="0" w:after="0"/>
              <w:ind w:left="57" w:right="57"/>
              <w:jc w:val="left"/>
              <w:rPr>
                <w:b w:val="0"/>
                <w:sz w:val="22"/>
                <w:szCs w:val="22"/>
              </w:rPr>
            </w:pPr>
            <w:r w:rsidRPr="007C0F2C">
              <w:rPr>
                <w:b w:val="0"/>
                <w:sz w:val="22"/>
                <w:szCs w:val="22"/>
              </w:rPr>
              <w:lastRenderedPageBreak/>
              <w:t>5.</w:t>
            </w:r>
          </w:p>
        </w:tc>
        <w:tc>
          <w:tcPr>
            <w:tcW w:w="3312" w:type="dxa"/>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23436E" w:rsidP="007D099D">
            <w:pPr>
              <w:pStyle w:val="naisf"/>
              <w:spacing w:before="0" w:after="0"/>
              <w:ind w:left="57" w:right="57" w:firstLine="0"/>
              <w:jc w:val="left"/>
              <w:rPr>
                <w:sz w:val="22"/>
                <w:szCs w:val="22"/>
              </w:rPr>
            </w:pPr>
            <w:r w:rsidRPr="007C0F2C">
              <w:rPr>
                <w:sz w:val="22"/>
                <w:szCs w:val="22"/>
              </w:rPr>
              <w:t>Esošu institūciju reorganizācija</w:t>
            </w:r>
          </w:p>
        </w:tc>
        <w:tc>
          <w:tcPr>
            <w:tcW w:w="6578" w:type="dxa"/>
          </w:tcPr>
          <w:p w:rsidR="0023436E" w:rsidRPr="007C0F2C" w:rsidRDefault="001D51E9" w:rsidP="007D099D">
            <w:pPr>
              <w:pStyle w:val="naisnod"/>
              <w:spacing w:before="0" w:after="0"/>
              <w:ind w:left="57" w:right="57"/>
              <w:jc w:val="left"/>
              <w:rPr>
                <w:b w:val="0"/>
                <w:sz w:val="22"/>
                <w:szCs w:val="22"/>
              </w:rPr>
            </w:pPr>
            <w:r>
              <w:rPr>
                <w:b w:val="0"/>
                <w:iCs/>
                <w:sz w:val="22"/>
                <w:szCs w:val="22"/>
              </w:rPr>
              <w:t>Nav</w:t>
            </w:r>
          </w:p>
        </w:tc>
      </w:tr>
      <w:tr w:rsidR="0023436E" w:rsidRPr="007C0F2C" w:rsidTr="001D760B">
        <w:trPr>
          <w:trHeight w:val="476"/>
        </w:trPr>
        <w:tc>
          <w:tcPr>
            <w:tcW w:w="374" w:type="dxa"/>
          </w:tcPr>
          <w:p w:rsidR="0023436E" w:rsidRPr="007C0F2C" w:rsidRDefault="00F63DAC" w:rsidP="007D099D">
            <w:pPr>
              <w:pStyle w:val="naiskr"/>
              <w:spacing w:before="0" w:after="0"/>
              <w:ind w:left="57" w:right="57"/>
              <w:rPr>
                <w:sz w:val="22"/>
                <w:szCs w:val="22"/>
              </w:rPr>
            </w:pPr>
            <w:r>
              <w:rPr>
                <w:sz w:val="22"/>
                <w:szCs w:val="22"/>
              </w:rPr>
              <w:t>6</w:t>
            </w:r>
            <w:r w:rsidR="0023436E" w:rsidRPr="007C0F2C">
              <w:rPr>
                <w:sz w:val="22"/>
                <w:szCs w:val="22"/>
              </w:rPr>
              <w:t>.</w:t>
            </w:r>
          </w:p>
        </w:tc>
        <w:tc>
          <w:tcPr>
            <w:tcW w:w="3312" w:type="dxa"/>
          </w:tcPr>
          <w:p w:rsidR="0023436E" w:rsidRPr="007C0F2C" w:rsidRDefault="006C4607" w:rsidP="007D099D">
            <w:pPr>
              <w:pStyle w:val="naiskr"/>
              <w:spacing w:before="0" w:after="0"/>
              <w:ind w:left="57" w:right="57"/>
              <w:rPr>
                <w:sz w:val="22"/>
                <w:szCs w:val="22"/>
              </w:rPr>
            </w:pPr>
            <w:r w:rsidRPr="007C0F2C">
              <w:rPr>
                <w:sz w:val="22"/>
                <w:szCs w:val="22"/>
              </w:rPr>
              <w:t>Cita informācija</w:t>
            </w:r>
          </w:p>
        </w:tc>
        <w:tc>
          <w:tcPr>
            <w:tcW w:w="6578" w:type="dxa"/>
          </w:tcPr>
          <w:p w:rsidR="0023436E" w:rsidRPr="001D51E9" w:rsidRDefault="001D51E9" w:rsidP="007D099D">
            <w:pPr>
              <w:pStyle w:val="naiskr"/>
              <w:spacing w:before="0" w:after="0"/>
              <w:ind w:left="57" w:right="57"/>
              <w:rPr>
                <w:sz w:val="22"/>
                <w:szCs w:val="22"/>
              </w:rPr>
            </w:pPr>
            <w:r w:rsidRPr="001D51E9">
              <w:rPr>
                <w:iCs/>
                <w:sz w:val="22"/>
                <w:szCs w:val="22"/>
              </w:rPr>
              <w:t>Nav</w:t>
            </w:r>
          </w:p>
        </w:tc>
      </w:tr>
    </w:tbl>
    <w:p w:rsidR="00214094" w:rsidRPr="007C0F2C" w:rsidRDefault="00214094" w:rsidP="006C4607">
      <w:pPr>
        <w:pStyle w:val="naisf"/>
        <w:tabs>
          <w:tab w:val="left" w:pos="5760"/>
        </w:tabs>
        <w:spacing w:before="0" w:after="0"/>
        <w:ind w:firstLine="720"/>
        <w:rPr>
          <w:sz w:val="28"/>
          <w:szCs w:val="28"/>
        </w:rPr>
      </w:pPr>
    </w:p>
    <w:p w:rsidR="00214094" w:rsidRPr="00830ECC" w:rsidRDefault="00214094" w:rsidP="006C4607">
      <w:pPr>
        <w:pStyle w:val="naisf"/>
        <w:tabs>
          <w:tab w:val="left" w:pos="5760"/>
        </w:tabs>
        <w:spacing w:before="0" w:after="0"/>
        <w:ind w:firstLine="720"/>
        <w:rPr>
          <w:sz w:val="28"/>
          <w:szCs w:val="28"/>
        </w:rPr>
      </w:pPr>
    </w:p>
    <w:p w:rsidR="00BF40ED" w:rsidRPr="00830ECC" w:rsidRDefault="00BF40ED" w:rsidP="006C4607">
      <w:pPr>
        <w:pStyle w:val="naisf"/>
        <w:tabs>
          <w:tab w:val="left" w:pos="6804"/>
        </w:tabs>
        <w:spacing w:before="0" w:after="0"/>
        <w:ind w:firstLine="720"/>
        <w:rPr>
          <w:sz w:val="28"/>
          <w:szCs w:val="28"/>
        </w:rPr>
      </w:pPr>
    </w:p>
    <w:p w:rsidR="003A2FA4" w:rsidRPr="00830ECC" w:rsidRDefault="003A2FA4" w:rsidP="003A2FA4">
      <w:pPr>
        <w:pStyle w:val="naisf"/>
        <w:tabs>
          <w:tab w:val="left" w:pos="6804"/>
        </w:tabs>
        <w:spacing w:before="0" w:after="0"/>
        <w:ind w:firstLine="0"/>
        <w:rPr>
          <w:sz w:val="28"/>
          <w:szCs w:val="28"/>
        </w:rPr>
      </w:pPr>
      <w:r w:rsidRPr="00830ECC">
        <w:rPr>
          <w:sz w:val="28"/>
          <w:szCs w:val="28"/>
        </w:rPr>
        <w:t>Vides aizsardzības un</w:t>
      </w:r>
    </w:p>
    <w:p w:rsidR="0015060C" w:rsidRPr="00830ECC" w:rsidRDefault="003A2FA4" w:rsidP="003A2FA4">
      <w:pPr>
        <w:pStyle w:val="naisf"/>
        <w:tabs>
          <w:tab w:val="left" w:pos="6804"/>
        </w:tabs>
        <w:spacing w:before="0" w:after="0"/>
        <w:ind w:firstLine="0"/>
        <w:rPr>
          <w:sz w:val="28"/>
          <w:szCs w:val="28"/>
        </w:rPr>
      </w:pPr>
      <w:r w:rsidRPr="00830ECC">
        <w:rPr>
          <w:sz w:val="28"/>
          <w:szCs w:val="28"/>
        </w:rPr>
        <w:t>reģionālās attīstības ministrs</w:t>
      </w:r>
      <w:r w:rsidR="006D67C5">
        <w:rPr>
          <w:sz w:val="28"/>
          <w:szCs w:val="28"/>
        </w:rPr>
        <w:tab/>
      </w:r>
      <w:r w:rsidR="006D67C5">
        <w:rPr>
          <w:sz w:val="28"/>
          <w:szCs w:val="28"/>
        </w:rPr>
        <w:tab/>
      </w:r>
      <w:r w:rsidRPr="00830ECC">
        <w:rPr>
          <w:sz w:val="28"/>
          <w:szCs w:val="28"/>
        </w:rPr>
        <w:t>R.Vējonis</w:t>
      </w:r>
    </w:p>
    <w:p w:rsidR="003A2FA4" w:rsidRDefault="003A2FA4" w:rsidP="003A2FA4">
      <w:pPr>
        <w:pStyle w:val="naisf"/>
        <w:tabs>
          <w:tab w:val="left" w:pos="6804"/>
        </w:tabs>
        <w:spacing w:before="0" w:after="0"/>
        <w:ind w:firstLine="0"/>
        <w:rPr>
          <w:sz w:val="28"/>
          <w:szCs w:val="28"/>
        </w:rPr>
      </w:pPr>
    </w:p>
    <w:p w:rsidR="00FF3017" w:rsidRDefault="00FF3017" w:rsidP="003A2FA4">
      <w:pPr>
        <w:pStyle w:val="naisf"/>
        <w:tabs>
          <w:tab w:val="left" w:pos="6804"/>
        </w:tabs>
        <w:spacing w:before="0" w:after="0"/>
        <w:ind w:firstLine="0"/>
        <w:rPr>
          <w:sz w:val="28"/>
          <w:szCs w:val="28"/>
        </w:rPr>
      </w:pPr>
    </w:p>
    <w:p w:rsidR="006D67C5" w:rsidRPr="00830ECC" w:rsidRDefault="006D67C5" w:rsidP="003A2FA4">
      <w:pPr>
        <w:pStyle w:val="naisf"/>
        <w:tabs>
          <w:tab w:val="left" w:pos="6804"/>
        </w:tabs>
        <w:spacing w:before="0" w:after="0"/>
        <w:ind w:firstLine="0"/>
        <w:rPr>
          <w:sz w:val="28"/>
          <w:szCs w:val="28"/>
        </w:rPr>
      </w:pPr>
    </w:p>
    <w:p w:rsidR="00830ECC" w:rsidRPr="00830ECC" w:rsidRDefault="00830ECC" w:rsidP="00830ECC">
      <w:pPr>
        <w:pStyle w:val="Header"/>
        <w:tabs>
          <w:tab w:val="clear" w:pos="4153"/>
          <w:tab w:val="clear" w:pos="8306"/>
        </w:tabs>
        <w:rPr>
          <w:sz w:val="28"/>
          <w:szCs w:val="28"/>
        </w:rPr>
      </w:pPr>
      <w:r w:rsidRPr="00830ECC">
        <w:rPr>
          <w:sz w:val="28"/>
          <w:szCs w:val="28"/>
        </w:rPr>
        <w:t>Vīza:</w:t>
      </w:r>
    </w:p>
    <w:p w:rsidR="00830ECC" w:rsidRPr="00830ECC" w:rsidRDefault="00830ECC" w:rsidP="00830ECC">
      <w:pPr>
        <w:jc w:val="both"/>
        <w:rPr>
          <w:sz w:val="28"/>
          <w:szCs w:val="28"/>
        </w:rPr>
      </w:pPr>
      <w:r w:rsidRPr="00830ECC">
        <w:rPr>
          <w:sz w:val="28"/>
          <w:szCs w:val="28"/>
        </w:rPr>
        <w:t>Vides aizsardzības un reģionālās</w:t>
      </w:r>
    </w:p>
    <w:p w:rsidR="00830ECC" w:rsidRPr="00830ECC" w:rsidRDefault="00830ECC" w:rsidP="00830ECC">
      <w:pPr>
        <w:pStyle w:val="Header"/>
        <w:tabs>
          <w:tab w:val="clear" w:pos="4153"/>
          <w:tab w:val="clear" w:pos="8306"/>
        </w:tabs>
        <w:rPr>
          <w:color w:val="000000"/>
          <w:sz w:val="28"/>
          <w:szCs w:val="28"/>
        </w:rPr>
      </w:pPr>
      <w:r w:rsidRPr="00830ECC">
        <w:rPr>
          <w:sz w:val="28"/>
          <w:szCs w:val="28"/>
        </w:rPr>
        <w:t xml:space="preserve">attīstības </w:t>
      </w:r>
      <w:r w:rsidR="006D67C5">
        <w:rPr>
          <w:sz w:val="28"/>
          <w:szCs w:val="28"/>
        </w:rPr>
        <w:t xml:space="preserve">ministrijas </w:t>
      </w:r>
      <w:r w:rsidRPr="00830ECC">
        <w:rPr>
          <w:sz w:val="28"/>
          <w:szCs w:val="28"/>
        </w:rPr>
        <w:t>valsts sekretārs</w:t>
      </w:r>
      <w:r w:rsidR="006D67C5">
        <w:rPr>
          <w:sz w:val="28"/>
          <w:szCs w:val="28"/>
        </w:rPr>
        <w:tab/>
      </w:r>
      <w:r w:rsidR="006D67C5">
        <w:rPr>
          <w:sz w:val="28"/>
          <w:szCs w:val="28"/>
        </w:rPr>
        <w:tab/>
      </w:r>
      <w:r w:rsidR="006D67C5">
        <w:rPr>
          <w:sz w:val="28"/>
          <w:szCs w:val="28"/>
        </w:rPr>
        <w:tab/>
      </w:r>
      <w:r w:rsidR="006D67C5">
        <w:rPr>
          <w:sz w:val="28"/>
          <w:szCs w:val="28"/>
        </w:rPr>
        <w:tab/>
      </w:r>
      <w:r w:rsidR="006D67C5">
        <w:rPr>
          <w:sz w:val="28"/>
          <w:szCs w:val="28"/>
        </w:rPr>
        <w:tab/>
      </w:r>
      <w:r w:rsidRPr="00830ECC">
        <w:rPr>
          <w:sz w:val="28"/>
          <w:szCs w:val="28"/>
        </w:rPr>
        <w:t>G.Puķītis</w:t>
      </w:r>
    </w:p>
    <w:p w:rsidR="00830ECC" w:rsidRPr="00830ECC" w:rsidRDefault="00830ECC" w:rsidP="00830ECC">
      <w:pPr>
        <w:jc w:val="both"/>
        <w:rPr>
          <w:color w:val="000000"/>
          <w:sz w:val="28"/>
          <w:szCs w:val="28"/>
        </w:rPr>
      </w:pPr>
    </w:p>
    <w:p w:rsidR="003A2FA4" w:rsidRDefault="003A2FA4" w:rsidP="003A2FA4">
      <w:pPr>
        <w:pStyle w:val="naisf"/>
        <w:tabs>
          <w:tab w:val="left" w:pos="6804"/>
        </w:tabs>
        <w:spacing w:before="0" w:after="0"/>
        <w:ind w:firstLine="0"/>
        <w:rPr>
          <w:sz w:val="28"/>
          <w:szCs w:val="28"/>
        </w:rPr>
      </w:pPr>
    </w:p>
    <w:p w:rsidR="00FF3017" w:rsidRPr="00830ECC" w:rsidRDefault="00FF3017" w:rsidP="003A2FA4">
      <w:pPr>
        <w:pStyle w:val="naisf"/>
        <w:tabs>
          <w:tab w:val="left" w:pos="6804"/>
        </w:tabs>
        <w:spacing w:before="0" w:after="0"/>
        <w:ind w:firstLine="0"/>
        <w:rPr>
          <w:sz w:val="28"/>
          <w:szCs w:val="28"/>
        </w:rPr>
      </w:pPr>
    </w:p>
    <w:p w:rsidR="00830ECC" w:rsidRPr="00830ECC" w:rsidRDefault="00830ECC" w:rsidP="003A2FA4">
      <w:pPr>
        <w:pStyle w:val="naisf"/>
        <w:tabs>
          <w:tab w:val="left" w:pos="6804"/>
        </w:tabs>
        <w:spacing w:before="0" w:after="0"/>
        <w:ind w:firstLine="0"/>
        <w:rPr>
          <w:sz w:val="28"/>
          <w:szCs w:val="28"/>
        </w:rPr>
      </w:pPr>
    </w:p>
    <w:p w:rsidR="003A2FA4" w:rsidRPr="006B69E9" w:rsidRDefault="000B1D9D" w:rsidP="003A2FA4">
      <w:pPr>
        <w:spacing w:before="120"/>
        <w:rPr>
          <w:sz w:val="20"/>
          <w:szCs w:val="20"/>
        </w:rPr>
      </w:pPr>
      <w:r w:rsidRPr="006B69E9">
        <w:rPr>
          <w:sz w:val="20"/>
          <w:szCs w:val="20"/>
        </w:rPr>
        <w:fldChar w:fldCharType="begin"/>
      </w:r>
      <w:r w:rsidR="003A2FA4" w:rsidRPr="006B69E9">
        <w:rPr>
          <w:sz w:val="20"/>
          <w:szCs w:val="20"/>
        </w:rPr>
        <w:instrText xml:space="preserve"> SAVEDATE  \@ "dd.MM.yyyy. H:mm"  \* MERGEFORMAT </w:instrText>
      </w:r>
      <w:r w:rsidRPr="006B69E9">
        <w:rPr>
          <w:sz w:val="20"/>
          <w:szCs w:val="20"/>
        </w:rPr>
        <w:fldChar w:fldCharType="separate"/>
      </w:r>
      <w:r w:rsidR="00F5606E">
        <w:rPr>
          <w:noProof/>
          <w:sz w:val="20"/>
          <w:szCs w:val="20"/>
        </w:rPr>
        <w:t>26.09.2011. 12:02</w:t>
      </w:r>
      <w:r w:rsidRPr="006B69E9">
        <w:rPr>
          <w:sz w:val="20"/>
          <w:szCs w:val="20"/>
        </w:rPr>
        <w:fldChar w:fldCharType="end"/>
      </w:r>
    </w:p>
    <w:p w:rsidR="003A2FA4" w:rsidRPr="006B69E9" w:rsidRDefault="000B1D9D" w:rsidP="003A2FA4">
      <w:pPr>
        <w:pStyle w:val="Header"/>
        <w:tabs>
          <w:tab w:val="clear" w:pos="4153"/>
          <w:tab w:val="clear" w:pos="8306"/>
        </w:tabs>
        <w:rPr>
          <w:sz w:val="20"/>
          <w:szCs w:val="20"/>
        </w:rPr>
      </w:pPr>
      <w:r w:rsidRPr="006B69E9">
        <w:rPr>
          <w:sz w:val="20"/>
          <w:szCs w:val="20"/>
        </w:rPr>
        <w:fldChar w:fldCharType="begin"/>
      </w:r>
      <w:r w:rsidR="003A2FA4" w:rsidRPr="006B69E9">
        <w:rPr>
          <w:sz w:val="20"/>
          <w:szCs w:val="20"/>
        </w:rPr>
        <w:instrText xml:space="preserve"> NUMWORDS  \* Lower </w:instrText>
      </w:r>
      <w:r w:rsidRPr="006B69E9">
        <w:rPr>
          <w:sz w:val="20"/>
          <w:szCs w:val="20"/>
        </w:rPr>
        <w:fldChar w:fldCharType="separate"/>
      </w:r>
      <w:r w:rsidR="00F5606E">
        <w:rPr>
          <w:noProof/>
          <w:sz w:val="20"/>
          <w:szCs w:val="20"/>
        </w:rPr>
        <w:t>1689</w:t>
      </w:r>
      <w:r w:rsidRPr="006B69E9">
        <w:rPr>
          <w:sz w:val="20"/>
          <w:szCs w:val="20"/>
        </w:rPr>
        <w:fldChar w:fldCharType="end"/>
      </w:r>
      <w:bookmarkStart w:id="0" w:name="_GoBack"/>
      <w:bookmarkEnd w:id="0"/>
    </w:p>
    <w:p w:rsidR="00E171D7" w:rsidRPr="006B69E9" w:rsidRDefault="00E171D7" w:rsidP="00E171D7">
      <w:pPr>
        <w:rPr>
          <w:sz w:val="20"/>
          <w:szCs w:val="20"/>
        </w:rPr>
      </w:pPr>
      <w:r w:rsidRPr="006B69E9">
        <w:rPr>
          <w:sz w:val="20"/>
          <w:szCs w:val="20"/>
        </w:rPr>
        <w:t>L.Leja</w:t>
      </w:r>
    </w:p>
    <w:p w:rsidR="00E171D7" w:rsidRPr="006B69E9" w:rsidRDefault="00E171D7" w:rsidP="00E171D7">
      <w:pPr>
        <w:rPr>
          <w:sz w:val="20"/>
          <w:szCs w:val="20"/>
        </w:rPr>
      </w:pPr>
      <w:r w:rsidRPr="006B69E9">
        <w:rPr>
          <w:sz w:val="20"/>
          <w:szCs w:val="20"/>
        </w:rPr>
        <w:t xml:space="preserve">67026512, </w:t>
      </w:r>
      <w:hyperlink r:id="rId8" w:history="1">
        <w:r w:rsidRPr="00AE3368">
          <w:rPr>
            <w:rStyle w:val="Hyperlink"/>
            <w:sz w:val="20"/>
            <w:szCs w:val="20"/>
          </w:rPr>
          <w:t>Linda.Leja@varam.gov.lv</w:t>
        </w:r>
      </w:hyperlink>
      <w:r>
        <w:rPr>
          <w:sz w:val="20"/>
          <w:szCs w:val="20"/>
        </w:rPr>
        <w:t xml:space="preserve"> </w:t>
      </w:r>
    </w:p>
    <w:p w:rsidR="003A2FA4" w:rsidRPr="006B69E9" w:rsidRDefault="003A2FA4" w:rsidP="003A2FA4">
      <w:pPr>
        <w:pStyle w:val="naisf"/>
        <w:tabs>
          <w:tab w:val="left" w:pos="6840"/>
        </w:tabs>
        <w:spacing w:before="0" w:after="0"/>
        <w:ind w:firstLine="0"/>
        <w:rPr>
          <w:sz w:val="20"/>
          <w:szCs w:val="20"/>
        </w:rPr>
      </w:pPr>
      <w:proofErr w:type="spellStart"/>
      <w:r w:rsidRPr="006B69E9">
        <w:rPr>
          <w:sz w:val="20"/>
          <w:szCs w:val="20"/>
        </w:rPr>
        <w:t>H.Rimša</w:t>
      </w:r>
      <w:proofErr w:type="spellEnd"/>
    </w:p>
    <w:p w:rsidR="003A2FA4" w:rsidRPr="006B69E9" w:rsidRDefault="003A2FA4" w:rsidP="003A2FA4">
      <w:pPr>
        <w:pStyle w:val="naisf"/>
        <w:tabs>
          <w:tab w:val="left" w:pos="6840"/>
        </w:tabs>
        <w:spacing w:before="0" w:after="0"/>
        <w:ind w:firstLine="0"/>
        <w:rPr>
          <w:sz w:val="20"/>
          <w:szCs w:val="20"/>
        </w:rPr>
      </w:pPr>
      <w:r w:rsidRPr="006B69E9">
        <w:rPr>
          <w:sz w:val="20"/>
          <w:szCs w:val="20"/>
        </w:rPr>
        <w:t xml:space="preserve">67026414, </w:t>
      </w:r>
      <w:hyperlink r:id="rId9" w:history="1">
        <w:r w:rsidRPr="006B69E9">
          <w:rPr>
            <w:rStyle w:val="Hyperlink"/>
            <w:sz w:val="20"/>
            <w:szCs w:val="20"/>
          </w:rPr>
          <w:t>helena.rimsa@varam.gov.lv</w:t>
        </w:r>
      </w:hyperlink>
    </w:p>
    <w:p w:rsidR="003A2FA4" w:rsidRPr="007C0F2C" w:rsidRDefault="003A2FA4" w:rsidP="003A2FA4">
      <w:pPr>
        <w:pStyle w:val="naisf"/>
        <w:tabs>
          <w:tab w:val="left" w:pos="6804"/>
        </w:tabs>
        <w:spacing w:before="0" w:after="0"/>
        <w:ind w:firstLine="0"/>
        <w:rPr>
          <w:sz w:val="28"/>
          <w:szCs w:val="28"/>
        </w:rPr>
      </w:pPr>
    </w:p>
    <w:sectPr w:rsidR="003A2FA4" w:rsidRPr="007C0F2C" w:rsidSect="006D67C5">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F3" w:rsidRDefault="00535CF3">
      <w:r>
        <w:separator/>
      </w:r>
    </w:p>
  </w:endnote>
  <w:endnote w:type="continuationSeparator" w:id="0">
    <w:p w:rsidR="00535CF3" w:rsidRDefault="0053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BA"/>
    <w:family w:val="auto"/>
    <w:notTrueType/>
    <w:pitch w:val="default"/>
    <w:sig w:usb0="00000005" w:usb1="00000000" w:usb2="00000000" w:usb3="00000000" w:csb0="0000008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6F" w:rsidRPr="00EA7D6F" w:rsidRDefault="00EA7D6F" w:rsidP="008D5857">
    <w:pPr>
      <w:pStyle w:val="Footer"/>
      <w:rPr>
        <w:sz w:val="8"/>
        <w:szCs w:val="8"/>
      </w:rPr>
    </w:pPr>
  </w:p>
  <w:p w:rsidR="00716DCC" w:rsidRPr="008D5857" w:rsidRDefault="008D5857" w:rsidP="008D5857">
    <w:pPr>
      <w:pStyle w:val="Footer"/>
      <w:rPr>
        <w:sz w:val="20"/>
        <w:szCs w:val="20"/>
      </w:rPr>
    </w:pPr>
    <w:r w:rsidRPr="008D5857">
      <w:rPr>
        <w:sz w:val="20"/>
        <w:szCs w:val="20"/>
      </w:rPr>
      <w:fldChar w:fldCharType="begin"/>
    </w:r>
    <w:r w:rsidRPr="008D5857">
      <w:rPr>
        <w:sz w:val="20"/>
        <w:szCs w:val="20"/>
      </w:rPr>
      <w:instrText xml:space="preserve"> FILENAME </w:instrText>
    </w:r>
    <w:r w:rsidRPr="008D5857">
      <w:rPr>
        <w:sz w:val="20"/>
        <w:szCs w:val="20"/>
      </w:rPr>
      <w:fldChar w:fldCharType="separate"/>
    </w:r>
    <w:r w:rsidR="00304259">
      <w:rPr>
        <w:noProof/>
        <w:sz w:val="20"/>
        <w:szCs w:val="20"/>
      </w:rPr>
      <w:t>VARAMAnot_26092011_NIMs</w:t>
    </w:r>
    <w:r w:rsidRPr="008D5857">
      <w:rPr>
        <w:sz w:val="20"/>
        <w:szCs w:val="20"/>
      </w:rPr>
      <w:fldChar w:fldCharType="end"/>
    </w:r>
    <w:r w:rsidRPr="008D5857">
      <w:rPr>
        <w:sz w:val="20"/>
        <w:szCs w:val="20"/>
      </w:rPr>
      <w:t>; Anotācija Rīkojuma projektam „Par iekārtu sarakstu emisijas kvotu sadalei 2013.-2020.gadam”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6F" w:rsidRPr="00EA7D6F" w:rsidRDefault="00EA7D6F" w:rsidP="008809FD">
    <w:pPr>
      <w:pStyle w:val="Footer"/>
      <w:rPr>
        <w:sz w:val="8"/>
        <w:szCs w:val="8"/>
      </w:rPr>
    </w:pPr>
  </w:p>
  <w:p w:rsidR="00716DCC" w:rsidRPr="008D5857" w:rsidRDefault="00716DCC" w:rsidP="008809FD">
    <w:pPr>
      <w:pStyle w:val="Footer"/>
      <w:rPr>
        <w:sz w:val="20"/>
        <w:szCs w:val="20"/>
      </w:rPr>
    </w:pPr>
    <w:r w:rsidRPr="008D5857">
      <w:rPr>
        <w:sz w:val="20"/>
        <w:szCs w:val="20"/>
      </w:rPr>
      <w:fldChar w:fldCharType="begin"/>
    </w:r>
    <w:r w:rsidRPr="008D5857">
      <w:rPr>
        <w:sz w:val="20"/>
        <w:szCs w:val="20"/>
      </w:rPr>
      <w:instrText xml:space="preserve"> FILENAME </w:instrText>
    </w:r>
    <w:r w:rsidRPr="008D5857">
      <w:rPr>
        <w:sz w:val="20"/>
        <w:szCs w:val="20"/>
      </w:rPr>
      <w:fldChar w:fldCharType="separate"/>
    </w:r>
    <w:r w:rsidR="00304259">
      <w:rPr>
        <w:noProof/>
        <w:sz w:val="20"/>
        <w:szCs w:val="20"/>
      </w:rPr>
      <w:t>VARAMAnot_26092011_NIMs</w:t>
    </w:r>
    <w:r w:rsidRPr="008D5857">
      <w:rPr>
        <w:sz w:val="20"/>
        <w:szCs w:val="20"/>
      </w:rPr>
      <w:fldChar w:fldCharType="end"/>
    </w:r>
    <w:r w:rsidRPr="008D5857">
      <w:rPr>
        <w:sz w:val="20"/>
        <w:szCs w:val="20"/>
      </w:rPr>
      <w:t>; Anotācija Rīkojuma projektam „</w:t>
    </w:r>
    <w:r w:rsidR="008D5857" w:rsidRPr="008D5857">
      <w:rPr>
        <w:sz w:val="20"/>
        <w:szCs w:val="20"/>
      </w:rPr>
      <w:t>Par iekārtu sarakstu emisijas kvotu sadalei 2013.-2020.gadam</w:t>
    </w:r>
    <w:r w:rsidRPr="008D585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F3" w:rsidRDefault="00535CF3">
      <w:r>
        <w:separator/>
      </w:r>
    </w:p>
  </w:footnote>
  <w:footnote w:type="continuationSeparator" w:id="0">
    <w:p w:rsidR="00535CF3" w:rsidRDefault="00535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CC" w:rsidRDefault="00716DC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DCC" w:rsidRDefault="00716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CC" w:rsidRDefault="00716DC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06E">
      <w:rPr>
        <w:rStyle w:val="PageNumber"/>
        <w:noProof/>
      </w:rPr>
      <w:t>7</w:t>
    </w:r>
    <w:r>
      <w:rPr>
        <w:rStyle w:val="PageNumber"/>
      </w:rPr>
      <w:fldChar w:fldCharType="end"/>
    </w:r>
  </w:p>
  <w:p w:rsidR="00716DCC" w:rsidRDefault="00716DCC" w:rsidP="00ED7E1F">
    <w:pPr>
      <w:pStyle w:val="Footer"/>
      <w:jc w:val="center"/>
      <w:rPr>
        <w:szCs w:val="16"/>
      </w:rPr>
    </w:pPr>
  </w:p>
  <w:p w:rsidR="00716DCC" w:rsidRDefault="00716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CC" w:rsidRDefault="00716DCC">
    <w:pPr>
      <w:pStyle w:val="Header"/>
      <w:jc w:val="center"/>
    </w:pPr>
  </w:p>
  <w:p w:rsidR="00716DCC" w:rsidRDefault="00716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BF79C5"/>
    <w:multiLevelType w:val="hybridMultilevel"/>
    <w:tmpl w:val="82DA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5245E1E"/>
    <w:multiLevelType w:val="hybridMultilevel"/>
    <w:tmpl w:val="8DE4D21E"/>
    <w:lvl w:ilvl="0" w:tplc="11564E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C8F119A"/>
    <w:multiLevelType w:val="hybridMultilevel"/>
    <w:tmpl w:val="92681CB4"/>
    <w:lvl w:ilvl="0" w:tplc="4C001D98">
      <w:start w:val="1"/>
      <w:numFmt w:val="decimal"/>
      <w:lvlText w:val="%1)"/>
      <w:lvlJc w:val="left"/>
      <w:pPr>
        <w:ind w:left="616" w:hanging="360"/>
      </w:pPr>
      <w:rPr>
        <w:rFonts w:eastAsia="Times New Roman" w:hint="default"/>
      </w:rPr>
    </w:lvl>
    <w:lvl w:ilvl="1" w:tplc="04260019" w:tentative="1">
      <w:start w:val="1"/>
      <w:numFmt w:val="lowerLetter"/>
      <w:lvlText w:val="%2."/>
      <w:lvlJc w:val="left"/>
      <w:pPr>
        <w:ind w:left="1336" w:hanging="360"/>
      </w:pPr>
    </w:lvl>
    <w:lvl w:ilvl="2" w:tplc="0426001B" w:tentative="1">
      <w:start w:val="1"/>
      <w:numFmt w:val="lowerRoman"/>
      <w:lvlText w:val="%3."/>
      <w:lvlJc w:val="right"/>
      <w:pPr>
        <w:ind w:left="2056" w:hanging="180"/>
      </w:pPr>
    </w:lvl>
    <w:lvl w:ilvl="3" w:tplc="0426000F" w:tentative="1">
      <w:start w:val="1"/>
      <w:numFmt w:val="decimal"/>
      <w:lvlText w:val="%4."/>
      <w:lvlJc w:val="left"/>
      <w:pPr>
        <w:ind w:left="2776" w:hanging="360"/>
      </w:pPr>
    </w:lvl>
    <w:lvl w:ilvl="4" w:tplc="04260019" w:tentative="1">
      <w:start w:val="1"/>
      <w:numFmt w:val="lowerLetter"/>
      <w:lvlText w:val="%5."/>
      <w:lvlJc w:val="left"/>
      <w:pPr>
        <w:ind w:left="3496" w:hanging="360"/>
      </w:pPr>
    </w:lvl>
    <w:lvl w:ilvl="5" w:tplc="0426001B" w:tentative="1">
      <w:start w:val="1"/>
      <w:numFmt w:val="lowerRoman"/>
      <w:lvlText w:val="%6."/>
      <w:lvlJc w:val="right"/>
      <w:pPr>
        <w:ind w:left="4216" w:hanging="180"/>
      </w:pPr>
    </w:lvl>
    <w:lvl w:ilvl="6" w:tplc="0426000F" w:tentative="1">
      <w:start w:val="1"/>
      <w:numFmt w:val="decimal"/>
      <w:lvlText w:val="%7."/>
      <w:lvlJc w:val="left"/>
      <w:pPr>
        <w:ind w:left="4936" w:hanging="360"/>
      </w:pPr>
    </w:lvl>
    <w:lvl w:ilvl="7" w:tplc="04260019" w:tentative="1">
      <w:start w:val="1"/>
      <w:numFmt w:val="lowerLetter"/>
      <w:lvlText w:val="%8."/>
      <w:lvlJc w:val="left"/>
      <w:pPr>
        <w:ind w:left="5656" w:hanging="360"/>
      </w:pPr>
    </w:lvl>
    <w:lvl w:ilvl="8" w:tplc="0426001B" w:tentative="1">
      <w:start w:val="1"/>
      <w:numFmt w:val="lowerRoman"/>
      <w:lvlText w:val="%9."/>
      <w:lvlJc w:val="right"/>
      <w:pPr>
        <w:ind w:left="6376" w:hanging="180"/>
      </w:p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num>
  <w:num w:numId="3">
    <w:abstractNumId w:val="4"/>
  </w:num>
  <w:num w:numId="4">
    <w:abstractNumId w:val="2"/>
  </w:num>
  <w:num w:numId="5">
    <w:abstractNumId w:val="0"/>
  </w:num>
  <w:num w:numId="6">
    <w:abstractNumId w:val="10"/>
  </w:num>
  <w:num w:numId="7">
    <w:abstractNumId w:val="15"/>
  </w:num>
  <w:num w:numId="8">
    <w:abstractNumId w:val="7"/>
  </w:num>
  <w:num w:numId="9">
    <w:abstractNumId w:val="3"/>
  </w:num>
  <w:num w:numId="10">
    <w:abstractNumId w:val="8"/>
  </w:num>
  <w:num w:numId="11">
    <w:abstractNumId w:val="9"/>
  </w:num>
  <w:num w:numId="12">
    <w:abstractNumId w:val="11"/>
  </w:num>
  <w:num w:numId="13">
    <w:abstractNumId w:val="13"/>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3319"/>
    <w:rsid w:val="00011D24"/>
    <w:rsid w:val="00013FF4"/>
    <w:rsid w:val="00020FE1"/>
    <w:rsid w:val="00022E13"/>
    <w:rsid w:val="00032388"/>
    <w:rsid w:val="00035CE2"/>
    <w:rsid w:val="00043E38"/>
    <w:rsid w:val="00051554"/>
    <w:rsid w:val="0005553B"/>
    <w:rsid w:val="000604D2"/>
    <w:rsid w:val="00065E27"/>
    <w:rsid w:val="00086EE1"/>
    <w:rsid w:val="0009005E"/>
    <w:rsid w:val="000908E2"/>
    <w:rsid w:val="00091D0C"/>
    <w:rsid w:val="000941C5"/>
    <w:rsid w:val="000A6451"/>
    <w:rsid w:val="000B064E"/>
    <w:rsid w:val="000B1B6C"/>
    <w:rsid w:val="000B1D9D"/>
    <w:rsid w:val="000B69CF"/>
    <w:rsid w:val="000C790C"/>
    <w:rsid w:val="000E3181"/>
    <w:rsid w:val="000F061D"/>
    <w:rsid w:val="000F4794"/>
    <w:rsid w:val="001021DC"/>
    <w:rsid w:val="00124F12"/>
    <w:rsid w:val="00130725"/>
    <w:rsid w:val="00144E3A"/>
    <w:rsid w:val="0015060C"/>
    <w:rsid w:val="0016018A"/>
    <w:rsid w:val="00161F0E"/>
    <w:rsid w:val="00170E2A"/>
    <w:rsid w:val="00177394"/>
    <w:rsid w:val="00182C18"/>
    <w:rsid w:val="00183CC2"/>
    <w:rsid w:val="001900E4"/>
    <w:rsid w:val="00190F88"/>
    <w:rsid w:val="00194E58"/>
    <w:rsid w:val="001A2769"/>
    <w:rsid w:val="001A4066"/>
    <w:rsid w:val="001A44A7"/>
    <w:rsid w:val="001A6AE4"/>
    <w:rsid w:val="001B01FD"/>
    <w:rsid w:val="001B4A71"/>
    <w:rsid w:val="001D51E9"/>
    <w:rsid w:val="001D5B54"/>
    <w:rsid w:val="001D6061"/>
    <w:rsid w:val="001D760B"/>
    <w:rsid w:val="001E1DBF"/>
    <w:rsid w:val="001E4639"/>
    <w:rsid w:val="001E4A7D"/>
    <w:rsid w:val="001F4209"/>
    <w:rsid w:val="001F43A8"/>
    <w:rsid w:val="001F5CD6"/>
    <w:rsid w:val="00201694"/>
    <w:rsid w:val="0021263D"/>
    <w:rsid w:val="00213F0C"/>
    <w:rsid w:val="00214094"/>
    <w:rsid w:val="0021592D"/>
    <w:rsid w:val="00222D76"/>
    <w:rsid w:val="00223EB1"/>
    <w:rsid w:val="00231344"/>
    <w:rsid w:val="0023436E"/>
    <w:rsid w:val="002347C0"/>
    <w:rsid w:val="00241A6C"/>
    <w:rsid w:val="00242D2B"/>
    <w:rsid w:val="002527F4"/>
    <w:rsid w:val="00262E2B"/>
    <w:rsid w:val="002659C8"/>
    <w:rsid w:val="00270429"/>
    <w:rsid w:val="002723E9"/>
    <w:rsid w:val="002734B7"/>
    <w:rsid w:val="00277929"/>
    <w:rsid w:val="00283B82"/>
    <w:rsid w:val="002846E9"/>
    <w:rsid w:val="00284C34"/>
    <w:rsid w:val="0029066C"/>
    <w:rsid w:val="002A1C12"/>
    <w:rsid w:val="002B50DB"/>
    <w:rsid w:val="002C12AB"/>
    <w:rsid w:val="002C7CAC"/>
    <w:rsid w:val="002D3306"/>
    <w:rsid w:val="002D48AA"/>
    <w:rsid w:val="002D7BAA"/>
    <w:rsid w:val="002D7F54"/>
    <w:rsid w:val="002E3FF4"/>
    <w:rsid w:val="002F551D"/>
    <w:rsid w:val="002F69FC"/>
    <w:rsid w:val="002F78C8"/>
    <w:rsid w:val="0030136F"/>
    <w:rsid w:val="00301CF3"/>
    <w:rsid w:val="00304259"/>
    <w:rsid w:val="0032715C"/>
    <w:rsid w:val="00337CA5"/>
    <w:rsid w:val="00362478"/>
    <w:rsid w:val="00362F13"/>
    <w:rsid w:val="00375B25"/>
    <w:rsid w:val="0038132C"/>
    <w:rsid w:val="00396542"/>
    <w:rsid w:val="0039685B"/>
    <w:rsid w:val="003A2FA4"/>
    <w:rsid w:val="003A31A6"/>
    <w:rsid w:val="003A7F0C"/>
    <w:rsid w:val="003A7F79"/>
    <w:rsid w:val="003B0C7D"/>
    <w:rsid w:val="003B6404"/>
    <w:rsid w:val="003C414A"/>
    <w:rsid w:val="003C449B"/>
    <w:rsid w:val="003D21FF"/>
    <w:rsid w:val="003D78BC"/>
    <w:rsid w:val="003E3922"/>
    <w:rsid w:val="003E5CD1"/>
    <w:rsid w:val="003F0112"/>
    <w:rsid w:val="003F071A"/>
    <w:rsid w:val="003F160B"/>
    <w:rsid w:val="00400032"/>
    <w:rsid w:val="00400B5B"/>
    <w:rsid w:val="00405A00"/>
    <w:rsid w:val="00420870"/>
    <w:rsid w:val="00432D0C"/>
    <w:rsid w:val="0043791B"/>
    <w:rsid w:val="00441483"/>
    <w:rsid w:val="00441BCB"/>
    <w:rsid w:val="0045176A"/>
    <w:rsid w:val="00456332"/>
    <w:rsid w:val="00461826"/>
    <w:rsid w:val="00477753"/>
    <w:rsid w:val="004800F9"/>
    <w:rsid w:val="0049134A"/>
    <w:rsid w:val="004A58CB"/>
    <w:rsid w:val="004B1795"/>
    <w:rsid w:val="004B56DD"/>
    <w:rsid w:val="004C020F"/>
    <w:rsid w:val="004C1AFD"/>
    <w:rsid w:val="004C558B"/>
    <w:rsid w:val="004F1F88"/>
    <w:rsid w:val="004F5BE1"/>
    <w:rsid w:val="004F5F1B"/>
    <w:rsid w:val="00502374"/>
    <w:rsid w:val="005044D7"/>
    <w:rsid w:val="005060A1"/>
    <w:rsid w:val="00516072"/>
    <w:rsid w:val="005332EC"/>
    <w:rsid w:val="00534418"/>
    <w:rsid w:val="005353AB"/>
    <w:rsid w:val="00535CF3"/>
    <w:rsid w:val="00536144"/>
    <w:rsid w:val="005560BC"/>
    <w:rsid w:val="005573BE"/>
    <w:rsid w:val="00572700"/>
    <w:rsid w:val="00577D92"/>
    <w:rsid w:val="00580468"/>
    <w:rsid w:val="00582231"/>
    <w:rsid w:val="0058603B"/>
    <w:rsid w:val="0059431B"/>
    <w:rsid w:val="00595603"/>
    <w:rsid w:val="005A39CC"/>
    <w:rsid w:val="005B4730"/>
    <w:rsid w:val="005D1C33"/>
    <w:rsid w:val="005E05D7"/>
    <w:rsid w:val="005E41E7"/>
    <w:rsid w:val="005E450F"/>
    <w:rsid w:val="005F56F0"/>
    <w:rsid w:val="00606BC0"/>
    <w:rsid w:val="0062298A"/>
    <w:rsid w:val="00626514"/>
    <w:rsid w:val="00626589"/>
    <w:rsid w:val="006339A0"/>
    <w:rsid w:val="006413A8"/>
    <w:rsid w:val="00642E56"/>
    <w:rsid w:val="00651E00"/>
    <w:rsid w:val="00674572"/>
    <w:rsid w:val="00685E13"/>
    <w:rsid w:val="00687763"/>
    <w:rsid w:val="00692B0D"/>
    <w:rsid w:val="00693E0E"/>
    <w:rsid w:val="006A1AE3"/>
    <w:rsid w:val="006A1CEF"/>
    <w:rsid w:val="006A5CA5"/>
    <w:rsid w:val="006B186C"/>
    <w:rsid w:val="006C30E1"/>
    <w:rsid w:val="006C4607"/>
    <w:rsid w:val="006C503F"/>
    <w:rsid w:val="006D48F1"/>
    <w:rsid w:val="006D67C5"/>
    <w:rsid w:val="006E5D7B"/>
    <w:rsid w:val="006F45BE"/>
    <w:rsid w:val="007004FC"/>
    <w:rsid w:val="00706670"/>
    <w:rsid w:val="00711F59"/>
    <w:rsid w:val="00716DCC"/>
    <w:rsid w:val="0072417C"/>
    <w:rsid w:val="00734450"/>
    <w:rsid w:val="00736CCB"/>
    <w:rsid w:val="00745F67"/>
    <w:rsid w:val="007466B3"/>
    <w:rsid w:val="0075039E"/>
    <w:rsid w:val="00752D9D"/>
    <w:rsid w:val="00754784"/>
    <w:rsid w:val="00757C6E"/>
    <w:rsid w:val="00762BDA"/>
    <w:rsid w:val="007805FD"/>
    <w:rsid w:val="00784422"/>
    <w:rsid w:val="00793001"/>
    <w:rsid w:val="007B10E9"/>
    <w:rsid w:val="007B3B54"/>
    <w:rsid w:val="007B3FA0"/>
    <w:rsid w:val="007C0F2C"/>
    <w:rsid w:val="007C2BCC"/>
    <w:rsid w:val="007C4EF0"/>
    <w:rsid w:val="007D099D"/>
    <w:rsid w:val="007D3B32"/>
    <w:rsid w:val="007D669B"/>
    <w:rsid w:val="007E2664"/>
    <w:rsid w:val="007E3ABF"/>
    <w:rsid w:val="007E5BFA"/>
    <w:rsid w:val="007E6689"/>
    <w:rsid w:val="007E731C"/>
    <w:rsid w:val="007F0A03"/>
    <w:rsid w:val="00810040"/>
    <w:rsid w:val="0082023A"/>
    <w:rsid w:val="008205E0"/>
    <w:rsid w:val="00821A7A"/>
    <w:rsid w:val="008253F8"/>
    <w:rsid w:val="00830ECC"/>
    <w:rsid w:val="008325E4"/>
    <w:rsid w:val="00832A2B"/>
    <w:rsid w:val="00845811"/>
    <w:rsid w:val="008466D2"/>
    <w:rsid w:val="00846994"/>
    <w:rsid w:val="00850451"/>
    <w:rsid w:val="00852042"/>
    <w:rsid w:val="00852309"/>
    <w:rsid w:val="008534C9"/>
    <w:rsid w:val="0085599D"/>
    <w:rsid w:val="0087510C"/>
    <w:rsid w:val="008809FD"/>
    <w:rsid w:val="008968D2"/>
    <w:rsid w:val="0089738E"/>
    <w:rsid w:val="008B5FDB"/>
    <w:rsid w:val="008C38DD"/>
    <w:rsid w:val="008C50F4"/>
    <w:rsid w:val="008C5649"/>
    <w:rsid w:val="008C6251"/>
    <w:rsid w:val="008D5417"/>
    <w:rsid w:val="008D5857"/>
    <w:rsid w:val="008E44A2"/>
    <w:rsid w:val="008E697D"/>
    <w:rsid w:val="00903263"/>
    <w:rsid w:val="009056F6"/>
    <w:rsid w:val="00906A21"/>
    <w:rsid w:val="009079C3"/>
    <w:rsid w:val="00910462"/>
    <w:rsid w:val="00915AB1"/>
    <w:rsid w:val="00917532"/>
    <w:rsid w:val="009235BA"/>
    <w:rsid w:val="00924023"/>
    <w:rsid w:val="00924CE2"/>
    <w:rsid w:val="00925B9F"/>
    <w:rsid w:val="00931AED"/>
    <w:rsid w:val="009476A3"/>
    <w:rsid w:val="0095334F"/>
    <w:rsid w:val="009546C0"/>
    <w:rsid w:val="00954A08"/>
    <w:rsid w:val="00956517"/>
    <w:rsid w:val="00964217"/>
    <w:rsid w:val="00965897"/>
    <w:rsid w:val="0096765C"/>
    <w:rsid w:val="009727E4"/>
    <w:rsid w:val="00973DDF"/>
    <w:rsid w:val="00977658"/>
    <w:rsid w:val="009934C5"/>
    <w:rsid w:val="00994C0F"/>
    <w:rsid w:val="009A3804"/>
    <w:rsid w:val="009B22D7"/>
    <w:rsid w:val="009B72ED"/>
    <w:rsid w:val="009C238B"/>
    <w:rsid w:val="009C6DEB"/>
    <w:rsid w:val="009D6504"/>
    <w:rsid w:val="009E12D7"/>
    <w:rsid w:val="009E1F86"/>
    <w:rsid w:val="009E4171"/>
    <w:rsid w:val="009E661A"/>
    <w:rsid w:val="00A06781"/>
    <w:rsid w:val="00A074C3"/>
    <w:rsid w:val="00A1509C"/>
    <w:rsid w:val="00A249B9"/>
    <w:rsid w:val="00A34260"/>
    <w:rsid w:val="00A70CFD"/>
    <w:rsid w:val="00A72A0B"/>
    <w:rsid w:val="00A81E42"/>
    <w:rsid w:val="00A864FE"/>
    <w:rsid w:val="00A86F41"/>
    <w:rsid w:val="00A87D04"/>
    <w:rsid w:val="00A950C5"/>
    <w:rsid w:val="00AA1D25"/>
    <w:rsid w:val="00AB2B1A"/>
    <w:rsid w:val="00AB397F"/>
    <w:rsid w:val="00AB5832"/>
    <w:rsid w:val="00AC51F2"/>
    <w:rsid w:val="00AC67EC"/>
    <w:rsid w:val="00AD3269"/>
    <w:rsid w:val="00AE5066"/>
    <w:rsid w:val="00AE5E24"/>
    <w:rsid w:val="00AE61B7"/>
    <w:rsid w:val="00AE6CBA"/>
    <w:rsid w:val="00AE79AD"/>
    <w:rsid w:val="00AF35E4"/>
    <w:rsid w:val="00AF5CDE"/>
    <w:rsid w:val="00B05D25"/>
    <w:rsid w:val="00B11A57"/>
    <w:rsid w:val="00B211C3"/>
    <w:rsid w:val="00B25597"/>
    <w:rsid w:val="00B267B9"/>
    <w:rsid w:val="00B33E09"/>
    <w:rsid w:val="00B50708"/>
    <w:rsid w:val="00B50C68"/>
    <w:rsid w:val="00B51293"/>
    <w:rsid w:val="00B52B1E"/>
    <w:rsid w:val="00B55481"/>
    <w:rsid w:val="00B56C32"/>
    <w:rsid w:val="00B57ACF"/>
    <w:rsid w:val="00B64BB1"/>
    <w:rsid w:val="00B73166"/>
    <w:rsid w:val="00B8426C"/>
    <w:rsid w:val="00B91B8D"/>
    <w:rsid w:val="00B94E90"/>
    <w:rsid w:val="00BA0968"/>
    <w:rsid w:val="00BB0A82"/>
    <w:rsid w:val="00BB7C94"/>
    <w:rsid w:val="00BC01E7"/>
    <w:rsid w:val="00BC0A9D"/>
    <w:rsid w:val="00BC3F5B"/>
    <w:rsid w:val="00BD1DA4"/>
    <w:rsid w:val="00BD40D7"/>
    <w:rsid w:val="00BF40ED"/>
    <w:rsid w:val="00BF5BC2"/>
    <w:rsid w:val="00C1133D"/>
    <w:rsid w:val="00C27A08"/>
    <w:rsid w:val="00C31312"/>
    <w:rsid w:val="00C31E36"/>
    <w:rsid w:val="00C326C6"/>
    <w:rsid w:val="00C35295"/>
    <w:rsid w:val="00C36ADD"/>
    <w:rsid w:val="00C36E74"/>
    <w:rsid w:val="00C40595"/>
    <w:rsid w:val="00C41621"/>
    <w:rsid w:val="00C449FA"/>
    <w:rsid w:val="00C5384F"/>
    <w:rsid w:val="00C56964"/>
    <w:rsid w:val="00C60010"/>
    <w:rsid w:val="00C656D5"/>
    <w:rsid w:val="00C66274"/>
    <w:rsid w:val="00C67103"/>
    <w:rsid w:val="00C7126F"/>
    <w:rsid w:val="00C71BB9"/>
    <w:rsid w:val="00C94C28"/>
    <w:rsid w:val="00CA06DA"/>
    <w:rsid w:val="00CB0247"/>
    <w:rsid w:val="00CB3440"/>
    <w:rsid w:val="00CC1692"/>
    <w:rsid w:val="00CC5D9C"/>
    <w:rsid w:val="00CD063B"/>
    <w:rsid w:val="00CD138B"/>
    <w:rsid w:val="00CD3E31"/>
    <w:rsid w:val="00CD74A3"/>
    <w:rsid w:val="00CE0527"/>
    <w:rsid w:val="00CE0F16"/>
    <w:rsid w:val="00CE2AB9"/>
    <w:rsid w:val="00CE5B23"/>
    <w:rsid w:val="00CF70AD"/>
    <w:rsid w:val="00CF7729"/>
    <w:rsid w:val="00D00059"/>
    <w:rsid w:val="00D107FA"/>
    <w:rsid w:val="00D12275"/>
    <w:rsid w:val="00D12766"/>
    <w:rsid w:val="00D20FF4"/>
    <w:rsid w:val="00D24D2C"/>
    <w:rsid w:val="00D35881"/>
    <w:rsid w:val="00D6300F"/>
    <w:rsid w:val="00D63AFE"/>
    <w:rsid w:val="00DA7DA5"/>
    <w:rsid w:val="00DB00B9"/>
    <w:rsid w:val="00DB073B"/>
    <w:rsid w:val="00DB78F0"/>
    <w:rsid w:val="00DC0CEA"/>
    <w:rsid w:val="00DC2E43"/>
    <w:rsid w:val="00DD095C"/>
    <w:rsid w:val="00DD1020"/>
    <w:rsid w:val="00DD1330"/>
    <w:rsid w:val="00DE0B83"/>
    <w:rsid w:val="00DE1A81"/>
    <w:rsid w:val="00DE1C13"/>
    <w:rsid w:val="00DE4E10"/>
    <w:rsid w:val="00E02ABF"/>
    <w:rsid w:val="00E075AD"/>
    <w:rsid w:val="00E14995"/>
    <w:rsid w:val="00E171D7"/>
    <w:rsid w:val="00E179CD"/>
    <w:rsid w:val="00E23E8D"/>
    <w:rsid w:val="00E26DD6"/>
    <w:rsid w:val="00E37F98"/>
    <w:rsid w:val="00E44632"/>
    <w:rsid w:val="00E45299"/>
    <w:rsid w:val="00E46559"/>
    <w:rsid w:val="00E53D6F"/>
    <w:rsid w:val="00E61D9E"/>
    <w:rsid w:val="00E6670C"/>
    <w:rsid w:val="00E776E8"/>
    <w:rsid w:val="00E834E3"/>
    <w:rsid w:val="00E92C1F"/>
    <w:rsid w:val="00E95D4B"/>
    <w:rsid w:val="00EA7D6F"/>
    <w:rsid w:val="00EB0428"/>
    <w:rsid w:val="00EB199F"/>
    <w:rsid w:val="00EC23F7"/>
    <w:rsid w:val="00EC4BD8"/>
    <w:rsid w:val="00EC63EB"/>
    <w:rsid w:val="00ED412F"/>
    <w:rsid w:val="00ED7886"/>
    <w:rsid w:val="00ED7E1F"/>
    <w:rsid w:val="00EF36B2"/>
    <w:rsid w:val="00EF4E00"/>
    <w:rsid w:val="00F1246B"/>
    <w:rsid w:val="00F15878"/>
    <w:rsid w:val="00F201EC"/>
    <w:rsid w:val="00F208A9"/>
    <w:rsid w:val="00F41D75"/>
    <w:rsid w:val="00F4216F"/>
    <w:rsid w:val="00F5139D"/>
    <w:rsid w:val="00F5606E"/>
    <w:rsid w:val="00F60992"/>
    <w:rsid w:val="00F63DAC"/>
    <w:rsid w:val="00F7454F"/>
    <w:rsid w:val="00F77988"/>
    <w:rsid w:val="00F77F48"/>
    <w:rsid w:val="00F801DF"/>
    <w:rsid w:val="00FB30F1"/>
    <w:rsid w:val="00FB53E7"/>
    <w:rsid w:val="00FD2A8A"/>
    <w:rsid w:val="00FE0000"/>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apple-style-span">
    <w:name w:val="apple-style-span"/>
    <w:rsid w:val="001D51E9"/>
  </w:style>
  <w:style w:type="paragraph" w:styleId="ListParagraph">
    <w:name w:val="List Paragraph"/>
    <w:basedOn w:val="Normal"/>
    <w:uiPriority w:val="34"/>
    <w:qFormat/>
    <w:rsid w:val="001D51E9"/>
    <w:pPr>
      <w:spacing w:after="120"/>
      <w:ind w:left="720" w:firstLine="720"/>
      <w:contextualSpacing/>
      <w:jc w:val="both"/>
    </w:pPr>
    <w:rPr>
      <w:sz w:val="28"/>
      <w:szCs w:val="20"/>
      <w:lang w:eastAsia="en-US"/>
    </w:rPr>
  </w:style>
  <w:style w:type="character" w:customStyle="1" w:styleId="HeaderChar">
    <w:name w:val="Header Char"/>
    <w:basedOn w:val="DefaultParagraphFont"/>
    <w:link w:val="Header"/>
    <w:uiPriority w:val="99"/>
    <w:rsid w:val="003A2FA4"/>
    <w:rPr>
      <w:sz w:val="24"/>
      <w:szCs w:val="24"/>
      <w:lang w:val="lv-LV" w:eastAsia="lv-LV"/>
    </w:rPr>
  </w:style>
  <w:style w:type="paragraph" w:styleId="BodyText2">
    <w:name w:val="Body Text 2"/>
    <w:basedOn w:val="Normal"/>
    <w:link w:val="BodyText2Char"/>
    <w:rsid w:val="006A1CEF"/>
    <w:pPr>
      <w:widowControl w:val="0"/>
      <w:adjustRightInd w:val="0"/>
      <w:spacing w:line="360" w:lineRule="atLeast"/>
      <w:jc w:val="center"/>
      <w:textAlignment w:val="baseline"/>
    </w:pPr>
    <w:rPr>
      <w:rFonts w:eastAsia="Calibri"/>
      <w:b/>
      <w:bCs/>
      <w:sz w:val="28"/>
      <w:szCs w:val="28"/>
      <w:lang w:eastAsia="en-US"/>
    </w:rPr>
  </w:style>
  <w:style w:type="character" w:customStyle="1" w:styleId="BodyText2Char">
    <w:name w:val="Body Text 2 Char"/>
    <w:basedOn w:val="DefaultParagraphFont"/>
    <w:link w:val="BodyText2"/>
    <w:rsid w:val="006A1CEF"/>
    <w:rPr>
      <w:rFonts w:eastAsia="Calibri"/>
      <w:b/>
      <w:bCs/>
      <w:sz w:val="28"/>
      <w:szCs w:val="28"/>
      <w:lang w:val="lv-LV"/>
    </w:rPr>
  </w:style>
  <w:style w:type="character" w:customStyle="1" w:styleId="apple-converted-space">
    <w:name w:val="apple-converted-space"/>
    <w:basedOn w:val="DefaultParagraphFont"/>
    <w:rsid w:val="007466B3"/>
  </w:style>
  <w:style w:type="paragraph" w:customStyle="1" w:styleId="Default">
    <w:name w:val="Default"/>
    <w:rsid w:val="00F6099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60992"/>
    <w:rPr>
      <w:rFonts w:cs="Times New Roman"/>
      <w:color w:val="auto"/>
    </w:rPr>
  </w:style>
  <w:style w:type="paragraph" w:customStyle="1" w:styleId="CM3">
    <w:name w:val="CM3"/>
    <w:basedOn w:val="Default"/>
    <w:next w:val="Default"/>
    <w:uiPriority w:val="99"/>
    <w:rsid w:val="00F60992"/>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apple-style-span">
    <w:name w:val="apple-style-span"/>
    <w:rsid w:val="001D51E9"/>
  </w:style>
  <w:style w:type="paragraph" w:styleId="ListParagraph">
    <w:name w:val="List Paragraph"/>
    <w:basedOn w:val="Normal"/>
    <w:uiPriority w:val="34"/>
    <w:qFormat/>
    <w:rsid w:val="001D51E9"/>
    <w:pPr>
      <w:spacing w:after="120"/>
      <w:ind w:left="720" w:firstLine="720"/>
      <w:contextualSpacing/>
      <w:jc w:val="both"/>
    </w:pPr>
    <w:rPr>
      <w:sz w:val="28"/>
      <w:szCs w:val="20"/>
      <w:lang w:eastAsia="en-US"/>
    </w:rPr>
  </w:style>
  <w:style w:type="character" w:customStyle="1" w:styleId="HeaderChar">
    <w:name w:val="Header Char"/>
    <w:basedOn w:val="DefaultParagraphFont"/>
    <w:link w:val="Header"/>
    <w:uiPriority w:val="99"/>
    <w:rsid w:val="003A2FA4"/>
    <w:rPr>
      <w:sz w:val="24"/>
      <w:szCs w:val="24"/>
      <w:lang w:val="lv-LV" w:eastAsia="lv-LV"/>
    </w:rPr>
  </w:style>
  <w:style w:type="paragraph" w:styleId="BodyText2">
    <w:name w:val="Body Text 2"/>
    <w:basedOn w:val="Normal"/>
    <w:link w:val="BodyText2Char"/>
    <w:rsid w:val="006A1CEF"/>
    <w:pPr>
      <w:widowControl w:val="0"/>
      <w:adjustRightInd w:val="0"/>
      <w:spacing w:line="360" w:lineRule="atLeast"/>
      <w:jc w:val="center"/>
      <w:textAlignment w:val="baseline"/>
    </w:pPr>
    <w:rPr>
      <w:rFonts w:eastAsia="Calibri"/>
      <w:b/>
      <w:bCs/>
      <w:sz w:val="28"/>
      <w:szCs w:val="28"/>
      <w:lang w:eastAsia="en-US"/>
    </w:rPr>
  </w:style>
  <w:style w:type="character" w:customStyle="1" w:styleId="BodyText2Char">
    <w:name w:val="Body Text 2 Char"/>
    <w:basedOn w:val="DefaultParagraphFont"/>
    <w:link w:val="BodyText2"/>
    <w:rsid w:val="006A1CEF"/>
    <w:rPr>
      <w:rFonts w:eastAsia="Calibri"/>
      <w:b/>
      <w:bCs/>
      <w:sz w:val="28"/>
      <w:szCs w:val="28"/>
      <w:lang w:val="lv-LV"/>
    </w:rPr>
  </w:style>
  <w:style w:type="character" w:customStyle="1" w:styleId="apple-converted-space">
    <w:name w:val="apple-converted-space"/>
    <w:basedOn w:val="DefaultParagraphFont"/>
    <w:rsid w:val="007466B3"/>
  </w:style>
  <w:style w:type="paragraph" w:customStyle="1" w:styleId="Default">
    <w:name w:val="Default"/>
    <w:rsid w:val="00F6099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60992"/>
    <w:rPr>
      <w:rFonts w:cs="Times New Roman"/>
      <w:color w:val="auto"/>
    </w:rPr>
  </w:style>
  <w:style w:type="paragraph" w:customStyle="1" w:styleId="CM3">
    <w:name w:val="CM3"/>
    <w:basedOn w:val="Default"/>
    <w:next w:val="Default"/>
    <w:uiPriority w:val="99"/>
    <w:rsid w:val="00F60992"/>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Leja@var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rimsa@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12065</Characters>
  <Application>Microsoft Office Word</Application>
  <DocSecurity>0</DocSecurity>
  <Lines>709</Lines>
  <Paragraphs>336</Paragraphs>
  <ScaleCrop>false</ScaleCrop>
  <HeadingPairs>
    <vt:vector size="2" baseType="variant">
      <vt:variant>
        <vt:lpstr>Title</vt:lpstr>
      </vt:variant>
      <vt:variant>
        <vt:i4>1</vt:i4>
      </vt:variant>
    </vt:vector>
  </HeadingPairs>
  <TitlesOfParts>
    <vt:vector size="1" baseType="lpstr">
      <vt:lpstr>Ministru kabineta rīkojuma projekta „Par Latvijas Iekārtu sarakstu 2013.-2020.gadam” sākotnējās ietekmes novērtējuma ziņojums (anotācija)</vt:lpstr>
    </vt:vector>
  </TitlesOfParts>
  <Manager>vecākais referents</Manager>
  <Company>Vides aizsardzības un reģionālās attīstības ministrijas Klimata politikas un tehnoloģiju departaments</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Iekārtu sarakstu 2013.-2020.gadam” sākotnējās ietekmes novērtējuma ziņojums (anotācija)</dc:title>
  <dc:subject>rīkojuma projekta anotācija</dc:subject>
  <dc:creator>Helēna Rimša</dc:creator>
  <cp:keywords>rīkojuma projekta anotācija</cp:keywords>
  <dc:description>Helena.Rimsa@varam.gov.lv; 67026414</dc:description>
  <cp:lastModifiedBy>Helēna Rimša</cp:lastModifiedBy>
  <cp:revision>11</cp:revision>
  <cp:lastPrinted>2011-07-21T09:24:00Z</cp:lastPrinted>
  <dcterms:created xsi:type="dcterms:W3CDTF">2011-09-20T10:30:00Z</dcterms:created>
  <dcterms:modified xsi:type="dcterms:W3CDTF">2011-09-26T09:02:00Z</dcterms:modified>
  <cp:category>Vides politika</cp:category>
</cp:coreProperties>
</file>